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641"/>
        <w:jc w:val="center"/>
        <w:rPr>
          <w:rFonts w:ascii="黑体" w:hAnsi="黑体" w:eastAsia="黑体"/>
          <w:sz w:val="44"/>
          <w:szCs w:val="44"/>
        </w:rPr>
      </w:pPr>
      <w:bookmarkStart w:id="0" w:name="_GoBack"/>
      <w:r>
        <w:rPr>
          <w:rFonts w:hint="eastAsia" w:ascii="黑体" w:hAnsi="黑体" w:eastAsia="黑体"/>
          <w:sz w:val="44"/>
          <w:szCs w:val="44"/>
        </w:rPr>
        <w:t>湘潭县房改房建办公室</w:t>
      </w:r>
    </w:p>
    <w:p>
      <w:pPr>
        <w:spacing w:line="600" w:lineRule="exact"/>
        <w:ind w:right="641"/>
        <w:jc w:val="center"/>
        <w:rPr>
          <w:rFonts w:ascii="黑体" w:hAnsi="黑体" w:eastAsia="黑体" w:cs="方正小标宋_GBK"/>
          <w:b/>
          <w:sz w:val="44"/>
          <w:szCs w:val="44"/>
        </w:rPr>
      </w:pPr>
      <w:r>
        <w:rPr>
          <w:rFonts w:hint="eastAsia" w:ascii="黑体" w:hAnsi="黑体" w:eastAsia="黑体" w:cs="方正小标宋_GBK"/>
          <w:b/>
          <w:bCs/>
          <w:sz w:val="44"/>
          <w:szCs w:val="44"/>
        </w:rPr>
        <w:t>部门整体支出绩效评价报告</w:t>
      </w:r>
    </w:p>
    <w:bookmarkEnd w:id="0"/>
    <w:tbl>
      <w:tblPr>
        <w:tblStyle w:val="5"/>
        <w:tblW w:w="94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672"/>
        <w:gridCol w:w="6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6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部门概况</w:t>
            </w:r>
          </w:p>
        </w:tc>
        <w:tc>
          <w:tcPr>
            <w:tcW w:w="1672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单位名称</w:t>
            </w:r>
          </w:p>
        </w:tc>
        <w:tc>
          <w:tcPr>
            <w:tcW w:w="6422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湘潭县房改房建办公室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6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年度预算金额</w:t>
            </w:r>
          </w:p>
        </w:tc>
        <w:tc>
          <w:tcPr>
            <w:tcW w:w="6422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755,532.00</w:t>
            </w:r>
            <w:r>
              <w:rPr>
                <w:rFonts w:hint="eastAsia" w:ascii="仿宋_GB2312" w:hAnsi="宋体" w:eastAsia="仿宋_GB2312" w:cs="宋体"/>
                <w:sz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6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主管部门</w:t>
            </w:r>
          </w:p>
        </w:tc>
        <w:tc>
          <w:tcPr>
            <w:tcW w:w="6422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湘潭县住房和城乡建设局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6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单位基本职能</w:t>
            </w:r>
          </w:p>
        </w:tc>
        <w:tc>
          <w:tcPr>
            <w:tcW w:w="6422" w:type="dxa"/>
            <w:vAlign w:val="center"/>
          </w:tcPr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职责：宣传、贯彻执行国家有关房改的方针、政策，研究制定全县房改方案及配套措施并组织实施；指导全县未参加房改单位的房改工作，协调相关部门在房改工作中的关系；负责对经济适用住房相关政策的落实进行督查。协助全县保障性住房入住对象进行资格审查和认定；负责全县城镇保障性住房的建设；负责棚户区改造及农村危房改造的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6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绩效完成情况</w:t>
            </w:r>
          </w:p>
        </w:tc>
        <w:tc>
          <w:tcPr>
            <w:tcW w:w="1672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部门整体支出管理和使用基本情况</w:t>
            </w:r>
          </w:p>
        </w:tc>
        <w:tc>
          <w:tcPr>
            <w:tcW w:w="6422" w:type="dxa"/>
            <w:vAlign w:val="center"/>
          </w:tcPr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根据收集的绩效资料，结合被评价单位年度工作情况的汇报材料及自评报告内容，湘潭县房改房建办公室</w:t>
            </w:r>
            <w:r>
              <w:rPr>
                <w:rFonts w:ascii="仿宋_GB2312" w:hAnsi="仿宋_GB2312" w:eastAsia="仿宋_GB2312" w:cs="仿宋_GB2312"/>
                <w:sz w:val="24"/>
              </w:rPr>
              <w:t>2018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年度部门整体支出主要绩效情况如下：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、年初预算安排明细情况</w:t>
            </w:r>
          </w:p>
          <w:tbl>
            <w:tblPr>
              <w:tblStyle w:val="5"/>
              <w:tblW w:w="6176" w:type="dxa"/>
              <w:jc w:val="center"/>
              <w:tblInd w:w="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2" w:space="0"/>
                <w:insideV w:val="single" w:color="auto" w:sz="2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987"/>
              <w:gridCol w:w="2189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987" w:type="dxa"/>
                  <w:tcBorders>
                    <w:top w:val="single" w:color="auto" w:sz="1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预算支出类型</w:t>
                  </w:r>
                </w:p>
              </w:tc>
              <w:tc>
                <w:tcPr>
                  <w:tcW w:w="2189" w:type="dxa"/>
                  <w:tcBorders>
                    <w:top w:val="single" w:color="auto" w:sz="1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金额（元）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987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一、基本支出</w:t>
                  </w:r>
                </w:p>
              </w:tc>
              <w:tc>
                <w:tcPr>
                  <w:tcW w:w="2189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987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、工资福利支出</w:t>
                  </w:r>
                </w:p>
              </w:tc>
              <w:tc>
                <w:tcPr>
                  <w:tcW w:w="2189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left="829" w:leftChars="195" w:hanging="420" w:hangingChars="200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668465.00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987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、商品和服务支出</w:t>
                  </w:r>
                </w:p>
              </w:tc>
              <w:tc>
                <w:tcPr>
                  <w:tcW w:w="2189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left="829" w:leftChars="195" w:hanging="420" w:hangingChars="200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86067.00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987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、其他资本性支出</w:t>
                  </w:r>
                </w:p>
              </w:tc>
              <w:tc>
                <w:tcPr>
                  <w:tcW w:w="2189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left="829" w:leftChars="195" w:hanging="420" w:hangingChars="200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987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、对个人和家庭的补助</w:t>
                  </w:r>
                </w:p>
              </w:tc>
              <w:tc>
                <w:tcPr>
                  <w:tcW w:w="2189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left="829" w:leftChars="195" w:hanging="420" w:hangingChars="200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1000.00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987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基本支出小计</w:t>
                  </w:r>
                </w:p>
              </w:tc>
              <w:tc>
                <w:tcPr>
                  <w:tcW w:w="2189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left="31680" w:hanging="420" w:hangingChars="200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755532.00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987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二、项目支出</w:t>
                  </w:r>
                </w:p>
              </w:tc>
              <w:tc>
                <w:tcPr>
                  <w:tcW w:w="2189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987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专项支出</w:t>
                  </w:r>
                </w:p>
              </w:tc>
              <w:tc>
                <w:tcPr>
                  <w:tcW w:w="2189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left="31680" w:hanging="420" w:hangingChars="200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987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项目支出小计</w:t>
                  </w:r>
                </w:p>
              </w:tc>
              <w:tc>
                <w:tcPr>
                  <w:tcW w:w="2189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left="31680" w:hanging="420" w:hangingChars="200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987" w:type="dxa"/>
                  <w:tcBorders>
                    <w:top w:val="single" w:color="auto" w:sz="2" w:space="0"/>
                    <w:left w:val="single" w:color="auto" w:sz="12" w:space="0"/>
                    <w:bottom w:val="single" w:color="auto" w:sz="1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总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计</w:t>
                  </w:r>
                </w:p>
              </w:tc>
              <w:tc>
                <w:tcPr>
                  <w:tcW w:w="2189" w:type="dxa"/>
                  <w:tcBorders>
                    <w:top w:val="single" w:color="auto" w:sz="2" w:space="0"/>
                    <w:left w:val="single" w:color="auto" w:sz="2" w:space="0"/>
                    <w:bottom w:val="single" w:color="auto" w:sz="1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left="31680" w:hanging="420" w:hangingChars="200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755532.00</w:t>
                  </w:r>
                </w:p>
              </w:tc>
            </w:tr>
          </w:tbl>
          <w:p>
            <w:pPr>
              <w:widowControl/>
              <w:shd w:val="clear" w:color="auto" w:fill="FFFFFF"/>
              <w:snapToGrid w:val="0"/>
              <w:spacing w:before="100" w:after="100" w:line="6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湘潭县房改房建办公室</w:t>
            </w:r>
            <w:r>
              <w:rPr>
                <w:rFonts w:ascii="仿宋_GB2312" w:hAnsi="仿宋_GB2312" w:eastAsia="仿宋_GB2312" w:cs="仿宋_GB2312"/>
                <w:sz w:val="24"/>
              </w:rPr>
              <w:t>2018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年三公经费预算明细表：</w:t>
            </w:r>
          </w:p>
          <w:tbl>
            <w:tblPr>
              <w:tblStyle w:val="5"/>
              <w:tblpPr w:leftFromText="180" w:rightFromText="180" w:vertAnchor="text" w:tblpXSpec="center" w:tblpY="1"/>
              <w:tblOverlap w:val="never"/>
              <w:tblW w:w="6176" w:type="dxa"/>
              <w:jc w:val="center"/>
              <w:tblInd w:w="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54"/>
              <w:gridCol w:w="1861"/>
              <w:gridCol w:w="1061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254" w:type="dxa"/>
                  <w:tcBorders>
                    <w:top w:val="single" w:color="auto" w:sz="12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6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项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     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目</w:t>
                  </w:r>
                </w:p>
              </w:tc>
              <w:tc>
                <w:tcPr>
                  <w:tcW w:w="1861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6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本年预算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(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元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)</w:t>
                  </w:r>
                </w:p>
              </w:tc>
              <w:tc>
                <w:tcPr>
                  <w:tcW w:w="1061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备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注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254" w:type="dxa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6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合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计</w:t>
                  </w:r>
                </w:p>
              </w:tc>
              <w:tc>
                <w:tcPr>
                  <w:tcW w:w="186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6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11220.00</w:t>
                  </w:r>
                </w:p>
              </w:tc>
              <w:tc>
                <w:tcPr>
                  <w:tcW w:w="106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254" w:type="dxa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一、因公出国（境）费</w:t>
                  </w:r>
                </w:p>
              </w:tc>
              <w:tc>
                <w:tcPr>
                  <w:tcW w:w="186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6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  <w:tc>
                <w:tcPr>
                  <w:tcW w:w="106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254" w:type="dxa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二、公务接待费</w:t>
                  </w:r>
                </w:p>
              </w:tc>
              <w:tc>
                <w:tcPr>
                  <w:tcW w:w="186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6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9800.00</w:t>
                  </w:r>
                </w:p>
              </w:tc>
              <w:tc>
                <w:tcPr>
                  <w:tcW w:w="106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3254" w:type="dxa"/>
                  <w:tcBorders>
                    <w:top w:val="single" w:color="auto" w:sz="6" w:space="0"/>
                    <w:left w:val="single" w:color="auto" w:sz="12" w:space="0"/>
                    <w:bottom w:val="single" w:color="auto" w:sz="12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三、公务用车购置及运行费</w:t>
                  </w:r>
                </w:p>
              </w:tc>
              <w:tc>
                <w:tcPr>
                  <w:tcW w:w="1861" w:type="dxa"/>
                  <w:tcBorders>
                    <w:top w:val="single" w:color="auto" w:sz="6" w:space="0"/>
                    <w:left w:val="single" w:color="auto" w:sz="6" w:space="0"/>
                    <w:bottom w:val="single" w:color="auto" w:sz="12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6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  <w:tc>
                <w:tcPr>
                  <w:tcW w:w="1061" w:type="dxa"/>
                  <w:tcBorders>
                    <w:top w:val="single" w:color="auto" w:sz="6" w:space="0"/>
                    <w:left w:val="single" w:color="auto" w:sz="6" w:space="0"/>
                    <w:bottom w:val="single" w:color="auto" w:sz="12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　</w:t>
                  </w:r>
                </w:p>
              </w:tc>
            </w:tr>
          </w:tbl>
          <w:p>
            <w:pPr>
              <w:widowControl/>
              <w:shd w:val="clear" w:color="auto" w:fill="FFFFFF"/>
              <w:snapToGrid w:val="0"/>
              <w:spacing w:before="100" w:after="100" w:line="600" w:lineRule="exact"/>
              <w:ind w:firstLine="480" w:firstLineChars="20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、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全年预算安排明细情况：</w:t>
            </w: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</w:p>
          <w:tbl>
            <w:tblPr>
              <w:tblStyle w:val="5"/>
              <w:tblpPr w:leftFromText="180" w:rightFromText="180" w:vertAnchor="text" w:tblpXSpec="center" w:tblpY="1"/>
              <w:tblOverlap w:val="never"/>
              <w:tblW w:w="6176" w:type="dxa"/>
              <w:jc w:val="center"/>
              <w:tblInd w:w="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2" w:space="0"/>
                <w:insideV w:val="single" w:color="auto" w:sz="2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366"/>
              <w:gridCol w:w="1810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1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预算支出类型</w:t>
                  </w:r>
                </w:p>
              </w:tc>
              <w:tc>
                <w:tcPr>
                  <w:tcW w:w="1810" w:type="dxa"/>
                  <w:tcBorders>
                    <w:top w:val="single" w:color="auto" w:sz="1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金额（元）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一、基本支出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ind w:right="420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   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、工资福利支出：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933137.35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年初预算安排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668465.00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预算追加安排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上年结转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241979.55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、商品和服务支出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: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31323.5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年初预算安排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86067.00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预算追加安排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、对个人和家庭的补助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: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年初预算安排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1000.00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预算追加安排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基本支出小计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964460.85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二、项目支出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年初安排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预算追加安排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项目支出小计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  <w:jc w:val="center"/>
              </w:trPr>
              <w:tc>
                <w:tcPr>
                  <w:tcW w:w="4366" w:type="dxa"/>
                  <w:tcBorders>
                    <w:top w:val="single" w:color="auto" w:sz="2" w:space="0"/>
                    <w:left w:val="single" w:color="auto" w:sz="12" w:space="0"/>
                    <w:bottom w:val="single" w:color="auto" w:sz="1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总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计</w:t>
                  </w:r>
                </w:p>
              </w:tc>
              <w:tc>
                <w:tcPr>
                  <w:tcW w:w="1810" w:type="dxa"/>
                  <w:tcBorders>
                    <w:top w:val="single" w:color="auto" w:sz="2" w:space="0"/>
                    <w:left w:val="single" w:color="auto" w:sz="2" w:space="0"/>
                    <w:bottom w:val="single" w:color="auto" w:sz="12" w:space="0"/>
                    <w:right w:val="single" w:color="auto" w:sz="12" w:space="0"/>
                  </w:tcBorders>
                  <w:vAlign w:val="center"/>
                </w:tcPr>
                <w:p>
                  <w:pPr>
                    <w:tabs>
                      <w:tab w:val="left" w:pos="4053"/>
                      <w:tab w:val="left" w:pos="4161"/>
                    </w:tabs>
                    <w:spacing w:line="600" w:lineRule="exact"/>
                    <w:ind w:right="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964460.85</w:t>
                  </w:r>
                </w:p>
              </w:tc>
            </w:tr>
          </w:tbl>
          <w:p>
            <w:pPr>
              <w:widowControl/>
              <w:shd w:val="clear" w:color="auto" w:fill="FFFFFF"/>
              <w:snapToGrid w:val="0"/>
              <w:spacing w:before="100" w:after="100"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、基本支出预算执行情况</w:t>
            </w:r>
          </w:p>
          <w:tbl>
            <w:tblPr>
              <w:tblStyle w:val="5"/>
              <w:tblpPr w:leftFromText="180" w:rightFromText="180" w:vertAnchor="text" w:tblpXSpec="center" w:tblpY="1"/>
              <w:tblOverlap w:val="never"/>
              <w:tblW w:w="6176" w:type="dxa"/>
              <w:jc w:val="center"/>
              <w:tblInd w:w="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2" w:space="0"/>
                <w:insideV w:val="single" w:color="auto" w:sz="2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34"/>
              <w:gridCol w:w="1276"/>
              <w:gridCol w:w="1303"/>
              <w:gridCol w:w="1238"/>
              <w:gridCol w:w="1125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19" w:hRule="exact"/>
                <w:jc w:val="center"/>
              </w:trPr>
              <w:tc>
                <w:tcPr>
                  <w:tcW w:w="1234" w:type="dxa"/>
                  <w:tcBorders>
                    <w:top w:val="single" w:color="auto" w:sz="1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科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目</w:t>
                  </w:r>
                </w:p>
              </w:tc>
              <w:tc>
                <w:tcPr>
                  <w:tcW w:w="1276" w:type="dxa"/>
                  <w:tcBorders>
                    <w:top w:val="single" w:color="auto" w:sz="1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ind w:right="174" w:rightChars="8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预算支出（元）</w:t>
                  </w:r>
                </w:p>
              </w:tc>
              <w:tc>
                <w:tcPr>
                  <w:tcW w:w="1303" w:type="dxa"/>
                  <w:tcBorders>
                    <w:top w:val="single" w:color="auto" w:sz="1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ind w:right="174" w:rightChars="8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实际支出（元）</w:t>
                  </w:r>
                </w:p>
              </w:tc>
              <w:tc>
                <w:tcPr>
                  <w:tcW w:w="1238" w:type="dxa"/>
                  <w:tcBorders>
                    <w:top w:val="single" w:color="auto" w:sz="1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ind w:right="174" w:rightChars="8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超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支（元）</w:t>
                  </w:r>
                </w:p>
              </w:tc>
              <w:tc>
                <w:tcPr>
                  <w:tcW w:w="1125" w:type="dxa"/>
                  <w:tcBorders>
                    <w:top w:val="single" w:color="auto" w:sz="1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adjustRightInd w:val="0"/>
                    <w:snapToGrid w:val="0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预算执行</w:t>
                  </w:r>
                </w:p>
                <w:p>
                  <w:pPr>
                    <w:ind w:right="174" w:rightChars="83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完成率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30" w:hRule="atLeast"/>
                <w:jc w:val="center"/>
              </w:trPr>
              <w:tc>
                <w:tcPr>
                  <w:tcW w:w="1234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工资福利支出</w:t>
                  </w:r>
                </w:p>
              </w:tc>
              <w:tc>
                <w:tcPr>
                  <w:tcW w:w="1276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668465.00</w:t>
                  </w:r>
                </w:p>
              </w:tc>
              <w:tc>
                <w:tcPr>
                  <w:tcW w:w="1303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933137.35</w:t>
                  </w:r>
                </w:p>
              </w:tc>
              <w:tc>
                <w:tcPr>
                  <w:tcW w:w="1238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264672.35</w:t>
                  </w:r>
                </w:p>
              </w:tc>
              <w:tc>
                <w:tcPr>
                  <w:tcW w:w="1125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ind w:right="174" w:rightChars="83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139.59%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60" w:hRule="atLeast"/>
                <w:jc w:val="center"/>
              </w:trPr>
              <w:tc>
                <w:tcPr>
                  <w:tcW w:w="1234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商品和服务支出</w:t>
                  </w:r>
                </w:p>
              </w:tc>
              <w:tc>
                <w:tcPr>
                  <w:tcW w:w="1276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86067.00</w:t>
                  </w:r>
                </w:p>
              </w:tc>
              <w:tc>
                <w:tcPr>
                  <w:tcW w:w="1303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31323.50 </w:t>
                  </w:r>
                </w:p>
              </w:tc>
              <w:tc>
                <w:tcPr>
                  <w:tcW w:w="1238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-54743.50</w:t>
                  </w:r>
                </w:p>
              </w:tc>
              <w:tc>
                <w:tcPr>
                  <w:tcW w:w="1125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ind w:right="174" w:rightChars="83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36.39%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1234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对个人和家庭补助</w:t>
                  </w:r>
                </w:p>
              </w:tc>
              <w:tc>
                <w:tcPr>
                  <w:tcW w:w="1276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1000.00</w:t>
                  </w:r>
                </w:p>
              </w:tc>
              <w:tc>
                <w:tcPr>
                  <w:tcW w:w="1303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  <w:tc>
                <w:tcPr>
                  <w:tcW w:w="1238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-1000.00</w:t>
                  </w:r>
                </w:p>
              </w:tc>
              <w:tc>
                <w:tcPr>
                  <w:tcW w:w="1125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ind w:right="174" w:rightChars="83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0%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0" w:hRule="atLeast"/>
                <w:jc w:val="center"/>
              </w:trPr>
              <w:tc>
                <w:tcPr>
                  <w:tcW w:w="1234" w:type="dxa"/>
                  <w:tcBorders>
                    <w:top w:val="single" w:color="auto" w:sz="2" w:space="0"/>
                    <w:left w:val="single" w:color="auto" w:sz="1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其他资本性支出</w:t>
                  </w:r>
                </w:p>
              </w:tc>
              <w:tc>
                <w:tcPr>
                  <w:tcW w:w="1276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0.00 </w:t>
                  </w:r>
                </w:p>
              </w:tc>
              <w:tc>
                <w:tcPr>
                  <w:tcW w:w="1303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0.00             </w:t>
                  </w:r>
                </w:p>
              </w:tc>
              <w:tc>
                <w:tcPr>
                  <w:tcW w:w="1238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0.00</w:t>
                  </w:r>
                </w:p>
              </w:tc>
              <w:tc>
                <w:tcPr>
                  <w:tcW w:w="1125" w:type="dxa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  <w:jc w:val="center"/>
              </w:trPr>
              <w:tc>
                <w:tcPr>
                  <w:tcW w:w="1234" w:type="dxa"/>
                  <w:tcBorders>
                    <w:top w:val="single" w:color="auto" w:sz="2" w:space="0"/>
                    <w:left w:val="single" w:color="auto" w:sz="12" w:space="0"/>
                    <w:bottom w:val="single" w:color="auto" w:sz="1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center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合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Cs w:val="21"/>
                    </w:rPr>
                    <w:t>计</w:t>
                  </w:r>
                </w:p>
              </w:tc>
              <w:tc>
                <w:tcPr>
                  <w:tcW w:w="1276" w:type="dxa"/>
                  <w:tcBorders>
                    <w:top w:val="single" w:color="auto" w:sz="2" w:space="0"/>
                    <w:left w:val="single" w:color="auto" w:sz="2" w:space="0"/>
                    <w:bottom w:val="single" w:color="auto" w:sz="1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755532.00</w:t>
                  </w:r>
                </w:p>
              </w:tc>
              <w:tc>
                <w:tcPr>
                  <w:tcW w:w="1303" w:type="dxa"/>
                  <w:tcBorders>
                    <w:top w:val="single" w:color="auto" w:sz="2" w:space="0"/>
                    <w:left w:val="single" w:color="auto" w:sz="2" w:space="0"/>
                    <w:bottom w:val="single" w:color="auto" w:sz="1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964460.85</w:t>
                  </w:r>
                </w:p>
              </w:tc>
              <w:tc>
                <w:tcPr>
                  <w:tcW w:w="1238" w:type="dxa"/>
                  <w:tcBorders>
                    <w:top w:val="single" w:color="auto" w:sz="2" w:space="0"/>
                    <w:left w:val="single" w:color="auto" w:sz="2" w:space="0"/>
                    <w:bottom w:val="single" w:color="auto" w:sz="12" w:space="0"/>
                    <w:right w:val="single" w:color="auto" w:sz="2" w:space="0"/>
                  </w:tcBorders>
                  <w:vAlign w:val="center"/>
                </w:tcPr>
                <w:p>
                  <w:pPr>
                    <w:spacing w:line="600" w:lineRule="exact"/>
                    <w:jc w:val="right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208928.85</w:t>
                  </w:r>
                </w:p>
              </w:tc>
              <w:tc>
                <w:tcPr>
                  <w:tcW w:w="1125" w:type="dxa"/>
                  <w:tcBorders>
                    <w:top w:val="single" w:color="auto" w:sz="2" w:space="0"/>
                    <w:left w:val="single" w:color="auto" w:sz="2" w:space="0"/>
                    <w:bottom w:val="single" w:color="auto" w:sz="12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600" w:lineRule="exact"/>
                    <w:ind w:firstLine="105" w:firstLineChars="50"/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fldChar w:fldCharType="begin"/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instrText xml:space="preserve"> =C6/B6*100 \# "0.00%" </w:instrTex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fldChar w:fldCharType="separate"/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t>127.65%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Cs w:val="21"/>
                    </w:rPr>
                    <w:fldChar w:fldCharType="end"/>
                  </w:r>
                </w:p>
              </w:tc>
            </w:tr>
          </w:tbl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36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绩效目标完成情况</w:t>
            </w:r>
          </w:p>
        </w:tc>
        <w:tc>
          <w:tcPr>
            <w:tcW w:w="6422" w:type="dxa"/>
            <w:vAlign w:val="center"/>
          </w:tcPr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、部门支出预算目标</w:t>
            </w:r>
            <w:r>
              <w:rPr>
                <w:rFonts w:ascii="仿宋_GB2312" w:hAnsi="仿宋_GB2312" w:eastAsia="仿宋_GB2312" w:cs="仿宋_GB2312"/>
                <w:sz w:val="24"/>
              </w:rPr>
              <w:tab/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本单位在今年收支预算内，确保完成以下整体目标：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目标</w:t>
            </w:r>
            <w:r>
              <w:rPr>
                <w:rFonts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：宣传、贯彻执行国家有关房改的方针、政策，指导房改单位的房改工作；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目标</w:t>
            </w:r>
            <w:r>
              <w:rPr>
                <w:rFonts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：协助全县保障性住房入住对象进行资格审查和认定；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目标</w:t>
            </w:r>
            <w:r>
              <w:rPr>
                <w:rFonts w:ascii="仿宋_GB2312" w:hAnsi="仿宋_GB2312" w:eastAsia="仿宋_GB2312" w:cs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：完成全县城镇保障性住房的建设、棚户区改造及农村危房改造的工作；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目标</w:t>
            </w:r>
            <w:r>
              <w:rPr>
                <w:rFonts w:ascii="仿宋_GB2312" w:hAnsi="仿宋_GB2312" w:eastAsia="仿宋_GB2312" w:cs="仿宋_GB2312"/>
                <w:sz w:val="24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：按时按标准发放职工工资及福利、缴纳职工五险一金。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、预算管理情况分析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管理制度健全性、合规性：湘潭县房改房建办公室制定了《湘潭县房改房建办公室财务管理制度》，在项目资金管理和使用上，严格按照《湘潭县财政专项资金管理暂行办法》、《湘潭县房改房建办公室财务管理制度》的规定，在资金使用上坚持专款专用的原则，严格按预算执行，项目资金建立专款专用、专项核算制度，由计划财务股进行资金监管，做到了支出合法、合规，无虚列、截留、超标准、超预算支出情况；湘潭县房改房建办公室制定了资产管理制度，相关资产管理制度合法、合规、完整。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）预决算信息公开性和完善性：湘潭县房改房建办公室将</w:t>
            </w:r>
            <w:r>
              <w:rPr>
                <w:rFonts w:ascii="仿宋_GB2312" w:hAnsi="仿宋_GB2312" w:eastAsia="仿宋_GB2312" w:cs="仿宋_GB2312"/>
                <w:sz w:val="24"/>
              </w:rPr>
              <w:t>2018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年度预决算信息按规定内容和规定时限进行公开。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ascii="仿宋_GB2312" w:hAnsi="仿宋_GB2312" w:eastAsia="仿宋_GB2312" w:cs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）“资金结余”：本单位本年结余</w:t>
            </w:r>
            <w:r>
              <w:rPr>
                <w:rFonts w:ascii="仿宋_GB2312" w:hAnsi="仿宋_GB2312" w:eastAsia="仿宋_GB2312" w:cs="仿宋_GB2312"/>
                <w:sz w:val="24"/>
              </w:rPr>
              <w:t>243209.55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元，上年结余资金</w:t>
            </w:r>
            <w:r>
              <w:rPr>
                <w:rFonts w:ascii="仿宋_GB2312" w:hAnsi="仿宋_GB2312" w:eastAsia="仿宋_GB2312" w:cs="仿宋_GB2312"/>
                <w:sz w:val="24"/>
              </w:rPr>
              <w:t>241979.55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元，，本年结余超过了上年结余，该指标考核扣</w:t>
            </w:r>
            <w:r>
              <w:rPr>
                <w:rFonts w:ascii="仿宋_GB2312" w:hAnsi="仿宋_GB2312" w:eastAsia="仿宋_GB2312" w:cs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分，得</w:t>
            </w:r>
            <w:r>
              <w:rPr>
                <w:rFonts w:ascii="仿宋_GB2312" w:hAnsi="仿宋_GB2312" w:eastAsia="仿宋_GB2312" w:cs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分，已分项目核算结余结转，扣</w:t>
            </w:r>
            <w:r>
              <w:rPr>
                <w:rFonts w:ascii="仿宋_GB2312" w:hAnsi="仿宋_GB2312" w:eastAsia="仿宋_GB2312" w:cs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分，得</w:t>
            </w:r>
            <w:r>
              <w:rPr>
                <w:rFonts w:ascii="仿宋_GB2312" w:hAnsi="仿宋_GB2312" w:eastAsia="仿宋_GB2312" w:cs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分。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、产出分析：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）数量指标：人员编制数</w:t>
            </w:r>
            <w:r>
              <w:rPr>
                <w:rFonts w:ascii="仿宋_GB2312" w:hAnsi="仿宋_GB2312" w:eastAsia="仿宋_GB2312" w:cs="仿宋_GB2312"/>
                <w:sz w:val="24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人，实有在职人员数</w:t>
            </w:r>
            <w:r>
              <w:rPr>
                <w:rFonts w:ascii="仿宋_GB2312" w:hAnsi="仿宋_GB2312" w:eastAsia="仿宋_GB2312" w:cs="仿宋_GB2312"/>
                <w:sz w:val="24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人。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）质量指标：工资发放率及保险缴费率</w:t>
            </w:r>
            <w:r>
              <w:rPr>
                <w:rFonts w:ascii="仿宋_GB2312" w:hAnsi="仿宋_GB2312" w:eastAsia="仿宋_GB2312" w:cs="仿宋_GB2312"/>
                <w:sz w:val="24"/>
              </w:rPr>
              <w:t>100%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以上。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）成本指标：工资福利支出</w:t>
            </w:r>
            <w:r>
              <w:rPr>
                <w:rFonts w:ascii="仿宋_GB2312" w:hAnsi="仿宋_GB2312" w:eastAsia="仿宋_GB2312" w:cs="仿宋_GB2312"/>
                <w:sz w:val="24"/>
              </w:rPr>
              <w:t>933137.35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元；一般商品和服务支出</w:t>
            </w:r>
            <w:r>
              <w:rPr>
                <w:rFonts w:ascii="仿宋_GB2312" w:hAnsi="仿宋_GB2312" w:eastAsia="仿宋_GB2312" w:cs="仿宋_GB2312"/>
                <w:sz w:val="24"/>
              </w:rPr>
              <w:t>31323.50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元；对个人和家庭的补助收入</w:t>
            </w:r>
            <w:r>
              <w:rPr>
                <w:rFonts w:ascii="仿宋_GB2312" w:hAnsi="仿宋_GB2312" w:eastAsia="仿宋_GB2312" w:cs="仿宋_GB2312"/>
                <w:sz w:val="24"/>
              </w:rPr>
              <w:t>0.00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元。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4)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实效指标：每月底按时发放当月工资。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5)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效益指标：经济效益方面保障了职工的工资收入及基本社会保障费的缴纳，到位率</w:t>
            </w:r>
            <w:r>
              <w:rPr>
                <w:rFonts w:ascii="仿宋_GB2312" w:hAnsi="仿宋_GB2312" w:eastAsia="仿宋_GB2312" w:cs="仿宋_GB2312"/>
                <w:sz w:val="24"/>
              </w:rPr>
              <w:t>100%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；社会效益方面保障了职工的基本权益；社会公众或服务对象满意度</w:t>
            </w:r>
            <w:r>
              <w:rPr>
                <w:rFonts w:ascii="仿宋_GB2312" w:hAnsi="仿宋_GB2312" w:eastAsia="仿宋_GB2312" w:cs="仿宋_GB2312"/>
                <w:sz w:val="24"/>
              </w:rPr>
              <w:t>95%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36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存在的问题分析及改进措施</w:t>
            </w:r>
          </w:p>
        </w:tc>
        <w:tc>
          <w:tcPr>
            <w:tcW w:w="1672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存在的问题</w:t>
            </w:r>
          </w:p>
        </w:tc>
        <w:tc>
          <w:tcPr>
            <w:tcW w:w="6422" w:type="dxa"/>
            <w:vAlign w:val="center"/>
          </w:tcPr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、报销制度的管理有待加强；</w:t>
            </w:r>
          </w:p>
          <w:p>
            <w:pPr>
              <w:spacing w:line="600" w:lineRule="exact"/>
              <w:ind w:firstLine="480" w:firstLineChars="20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、加强固定资产账目的管理。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36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改进措施</w:t>
            </w:r>
          </w:p>
        </w:tc>
        <w:tc>
          <w:tcPr>
            <w:tcW w:w="6422" w:type="dxa"/>
            <w:vAlign w:val="center"/>
          </w:tcPr>
          <w:p>
            <w:pPr>
              <w:spacing w:line="576" w:lineRule="exact"/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ascii="仿宋_GB2312" w:hAnsi="宋体" w:eastAsia="仿宋_GB2312" w:cs="宋体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sz w:val="24"/>
              </w:rPr>
              <w:t>、进一步完善内控制度建设，加强“三公”经费开支管理，提高资金使用效能。建立本部门“三公经费”等公务支出管理制度及厉行节约制度，加强经费审批和控制，规范支出标准与范围，并严格执行。</w:t>
            </w:r>
          </w:p>
          <w:p>
            <w:pPr>
              <w:spacing w:line="576" w:lineRule="exact"/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ascii="仿宋_GB2312" w:hAnsi="宋体" w:eastAsia="仿宋_GB2312" w:cs="宋体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sz w:val="24"/>
              </w:rPr>
              <w:t>、加强岗位实务学习与培训工作。对固定资产账目管理做到账实相符，及时更新。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6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其他需要说明问题</w:t>
            </w:r>
          </w:p>
        </w:tc>
        <w:tc>
          <w:tcPr>
            <w:tcW w:w="6422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无</w:t>
            </w:r>
          </w:p>
        </w:tc>
      </w:tr>
    </w:tbl>
    <w:p>
      <w:pPr>
        <w:widowControl/>
        <w:jc w:val="left"/>
        <w:rPr>
          <w:rFonts w:ascii="仿宋_GB2312" w:hAnsi="宋体" w:eastAsia="仿宋_GB2312" w:cs="宋体"/>
          <w:sz w:val="24"/>
        </w:rPr>
      </w:pPr>
    </w:p>
    <w:p>
      <w:pPr>
        <w:rPr>
          <w:rFonts w:ascii="仿宋_GB2312" w:hAnsi="宋体" w:eastAsia="仿宋_GB2312" w:cs="宋体"/>
          <w:sz w:val="24"/>
        </w:rPr>
      </w:pPr>
    </w:p>
    <w:sectPr>
      <w:pgSz w:w="11906" w:h="16838"/>
      <w:pgMar w:top="1440" w:right="141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86CF5"/>
    <w:rsid w:val="00021C6A"/>
    <w:rsid w:val="00054D80"/>
    <w:rsid w:val="00090A25"/>
    <w:rsid w:val="000A6374"/>
    <w:rsid w:val="000C3168"/>
    <w:rsid w:val="00130DD8"/>
    <w:rsid w:val="00181616"/>
    <w:rsid w:val="002300C3"/>
    <w:rsid w:val="002513BF"/>
    <w:rsid w:val="002E5B04"/>
    <w:rsid w:val="002E68B1"/>
    <w:rsid w:val="00317958"/>
    <w:rsid w:val="00350701"/>
    <w:rsid w:val="00410FDA"/>
    <w:rsid w:val="0048553F"/>
    <w:rsid w:val="004E1662"/>
    <w:rsid w:val="005678F6"/>
    <w:rsid w:val="005F3DF5"/>
    <w:rsid w:val="00640845"/>
    <w:rsid w:val="00670DD6"/>
    <w:rsid w:val="00710038"/>
    <w:rsid w:val="007625A0"/>
    <w:rsid w:val="00795EAF"/>
    <w:rsid w:val="00894687"/>
    <w:rsid w:val="008D0458"/>
    <w:rsid w:val="00942636"/>
    <w:rsid w:val="009C5C83"/>
    <w:rsid w:val="00A81527"/>
    <w:rsid w:val="00AE5FC4"/>
    <w:rsid w:val="00B7786E"/>
    <w:rsid w:val="00B86CF5"/>
    <w:rsid w:val="00B90944"/>
    <w:rsid w:val="00BE186B"/>
    <w:rsid w:val="00BF7029"/>
    <w:rsid w:val="00C12E57"/>
    <w:rsid w:val="00C478BC"/>
    <w:rsid w:val="00CE69AB"/>
    <w:rsid w:val="00D24B37"/>
    <w:rsid w:val="00D34ECB"/>
    <w:rsid w:val="00DB7EB2"/>
    <w:rsid w:val="00E01049"/>
    <w:rsid w:val="00E84C79"/>
    <w:rsid w:val="00EA575D"/>
    <w:rsid w:val="00EA7EF2"/>
    <w:rsid w:val="00EE4BED"/>
    <w:rsid w:val="00F1448A"/>
    <w:rsid w:val="00F80D41"/>
    <w:rsid w:val="00FA7908"/>
    <w:rsid w:val="00FB3514"/>
    <w:rsid w:val="08042101"/>
    <w:rsid w:val="0A65447F"/>
    <w:rsid w:val="1B1C798F"/>
    <w:rsid w:val="261E558D"/>
    <w:rsid w:val="289B5D9F"/>
    <w:rsid w:val="35452569"/>
    <w:rsid w:val="4D34390D"/>
    <w:rsid w:val="70F06AA9"/>
    <w:rsid w:val="74C61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8">
    <w:name w:val="Footer Char"/>
    <w:basedOn w:val="6"/>
    <w:link w:val="2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Header Char"/>
    <w:basedOn w:val="6"/>
    <w:link w:val="3"/>
    <w:locked/>
    <w:uiPriority w:val="99"/>
    <w:rPr>
      <w:rFonts w:cs="Times New Roman"/>
      <w:kern w:val="2"/>
      <w:sz w:val="18"/>
      <w:szCs w:val="18"/>
    </w:rPr>
  </w:style>
  <w:style w:type="paragraph" w:styleId="10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5</Pages>
  <Words>330</Words>
  <Characters>1887</Characters>
  <Lines>0</Lines>
  <Paragraphs>0</Paragraphs>
  <TotalTime>30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2019-08-30T07:48:00Z</dcterms:created>
  <dc:creator>kin</dc:creator>
  <cp:lastModifiedBy>Administrator</cp:lastModifiedBy>
  <cp:lastPrinted>2019-08-29T02:25:00Z</cp:lastPrinted>
  <dcterms:modified xsi:type="dcterms:W3CDTF">2019-09-05T03:30:15Z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