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0" w:right="0"/>
        <w:jc w:val="both"/>
        <w:rPr>
          <w:rFonts w:hint="eastAsia"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Times New Roman" w:eastAsia="黑体" w:cs="黑体"/>
          <w:kern w:val="2"/>
          <w:sz w:val="44"/>
          <w:szCs w:val="44"/>
        </w:rPr>
      </w:pPr>
      <w:r>
        <w:rPr>
          <w:rFonts w:hint="eastAsia" w:ascii="黑体" w:hAnsi="Times New Roman" w:eastAsia="黑体" w:cs="黑体"/>
          <w:kern w:val="2"/>
          <w:sz w:val="44"/>
          <w:szCs w:val="44"/>
          <w:lang w:val="en-US" w:eastAsia="zh-CN" w:bidi="ar"/>
        </w:rPr>
        <w:t>政府信息公开情况统计表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仿宋_GB2312" w:hAnsi="Times New Roman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（2017年度）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Times New Roman" w:eastAsia="仿宋_GB2312" w:cs="仿宋_GB2312"/>
          <w:kern w:val="2"/>
          <w:sz w:val="24"/>
          <w:szCs w:val="24"/>
        </w:rPr>
      </w:pPr>
      <w:r>
        <w:rPr>
          <w:rFonts w:hint="eastAsia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kern w:val="2"/>
          <w:sz w:val="24"/>
          <w:szCs w:val="24"/>
        </w:rPr>
      </w:pPr>
    </w:p>
    <w:tbl>
      <w:tblPr>
        <w:tblStyle w:val="3"/>
        <w:tblW w:w="79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5"/>
        <w:gridCol w:w="709"/>
        <w:gridCol w:w="12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sz w:val="24"/>
                <w:szCs w:val="24"/>
                <w:lang w:val="en-US" w:eastAsia="zh-CN" w:bidi="ar"/>
              </w:rPr>
              <w:t>统计指标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sz w:val="24"/>
                <w:szCs w:val="24"/>
                <w:lang w:val="en-US" w:eastAsia="zh-CN" w:bidi="ar"/>
              </w:rPr>
              <w:t>本年累计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一、主动公开情况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240" w:firstLineChars="10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（一）主动公开政府信息数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600" w:firstLineChars="2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（不同渠道和方式公开相同的信息列为1条）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600" w:firstLineChars="2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其中：主动公开规范性文件数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320" w:firstLineChars="5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制发规范性文件总数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（二）通过不同渠道和方式公开政府信息的情况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1、政府公报公开政府信息数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2、政府网站公开政府信息数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3、政务微博公开政府信息数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4、政务微信公开政府信息数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5、其他方式公开政府信息数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二、回应解读情况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（一）回应公众关注热点或重大舆情数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次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  （不同方式回应同一热点或舆情计1次）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（二）通过不同渠道和方式回应解读的情况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次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1、参加或举办新闻发布会总次数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次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 其中：主要负责同志参加新闻发布会次数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次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2、政府网站在线访谈次数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次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 其中：主要负责同志参加政府网站在线访谈次数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篇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3、政策解读稿件发布数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次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（政策解读稿件名：                            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4、微博微信回应事件数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次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5、其他方式回应事件数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次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Times New Roman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Times New Roman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tbl>
      <w:tblPr>
        <w:tblStyle w:val="3"/>
        <w:tblW w:w="80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  <w:gridCol w:w="709"/>
        <w:gridCol w:w="14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三、依申请公开情况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240" w:firstLineChars="10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（一）收到申请数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1、当面申请数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2、传真申请数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3、网络申请数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4、信函申请数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（二）申请办结数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1、按时办结数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2、延期办结数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（三）申请答复数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1、属于已主动公开范围数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2、同意公开答复数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3、同意部分公开答复数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4、不同意公开答复数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 其中：涉及国家秘密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       涉及商业秘密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       涉及个人隐私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       危及国家安全、公共安全、经济安全和社会稳定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      不是《条例》所指政府信息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      法律法规规定的其他情形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5、不属于本行政机关公开数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6、申请信息不存在数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7、告知作出更改补充数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8、告知通过其他途径办理数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四、行政复议数量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（一）维持具体行政行为数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（二）被依法纠错数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（三）其他情形数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五、行政诉讼数量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（一）维持具体行政行为或者驳回原告诉讼请求数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Times New Roman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tbl>
      <w:tblPr>
        <w:tblStyle w:val="3"/>
        <w:tblW w:w="80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  <w:gridCol w:w="709"/>
        <w:gridCol w:w="14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（二）依法纠错数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（三）其他情形数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六、举报投诉数量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七、依申请公开信息收取的费用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万元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八、机构建设和保障经费情况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（一）政府信息公开工作专门机构数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（二）设置政府信息公开查阅点数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个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（三）从事政府信息公开工作人数员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人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 1、专职人员数（不包括政府公报及政府网站工作人员数）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人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   2、兼职人员数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人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（四）政府信息公开专项经费（不包括用于政府公报编辑管理及政府网站建设维护等方面的经费）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万元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九、政府信息公开会议和培训情况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（一）召开政府信息公开工作会议或专题会议数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（二）举办各类培训班数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  （三）接受培训人员数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人次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十、政务公开要点落实情况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（一）政策法规类信息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（二）人事任免类信息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（三）通知公告类信息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（四）行政处罚类信息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（五）行政许可类信息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（六）民生实事类信息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（七）规划计划类信息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（八）数据统计类信息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（九）重大项目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（十）部门动态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（十一）单位刊物（名称：                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期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080" w:firstLineChars="4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单位刊物公开信息数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（十二）财务信息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（十三）通过微博公开（微博名称：        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（十四）通过微信公众号公开（公众号名称：湘潭县信访局）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（十五）在政府门户网站重点领域信息公开专栏公开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（十六）市长热线交办数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320" w:firstLineChars="5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市长热线回复数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（十七）市长信箱交办数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320" w:firstLineChars="5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市长信箱回复数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（十八）《湘潭在线》最新民情交办数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200" w:firstLineChars="50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《湘潭在线》最新民情回复数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（十九）网上信访交办数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320" w:firstLineChars="5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网上信访回复数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360" w:firstLineChars="15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（二十）其他信息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56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54928"/>
    <w:rsid w:val="25D5492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2019-05-13T08:45:00Z</dcterms:created>
  <dc:creator>Administrator</dc:creator>
  <cp:lastModifiedBy>Administrator</cp:lastModifiedBy>
  <dcterms:modified xsi:type="dcterms:W3CDTF">2019-05-13T08:46:14Z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