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 w:hAnsi="仿宋" w:eastAsia="仿宋" w:cs="仿宋"/>
          <w:b/>
          <w:bCs/>
          <w:color w:val="000000"/>
          <w:kern w:val="0"/>
          <w:sz w:val="32"/>
          <w:szCs w:val="32"/>
        </w:rPr>
      </w:pPr>
    </w:p>
    <w:p>
      <w:pPr>
        <w:tabs>
          <w:tab w:val="left" w:pos="6480"/>
        </w:tabs>
        <w:spacing w:line="600" w:lineRule="exact"/>
        <w:jc w:val="center"/>
        <w:rPr>
          <w:rFonts w:hint="eastAsia" w:ascii="宋体" w:hAnsi="宋体" w:cs="方正小标宋_GBK"/>
          <w:b/>
          <w:sz w:val="36"/>
          <w:szCs w:val="36"/>
        </w:rPr>
      </w:pPr>
      <w:r>
        <w:rPr>
          <w:rFonts w:hint="eastAsia" w:ascii="宋体" w:hAnsi="宋体" w:cs="方正小标宋_GBK"/>
          <w:b/>
          <w:sz w:val="36"/>
          <w:szCs w:val="36"/>
          <w:lang w:eastAsia="zh-CN"/>
        </w:rPr>
        <w:t>湘潭县商务局</w:t>
      </w:r>
      <w:r>
        <w:rPr>
          <w:rFonts w:hint="eastAsia" w:ascii="宋体" w:hAnsi="宋体" w:cs="方正小标宋_GBK"/>
          <w:b/>
          <w:sz w:val="36"/>
          <w:szCs w:val="36"/>
          <w:lang w:val="en-US" w:eastAsia="zh-CN"/>
        </w:rPr>
        <w:t>2018年</w:t>
      </w:r>
      <w:r>
        <w:rPr>
          <w:rFonts w:hint="eastAsia" w:ascii="宋体" w:hAnsi="宋体" w:cs="方正小标宋_GBK"/>
          <w:b/>
          <w:bCs/>
          <w:sz w:val="36"/>
          <w:szCs w:val="36"/>
        </w:rPr>
        <w:t>部门整体支出绩效评价报告</w:t>
      </w:r>
    </w:p>
    <w:tbl>
      <w:tblPr>
        <w:tblStyle w:val="5"/>
        <w:tblW w:w="90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5670" w:type="dxa"/>
            <w:noWrap w:val="0"/>
            <w:vAlign w:val="center"/>
          </w:tcPr>
          <w:p>
            <w:pPr>
              <w:spacing w:line="576" w:lineRule="exact"/>
              <w:ind w:right="880" w:rightChars="419"/>
              <w:jc w:val="center"/>
              <w:rPr>
                <w:rFonts w:hint="eastAsia" w:ascii="仿宋_GB2312" w:hAnsi="宋体" w:eastAsia="仿宋_GB2312" w:cs="宋体"/>
                <w:szCs w:val="21"/>
              </w:rPr>
            </w:pPr>
            <w:r>
              <w:rPr>
                <w:rFonts w:hint="eastAsia" w:ascii="仿宋" w:hAnsi="仿宋" w:eastAsia="仿宋" w:cs="方正小标宋简体"/>
                <w:sz w:val="24"/>
                <w:lang w:eastAsia="zh-CN"/>
              </w:rPr>
              <w:t>湘潭县商务局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70" w:type="dxa"/>
            <w:noWrap w:val="0"/>
            <w:vAlign w:val="center"/>
          </w:tcPr>
          <w:p>
            <w:pPr>
              <w:spacing w:line="576" w:lineRule="exact"/>
              <w:ind w:right="880" w:rightChars="419"/>
              <w:jc w:val="center"/>
              <w:rPr>
                <w:rFonts w:hint="default" w:ascii="仿宋_GB2312" w:hAnsi="宋体" w:eastAsia="仿宋_GB2312" w:cs="宋体"/>
                <w:szCs w:val="21"/>
                <w:lang w:val="en-US"/>
              </w:rPr>
            </w:pPr>
            <w:r>
              <w:rPr>
                <w:rFonts w:hint="eastAsia" w:ascii="仿宋" w:hAnsi="仿宋" w:eastAsia="仿宋" w:cs="方正小标宋简体"/>
                <w:sz w:val="24"/>
                <w:lang w:val="en-US" w:eastAsia="zh-CN"/>
              </w:rPr>
              <w:t>3341.44</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5670" w:type="dxa"/>
            <w:noWrap w:val="0"/>
            <w:vAlign w:val="center"/>
          </w:tcPr>
          <w:p>
            <w:pPr>
              <w:spacing w:line="576" w:lineRule="exact"/>
              <w:ind w:right="880" w:rightChars="419"/>
              <w:jc w:val="center"/>
              <w:rPr>
                <w:rFonts w:hint="eastAsia" w:ascii="仿宋_GB2312" w:hAnsi="宋体" w:eastAsia="仿宋_GB2312" w:cs="宋体"/>
                <w:szCs w:val="21"/>
              </w:rPr>
            </w:pPr>
            <w:r>
              <w:rPr>
                <w:rFonts w:hint="eastAsia" w:ascii="仿宋" w:hAnsi="仿宋" w:eastAsia="仿宋" w:cs="方正小标宋简体"/>
                <w:sz w:val="24"/>
                <w:lang w:eastAsia="zh-CN"/>
              </w:rPr>
              <w:t>企财股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5670" w:type="dxa"/>
            <w:noWrap w:val="0"/>
            <w:vAlign w:val="center"/>
          </w:tcPr>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一、贯彻落实国家、省、市有关内外贸易、对外投资、国际经济合作、招商引资、粮食流通的发展战略、方针、政策；拟定全县商务经济、利用外资、粮食宏观调控总量平衡、粮食流通以及粮食行业等相应的中长期发展规划以及规定、办法和措施；研究区域经济合作、现代流通方式的发展趋势并提出相关建议。</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研究提出流通体制改革建议；指导商贸服务业和社区商业发展，提出促进商贸中小企业发展的建议；培育发展城乡市场，推进流通产业结构调整和连锁经营、商业特许经营、物流配送、电子商务等现代流通方式。</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三、拟定全县规范流通领域市场、流通秩序和打破市场垄断、地区封锁的有关规定；提出规范全县市场秩序工作的建议，承担牵头协调整顿和规范市场经济秩序工作的责任；推动商务领域信用建设，建立市场诚信公共服务平台，按有关规定对特殊流通行业进行监督管理，建立健全统一、开放、竞争、有序的市场体系；拟定城市商业网点规划，推进商业体系建设和农村市场体系建设，组织实施农村现代流通网络工程。</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四、承担组织实施重要消费品市场调控和重要生产资料流通管理的责任；负责建立健全生活必需品市场供应应急管理机制，监测分析市场运行、商品供求状况，调查分析商品价格信息，进行预测预警和信息引导。</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五、拟定全县商品流通（含物流业）和餐饮、住宿、美容美发、洗染等商贸服务业行业管理的有关规范性文件，制定实施细则和市场准则，调查研究流通行业重大问题，提出政策建议；负责全县成品油经营以及拍卖、典当、租赁、直销、旧货流通活动的监督管理；指导报废汽车管理、再生资源回收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六、拟定全县医药流通行业发展规划，配合实施国家基本药物制度，提高行业组织化程度和现代化水平，逐步建立药品流通行业统计制度，推进行业信用体系建设。</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七、拟定全县农贸市场发展规划以及全县农贸市场管理办法。承担县域内居民生活“菜篮子”工程建设，保障居民生活必需品的供给。承担农贸市场管理及维护工作，推进市场稳步健康发展。</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八、执行国家制定的进出口商品管理办法、进出口商品目录和进出口配额招标政策；指导进出口配额、许可证的申请、实施和管理工作。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九、贯彻执行国家对外技术贸易、进出口管理以及鼓励技术和成套设备出口的政策；推进进出口贸易标准化工作。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十、牵头拟定服务贸易和服务外包发展规划并开展相关工作；推动服务对外承包平台建设。</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十一、配合省、市商务部门做好反倾销、反补贴、保障措施和其他与进出口公平贸易有关工作以及全县产业损害调查；指导外贸企业做好反倾销、反补贴、保障措施的应诉及相关工作。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十二、承担全县对外经济技术合作工作，指导和监督全县对外承包工程、劳务合作等业务的管理。</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十三、负责组织参与商务部、省政府、市政府举办的内外贸易促销活动，对外经济技术合作活动；指导、协调以湘潭县名义在境内外举办的各种内外贸交易会、展览会、展销会等活动。</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十四、承担全县商务粮食系统统计及其信息发布工作，提供信息咨询服务，指导全县流通领域信息网络和电子商务建设；指导全县商贸流通行业协会、学会等社团组织工作。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十五、统筹全县招商引资工作的开展和管理，监督优惠政策的落实，考核全县各级各部门招商引资情况；制定有关利用外资，改善投资环境的实施办法和规范性文件。</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六、负责管理全县对外投资，涉外经济合作业务；调查经济环境；分析研究全县外来投资情况，统一对外发布重点招商项目；跟踪调度重点招商项目并督促落实；依审批外商投资项目的合同、章程及法律规定的变更事项。</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七、负责外来投资项目的审核；协调外来投资企业在投资、生产经营过程中的具体问题，接受外来投资企业的来信来访和投诉，督促检查外来投资企业执行有关法律法规和履行合同、章程情况；为外来投资企业提供政策法规业务咨询服务；负责外来投资企业家协会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十八、监督全县各级各部门对外来投资企业的收费和服务；全程代办相关职能部门办理的有关证照手续，收取行政规费，为外来投资企业创造更好的投资环境。</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十九、负责对外发布招商引资信息；负责与境内外企业财团，各界人士联络；组织举办或参与各类招商活动；负责利用外资的各类统计报表，综合上报和检查考核；做好招商引资中介人奖励的前期准备工作。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二十、承担粮食监测预警和应急责任，负责全县粮食流通宏观调控的具体工作；指导、协调最低收购价等政策性粮食购销和粮食产销合作。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十一、承担县级储备粮行政管理责任，会同有关部门研究提出县级储备粮的规模、总体布局、购销计划以及提出动用县级储备粮的建议；会同有关部门审批县级储备粮轮换计划并监督实施；协调国家、省级储备粮、市级储备粮与县粮食购销的关系；负责全县储备粮的库存、质量和安全。</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十二、负责对全县粮食流通监督管理，监督检查全县粮食企业执行国家粮食购销政策和有关法律法规；承担县内粮食收购资格的核准工作；会同有关部门做好粮食行业的执法检查工作；维护正常的粮食流通秩序。</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十三、会同有关部门拟定全县粮食市场体系建设与发展规划并组织实施；编制全县粮食仓储、加工和流通建设的规划；负责对粮食收购、储存环节的粮食质量、安全、原粮卫生进行监督管理；指导行业的技术改造和新技术推广，组织指导全县粮食行业安全保卫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十四、协调粮食行业重点项目（基本建设、技术改造、资金引进）的审核、申报、验收等有关工作；指导监管全县粮食行业财务核算；督促检查各项粮食补贴资金的使用和管理情况；负责本系统国有资产的监督管理工作。</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二十五、负责全县商务粮食系统企业改制遗留问题的处理。</w:t>
            </w:r>
          </w:p>
          <w:p>
            <w:pPr>
              <w:spacing w:line="576" w:lineRule="exact"/>
              <w:ind w:right="880" w:rightChars="419"/>
              <w:jc w:val="center"/>
              <w:rPr>
                <w:rFonts w:hint="eastAsia" w:ascii="仿宋_GB2312" w:hAnsi="宋体" w:eastAsia="仿宋_GB2312" w:cs="宋体"/>
                <w:szCs w:val="21"/>
              </w:rPr>
            </w:pPr>
            <w:r>
              <w:rPr>
                <w:rFonts w:hint="eastAsia" w:ascii="仿宋" w:hAnsi="仿宋" w:eastAsia="仿宋" w:cs="方正小标宋简体"/>
                <w:sz w:val="24"/>
                <w:lang w:val="en-US" w:eastAsia="zh-CN"/>
              </w:rPr>
              <w:t>二十六、承办县人民政府交办的其他事项。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7" w:hRule="atLeast"/>
          <w:jc w:val="center"/>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noWrap w:val="0"/>
            <w:vAlign w:val="center"/>
          </w:tcPr>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一、内设机构</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湘潭县商务粮食局内设股室9个，下辖4个二级机构，分别是湘潭县投资促进服务中心、湘潭县商务粮食综合执法大队、湘潭县槟榔产业管理办公室、湘潭县外派劳务服务中心。</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二、人员编制</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2017年我局预算编制人数68人。实有在职人员74人（含临聘人员）。其中统发人员68人，人事代理人员1人，临聘人员5人。遗属补助5人，退休人员64人，离休人员 1人。 车辆编制数 1辆，实有1辆，其中执法车辆1辆。</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三、预算安排情况及资金用途</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2018年我局年初部门预算1563.44万元（其中基本支出798.54万元，专项支出764.9万元）。基本支出年初安排798.54万元，包含工资福利支出710.25万，商品服务支出82.71万，其他对个人和家庭的补助支出5.5万，年中调整部门预算175.08万元。基本支出预算主要用于维持局机关正常行政运行人员工资支出、社会保障支出、办公费、印刷费、宣传费、机关水电费、公务接待费、差旅费等工资福利支出和商品与服务支出；专项支出年初安排764.9万元，年中调整部门预算1170.18万元，省级补助及上年预算结转911万元。项目性经费用于保障部门职能职责，对符合政策的企业给予的政策性补贴及财政贴息、奖励资金支出等。</w:t>
            </w:r>
          </w:p>
          <w:p>
            <w:pPr>
              <w:spacing w:line="460" w:lineRule="atLeast"/>
              <w:ind w:firstLine="480" w:firstLineChars="200"/>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我局始终坚持厉行节约、实事求是的工作作风，严格按照政策及专项资金的管理要求使用部门预算资金，先后制订了《湘潭商务粮食局财务管理办法》、《湘潭县商务粮食局专项资金管理办法》、《湘潭县商务粮食局差旅费管理办法》等相关制度，明确了经费审批权限及程序，经费预算、核算管理、资产购置与处置、财务监督等。</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四、预算资金执行情况</w:t>
            </w:r>
          </w:p>
          <w:p>
            <w:pPr>
              <w:spacing w:line="460" w:lineRule="atLeast"/>
              <w:ind w:firstLine="480" w:firstLineChars="200"/>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2018年我局部门预算基本支出1030.11万元,项目支出2789.51万元，其中基本支出用于工资福利支出936.18万元，商品服务支出84.68万元，对个人及家庭补助支出3.4万元，其他资本性支出5.85万。项目支出用于商品与服务支出及对企事业单位补贴等。</w:t>
            </w:r>
          </w:p>
          <w:p>
            <w:pPr>
              <w:spacing w:line="460" w:lineRule="atLeast"/>
              <w:rPr>
                <w:rFonts w:hint="eastAsia" w:ascii="仿宋" w:hAnsi="仿宋" w:eastAsia="仿宋" w:cs="方正小标宋简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5670" w:type="dxa"/>
            <w:noWrap w:val="0"/>
            <w:vAlign w:val="center"/>
          </w:tcPr>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一、部门整体绩效成果</w:t>
            </w:r>
          </w:p>
          <w:p>
            <w:pPr>
              <w:spacing w:line="460" w:lineRule="atLeast"/>
              <w:ind w:firstLine="480" w:firstLineChars="200"/>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我局</w:t>
            </w:r>
            <w:r>
              <w:rPr>
                <w:rFonts w:hint="default" w:ascii="仿宋" w:hAnsi="仿宋" w:eastAsia="仿宋" w:cs="方正小标宋简体"/>
                <w:sz w:val="24"/>
                <w:lang w:val="en-US" w:eastAsia="zh-CN"/>
              </w:rPr>
              <w:t>根据20</w:t>
            </w:r>
            <w:r>
              <w:rPr>
                <w:rFonts w:hint="eastAsia" w:ascii="仿宋" w:hAnsi="仿宋" w:eastAsia="仿宋" w:cs="方正小标宋简体"/>
                <w:sz w:val="24"/>
                <w:lang w:val="en-US" w:eastAsia="zh-CN"/>
              </w:rPr>
              <w:t>18</w:t>
            </w:r>
            <w:r>
              <w:rPr>
                <w:rFonts w:hint="default" w:ascii="仿宋" w:hAnsi="仿宋" w:eastAsia="仿宋" w:cs="方正小标宋简体"/>
                <w:sz w:val="24"/>
                <w:lang w:val="en-US" w:eastAsia="zh-CN"/>
              </w:rPr>
              <w:t>年</w:t>
            </w:r>
            <w:r>
              <w:rPr>
                <w:rFonts w:hint="eastAsia" w:ascii="仿宋" w:hAnsi="仿宋" w:eastAsia="仿宋" w:cs="方正小标宋简体"/>
                <w:sz w:val="24"/>
                <w:lang w:val="en-US" w:eastAsia="zh-CN"/>
              </w:rPr>
              <w:t>县委、县政府</w:t>
            </w:r>
            <w:r>
              <w:rPr>
                <w:rFonts w:hint="default" w:ascii="仿宋" w:hAnsi="仿宋" w:eastAsia="仿宋" w:cs="方正小标宋简体"/>
                <w:sz w:val="24"/>
                <w:lang w:val="en-US" w:eastAsia="zh-CN"/>
              </w:rPr>
              <w:t>工作任务的要求，</w:t>
            </w:r>
            <w:r>
              <w:rPr>
                <w:rFonts w:hint="eastAsia" w:ascii="仿宋" w:hAnsi="仿宋" w:eastAsia="仿宋" w:cs="方正小标宋简体"/>
                <w:sz w:val="24"/>
                <w:lang w:val="en-US" w:eastAsia="zh-CN"/>
              </w:rPr>
              <w:t>按照全县经济发展目标任务，主动适应经济发展新常态，振奋精神、争先创优，狠抓落实，各项工作稳步推进、成绩显著。</w:t>
            </w:r>
            <w:r>
              <w:rPr>
                <w:rFonts w:hint="default" w:ascii="仿宋" w:hAnsi="仿宋" w:eastAsia="仿宋" w:cs="方正小标宋简体"/>
                <w:sz w:val="24"/>
                <w:lang w:val="en-US" w:eastAsia="zh-CN"/>
              </w:rPr>
              <w:t>对照</w:t>
            </w:r>
            <w:r>
              <w:rPr>
                <w:rFonts w:hint="eastAsia" w:ascii="仿宋" w:hAnsi="仿宋" w:eastAsia="仿宋" w:cs="方正小标宋简体"/>
                <w:sz w:val="24"/>
                <w:lang w:val="en-US" w:eastAsia="zh-CN"/>
              </w:rPr>
              <w:t>我局2018年</w:t>
            </w:r>
            <w:r>
              <w:rPr>
                <w:rFonts w:hint="default" w:ascii="仿宋" w:hAnsi="仿宋" w:eastAsia="仿宋" w:cs="方正小标宋简体"/>
                <w:sz w:val="24"/>
                <w:lang w:val="en-US" w:eastAsia="zh-CN"/>
              </w:rPr>
              <w:t>确定的绩效目标开展绩效自评</w:t>
            </w:r>
            <w:r>
              <w:rPr>
                <w:rFonts w:hint="eastAsia" w:ascii="仿宋" w:hAnsi="仿宋" w:eastAsia="仿宋" w:cs="方正小标宋简体"/>
                <w:sz w:val="24"/>
                <w:lang w:val="en-US" w:eastAsia="zh-CN"/>
              </w:rPr>
              <w:t>，</w:t>
            </w:r>
            <w:r>
              <w:rPr>
                <w:rFonts w:hint="default" w:ascii="仿宋" w:hAnsi="仿宋" w:eastAsia="仿宋" w:cs="方正小标宋简体"/>
                <w:sz w:val="24"/>
                <w:lang w:val="en-US" w:eastAsia="zh-CN"/>
              </w:rPr>
              <w:t>201</w:t>
            </w:r>
            <w:r>
              <w:rPr>
                <w:rFonts w:hint="eastAsia" w:ascii="仿宋" w:hAnsi="仿宋" w:eastAsia="仿宋" w:cs="方正小标宋简体"/>
                <w:sz w:val="24"/>
                <w:lang w:val="en-US" w:eastAsia="zh-CN"/>
              </w:rPr>
              <w:t>8</w:t>
            </w:r>
            <w:r>
              <w:rPr>
                <w:rFonts w:hint="default" w:ascii="仿宋" w:hAnsi="仿宋" w:eastAsia="仿宋" w:cs="方正小标宋简体"/>
                <w:sz w:val="24"/>
                <w:lang w:val="en-US" w:eastAsia="zh-CN"/>
              </w:rPr>
              <w:t>年绩效指标完成情况是：产出指标任务完成率100%；效益指标按时完成；满意度指标达到预期效果。通过预算安排的资金在本年度内达到了预期的产出和效果工作目标，较好的完成了年初确定的各项工作任务：</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1、</w:t>
            </w:r>
            <w:r>
              <w:rPr>
                <w:rFonts w:hint="default" w:ascii="仿宋" w:hAnsi="仿宋" w:eastAsia="仿宋" w:cs="方正小标宋简体"/>
                <w:sz w:val="24"/>
                <w:lang w:val="en-US" w:eastAsia="zh-CN"/>
              </w:rPr>
              <w:t>社会消费品零售总额完成情况</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2018年完成社会消费品零售总额96亿元，同比增长</w:t>
            </w:r>
            <w:r>
              <w:rPr>
                <w:rFonts w:hint="default" w:ascii="仿宋" w:hAnsi="仿宋" w:eastAsia="仿宋" w:cs="方正小标宋简体"/>
                <w:sz w:val="24"/>
                <w:lang w:val="en-US" w:eastAsia="zh-CN"/>
              </w:rPr>
              <w:t>1</w:t>
            </w:r>
            <w:r>
              <w:rPr>
                <w:rFonts w:hint="eastAsia" w:ascii="仿宋" w:hAnsi="仿宋" w:eastAsia="仿宋" w:cs="方正小标宋简体"/>
                <w:sz w:val="24"/>
                <w:lang w:val="en-US" w:eastAsia="zh-CN"/>
              </w:rPr>
              <w:t>0.3</w:t>
            </w:r>
            <w:r>
              <w:rPr>
                <w:rFonts w:hint="default" w:ascii="仿宋" w:hAnsi="仿宋" w:eastAsia="仿宋" w:cs="方正小标宋简体"/>
                <w:sz w:val="24"/>
                <w:lang w:val="en-US" w:eastAsia="zh-CN"/>
              </w:rPr>
              <w:t>%,</w:t>
            </w:r>
            <w:r>
              <w:rPr>
                <w:rFonts w:hint="eastAsia" w:ascii="仿宋" w:hAnsi="仿宋" w:eastAsia="仿宋" w:cs="方正小标宋简体"/>
                <w:sz w:val="24"/>
                <w:lang w:val="en-US" w:eastAsia="zh-CN"/>
              </w:rPr>
              <w:t>增速居全市第二。其中，限额以上企业（单位）实现社会消费品零售额15.1亿元，同比增长14.59%新增限上企业12家。全市社消零工作年度考核综合排名第一。</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2.</w:t>
            </w:r>
            <w:r>
              <w:rPr>
                <w:rFonts w:hint="default" w:ascii="仿宋" w:hAnsi="仿宋" w:eastAsia="仿宋" w:cs="方正小标宋简体"/>
                <w:sz w:val="24"/>
                <w:lang w:val="en-US" w:eastAsia="zh-CN"/>
              </w:rPr>
              <w:t>对外贸易额完成情况</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全年完成进出口总额1.5亿美元，同比增长486.4%，其中出口完成1.48亿美元，进口完成187万美元，增幅居全市第一。累计对外输出劳务人员3200人次，完成对外承包工程和劳务合作营业额7200万美元，增幅及进度排名全市第一。预计全年完成进出口总额1.6亿美元。</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一是设立天易经开区外贸综合服务中心，为10多家外贸出口企业提供全方位服务,引进了4家外贸企业。二是重点组织20余家企业参加东盟博览会、进博会等境内外展会，不断提高企业的竞争能力。三是举办全县外贸业务知识培训，参加人数达80余人，并组织30家企业参加市局培训，全面提升外贸人员业务水平。有进出口业绩企业33家，新办备案登记企业29家，破零企业10家。11月份，获评“全省发展开放型经济优秀县市区”荣誉称号。四是10月份首个中职毕业生海外就业合作培养基地建成，引导劳务人员通过合法正规渠道出国务工，为大中专、中职学校毕业生海外创业、就业提供服务。1-11月份，实现到位省外境内资金53.22亿元，完成市对县考核指标任务48.5亿元的109.7%，完成率在全市排名第一；实际利用外资1.2亿美元，完成市下达任务9149万美元的125.08%，完成率在全市排名第一。预计全年实现招商引资到位资金63亿元以上。其中，到位省外境内资金55亿元，实际利用外资1.2亿美元。</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3.</w:t>
            </w:r>
            <w:r>
              <w:rPr>
                <w:rFonts w:hint="default" w:ascii="仿宋" w:hAnsi="仿宋" w:eastAsia="仿宋" w:cs="方正小标宋简体"/>
                <w:sz w:val="24"/>
                <w:lang w:val="en-US" w:eastAsia="zh-CN"/>
              </w:rPr>
              <w:t>招商引资完成情况</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按照“比信息采集、比项目签约、比资金到位”的要求，全力开展招商引资竞赛，突出产业招商、精准招商、专业招商等主题。全年新引进项目81个，其中过亿元项目22个,兑现开放型经济奖励946.48万元。一是抓重点。重点对接“珠三角”“长三角”“京津冀”地区，围绕主导产业，力争跟进一批项目、洽谈一批项目、签约落地一批项目。二是“引进来”。通过亲情招商、以商招商、专场推介等多种形式有针对性地开展招商活动。着力引进世界500强、中国制造业500强、行业龙头、上市公司和总部企业。三是“走出去”。组成考察团赴浙江杭萧钢构股份有限公司、红狮控股集团及浙江湖南商会拜访和考察项目，积极对接智能制造装备式产业。8月25日，在广州组织召开广州·湘潭县智能制造、皮具皮鞋产业招商推介会，积极向外推介我县优质项目。项目招商方面，引进500强企业子公司投资项目4个，2017年省签项目1个，履约情况较好；2018年省签项目3个，超过县市区平均数；小分队活动开展较好。项目落地方面，2017年度我县申报重大产业加分项目13个，能全部履约。</w:t>
            </w:r>
          </w:p>
          <w:p>
            <w:pPr>
              <w:spacing w:line="460" w:lineRule="atLeast"/>
              <w:rPr>
                <w:rFonts w:hint="default" w:ascii="仿宋" w:hAnsi="仿宋" w:eastAsia="仿宋" w:cs="方正小标宋简体"/>
                <w:sz w:val="24"/>
                <w:lang w:val="en-US" w:eastAsia="zh-CN"/>
              </w:rPr>
            </w:pP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4.电子商务</w:t>
            </w:r>
            <w:r>
              <w:rPr>
                <w:rFonts w:hint="default" w:ascii="仿宋" w:hAnsi="仿宋" w:eastAsia="仿宋" w:cs="方正小标宋简体"/>
                <w:sz w:val="24"/>
                <w:lang w:val="en-US" w:eastAsia="zh-CN"/>
              </w:rPr>
              <w:t>完成情况</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一是加大与京东、阿里巴巴电商巨头对接。协助县银河商贸有限公司对接京东云仓项目及京东快递业务。农村淘宝项目已开通68个村级服务站，47个淘帮手，销售额已过5000万元。农村商贸综合服务体入驻供应商达30余家，各乡镇门店达2400余家，销售额突破2亿元。二是组织开展电商培训25场，培训人数达1300余人。积极推广省定贫困户使用扶贫小店，已开设580家湖南电商扶贫小店。9月份，作为典型在全省电商扶贫暨电子商务进农村综合示范工作推进会上，分享湘潭县电商扶贫工作经验    。三是与县内科技企业千里码数据科技有限公司签订协议，农产品质量溯源体系正在建设。搭建电商事业合作平台，9月份成立县电子商务协会，加入会员195个，会员单位100家，个人会员95个。</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5.综合执法工作成效</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2017年我局出动执法队员出勤700余人次，监管出库政策性粮食24000余吨，监管转化粮食1600余吨，确保政策性粮食全部安全转化，开展了成品油市场专项整治、粮食流通专项执法检查和政策性粮食出库驻库监管、报废汽车回收拆解领域专项整治、再生资源回收行业安全环保专项整治、汽车销售市场专项检查等多次行动，全年共计受理业务咨询30余起，举报投诉5起，县长信箱转办投诉1起，业务咨询满意率和举报投诉及时办结反馈率100%。一是马路市场整治。由我局牵头，联合各乡镇及相关县直职能部门开展马路市场整治工作，开展执法行动30余次，专项督查5次，报送信息20余篇次。截至8月31日，全县58个县道以上马路市场已全部取缔。后期我局将继续与乡镇和相关县直职能部门加强联系，齐抓共管，不断巩固整治成果，建立长效管理机制，防止马路市场乱象回潮反弹。二是行政执法整治。开展成品油市场“百日安全整治行动”，共检查各类加油站点50余次，下达责令停止违法行为通知书4份，立案9起，执行到位罚款11.5万元。三是劳务市场整治。全面摸排全县范围内22家人力资源企业，打击非法劳务中介和个人，进一步规范了我县对外劳务市场。</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6.推进商贸流通。一是成功挖掘整理出品“齐氏”“黎氏”两大名人菜各十二道菜品。经过三个月的专家评审组资料审核，现场评审，结果公示等程序，12月份成功获评“中国湘莲美食之乡”。二是积极培育限上企业，指导12家商贸企业完成资料上报工作。指导易俗河镇国药店参选“湖南老字号”，我县企业首获评该称号。三是完成7家城区加油站“厕所革命”改造任务，完成30座加油站“蓝天保卫战”油气回收改造工作。</w:t>
            </w:r>
          </w:p>
          <w:p>
            <w:pPr>
              <w:spacing w:line="460" w:lineRule="atLeast"/>
              <w:rPr>
                <w:rFonts w:hint="default" w:ascii="仿宋" w:hAnsi="仿宋" w:eastAsia="仿宋" w:cs="方正小标宋简体"/>
                <w:sz w:val="24"/>
                <w:lang w:val="en-US" w:eastAsia="zh-CN"/>
              </w:rPr>
            </w:pPr>
            <w:r>
              <w:rPr>
                <w:rFonts w:hint="eastAsia" w:ascii="仿宋" w:hAnsi="仿宋" w:eastAsia="仿宋" w:cs="方正小标宋简体"/>
                <w:sz w:val="24"/>
                <w:lang w:val="en-US" w:eastAsia="zh-CN"/>
              </w:rPr>
              <w:t>7.槟榔行业：组织召开县槟榔产业调度会议、县槟榔产业发展工作交流会，确立县内槟榔行业龙头企业联合办公长效机制，拟定了《槟榔行业税收奖励办法》，</w:t>
            </w:r>
            <w:r>
              <w:rPr>
                <w:rFonts w:hint="default" w:ascii="仿宋" w:hAnsi="仿宋" w:eastAsia="仿宋" w:cs="方正小标宋简体"/>
                <w:sz w:val="24"/>
                <w:lang w:val="en-US" w:eastAsia="zh-CN"/>
              </w:rPr>
              <w:t>争取引进省槟榔检测中心</w:t>
            </w:r>
            <w:r>
              <w:rPr>
                <w:rFonts w:hint="eastAsia" w:ascii="仿宋" w:hAnsi="仿宋" w:eastAsia="仿宋" w:cs="方正小标宋简体"/>
                <w:sz w:val="24"/>
                <w:lang w:val="en-US" w:eastAsia="zh-CN"/>
              </w:rPr>
              <w:t>，</w:t>
            </w:r>
            <w:r>
              <w:rPr>
                <w:rFonts w:hint="default" w:ascii="仿宋" w:hAnsi="仿宋" w:eastAsia="仿宋" w:cs="方正小标宋简体"/>
                <w:sz w:val="24"/>
                <w:lang w:val="en-US" w:eastAsia="zh-CN"/>
              </w:rPr>
              <w:t>申报注册“湘潭槟榔”地理标志证</w:t>
            </w:r>
            <w:r>
              <w:rPr>
                <w:rFonts w:hint="eastAsia" w:ascii="仿宋" w:hAnsi="仿宋" w:eastAsia="仿宋" w:cs="方正小标宋简体"/>
                <w:sz w:val="24"/>
                <w:lang w:val="en-US" w:eastAsia="zh-CN"/>
              </w:rPr>
              <w:t>明</w:t>
            </w:r>
            <w:r>
              <w:rPr>
                <w:rFonts w:hint="default" w:ascii="仿宋" w:hAnsi="仿宋" w:eastAsia="仿宋" w:cs="方正小标宋简体"/>
                <w:sz w:val="24"/>
                <w:lang w:val="en-US" w:eastAsia="zh-CN"/>
              </w:rPr>
              <w:t>商标</w:t>
            </w:r>
            <w:r>
              <w:rPr>
                <w:rFonts w:hint="eastAsia" w:ascii="仿宋" w:hAnsi="仿宋" w:eastAsia="仿宋" w:cs="方正小标宋简体"/>
                <w:sz w:val="24"/>
                <w:lang w:val="en-US" w:eastAsia="zh-CN"/>
              </w:rPr>
              <w:t>。11月份，由县领导带队赴北京中国标准化研究院，争取出台槟榔产业国家标准并进入国家食品目录。</w:t>
            </w:r>
          </w:p>
          <w:p>
            <w:pPr>
              <w:spacing w:line="460" w:lineRule="atLeast"/>
              <w:rPr>
                <w:rFonts w:hint="default" w:ascii="仿宋" w:hAnsi="仿宋" w:eastAsia="仿宋" w:cs="方正小标宋简体"/>
                <w:sz w:val="24"/>
                <w:lang w:val="en-US" w:eastAsia="zh-CN"/>
              </w:rPr>
            </w:pP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二、部门效益情况分析</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（一）经济性分析</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我局始终认真贯彻执行《会计法》、《预算法》、《行政单位会计制度》等法律法规，各项经费支出严格按照政府采购、国库集中支付及预算管理等有关规定执行。同时我局先后制订了《湘潭商务粮食局财务管理办法》、《湘潭县商务粮食局专项资金管理办法》、《湘潭县商务粮食局差旅费管理办法》等相关制度，明确了经费审批权限及程序，经费预算、核算管理、资产购置与处置、财务监督等。特别是在“三公”经费管理方面，规范了公务接待和公务用车的审批管理，较好地控制了行政运行成本。</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（二）效率性分析</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1、实施进度</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根据实际需求，按时支付各项支出。</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2、完成质量</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保证了局机关各项工作的正常运转和相关人员的福利待遇，完成质量基本达到绩效目标。</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（三）可持续性分析</w:t>
            </w:r>
          </w:p>
          <w:p>
            <w:pPr>
              <w:spacing w:line="460" w:lineRule="atLeas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2018年度我单位圆满完成预期目标，取得了较好的经济和社会评价，企业和群众满意度高。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6" w:hRule="atLeast"/>
          <w:jc w:val="center"/>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w:t>
            </w:r>
          </w:p>
        </w:tc>
        <w:tc>
          <w:tcPr>
            <w:tcW w:w="5670" w:type="dxa"/>
            <w:noWrap w:val="0"/>
            <w:vAlign w:val="center"/>
          </w:tcPr>
          <w:p>
            <w:pPr>
              <w:spacing w:line="576" w:lineRule="exact"/>
              <w:ind w:firstLine="480" w:firstLineChars="200"/>
              <w:jc w:val="lef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（一）预算执行存在偏差。本年度实际公用经费支出高于预算，说明预算编制与实际情况存在偏差，公用经费的控制和核算还有待进一步加强，预算资金安排中，行政经费安排不足。</w:t>
            </w:r>
          </w:p>
          <w:p>
            <w:pPr>
              <w:spacing w:line="576" w:lineRule="exact"/>
              <w:ind w:firstLine="480" w:firstLineChars="200"/>
              <w:jc w:val="lef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（二）财务政策学习及培训力度不够，提高财务人员素质以及财务核算能力仍需提高。</w:t>
            </w:r>
          </w:p>
          <w:p>
            <w:pPr>
              <w:spacing w:line="576" w:lineRule="exact"/>
              <w:ind w:firstLine="480" w:firstLineChars="200"/>
              <w:jc w:val="left"/>
              <w:rPr>
                <w:rFonts w:hint="eastAsia" w:ascii="仿宋" w:hAnsi="仿宋" w:eastAsia="仿宋" w:cs="方正小标宋简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0"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改进措施</w:t>
            </w:r>
          </w:p>
        </w:tc>
        <w:tc>
          <w:tcPr>
            <w:tcW w:w="5670" w:type="dxa"/>
            <w:noWrap w:val="0"/>
            <w:vAlign w:val="center"/>
          </w:tcPr>
          <w:p>
            <w:pPr>
              <w:spacing w:line="576" w:lineRule="exact"/>
              <w:ind w:firstLine="480" w:firstLineChars="200"/>
              <w:jc w:val="lef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一）规范账务处理，提高财务信息质量。严格按照《会计法》、《行政单位会计制度》、《行政单位财务规则》等规定执行财务核算，并结合实际情况，完整、准确地披露相关信息，尽可能地做到决算与预算相衔接。</w:t>
            </w:r>
          </w:p>
          <w:p>
            <w:pPr>
              <w:spacing w:line="576" w:lineRule="exact"/>
              <w:ind w:firstLine="480" w:firstLineChars="200"/>
              <w:jc w:val="lef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（二）进一步贯彻落实中央八项规定和省委九条规定，建立本部门“三公经费”等公务支出管理制度及厉行节约制度，加强经费审批和控制，规范支出标准与范围，并严格执行。</w:t>
            </w:r>
          </w:p>
          <w:p>
            <w:pPr>
              <w:spacing w:line="576" w:lineRule="exact"/>
              <w:ind w:firstLine="480" w:firstLineChars="200"/>
              <w:jc w:val="left"/>
              <w:rPr>
                <w:rFonts w:hint="eastAsia" w:ascii="仿宋" w:hAnsi="仿宋" w:eastAsia="仿宋" w:cs="方正小标宋简体"/>
                <w:sz w:val="24"/>
                <w:lang w:val="en-US" w:eastAsia="zh-CN"/>
              </w:rPr>
            </w:pPr>
            <w:r>
              <w:rPr>
                <w:rFonts w:hint="eastAsia" w:ascii="仿宋" w:hAnsi="仿宋" w:eastAsia="仿宋" w:cs="方正小标宋简体"/>
                <w:sz w:val="24"/>
                <w:lang w:val="en-US" w:eastAsia="zh-CN"/>
              </w:rPr>
              <w:t>（三）加强岗位实务学习与培训工作。 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p>
            <w:pPr>
              <w:spacing w:line="576" w:lineRule="exact"/>
              <w:ind w:firstLine="480" w:firstLineChars="200"/>
              <w:jc w:val="left"/>
              <w:rPr>
                <w:rFonts w:hint="eastAsia" w:ascii="仿宋" w:hAnsi="仿宋" w:eastAsia="仿宋" w:cs="方正小标宋简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0" w:hRule="atLeast"/>
          <w:jc w:val="center"/>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5670" w:type="dxa"/>
            <w:noWrap w:val="0"/>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无</w:t>
            </w:r>
          </w:p>
        </w:tc>
      </w:tr>
    </w:tbl>
    <w:p>
      <w:pPr>
        <w:spacing w:line="460" w:lineRule="atLeast"/>
        <w:ind w:firstLine="480" w:firstLineChars="200"/>
        <w:rPr>
          <w:rFonts w:hint="eastAsia" w:ascii="仿宋" w:hAnsi="仿宋" w:eastAsia="仿宋" w:cs="方正小标宋简体"/>
          <w:sz w:val="24"/>
        </w:rPr>
      </w:pPr>
    </w:p>
    <w:p>
      <w:pPr>
        <w:rPr>
          <w:rFonts w:hint="eastAsia"/>
        </w:rPr>
      </w:pPr>
    </w:p>
    <w:p>
      <w:pPr>
        <w:widowControl/>
        <w:shd w:val="clear" w:color="auto" w:fill="FFFFFF"/>
        <w:spacing w:before="100" w:beforeAutospacing="1" w:after="100" w:afterAutospacing="1" w:line="480" w:lineRule="atLeast"/>
        <w:jc w:val="center"/>
        <w:outlineLvl w:val="2"/>
        <w:rPr>
          <w:rFonts w:ascii="Arial" w:hAnsi="Arial" w:cs="Arial"/>
          <w:b/>
          <w:bCs/>
          <w:color w:val="FF482A"/>
          <w:kern w:val="0"/>
          <w:sz w:val="36"/>
          <w:szCs w:val="36"/>
        </w:rPr>
      </w:pPr>
    </w:p>
    <w:p>
      <w:pPr>
        <w:widowControl/>
        <w:shd w:val="clear" w:color="auto" w:fill="FFFFFF"/>
        <w:spacing w:before="100" w:beforeAutospacing="1" w:after="100" w:afterAutospacing="1" w:line="480" w:lineRule="atLeast"/>
        <w:jc w:val="center"/>
        <w:outlineLvl w:val="2"/>
        <w:rPr>
          <w:rFonts w:ascii="Arial" w:hAnsi="Arial" w:cs="Arial"/>
          <w:b/>
          <w:bCs/>
          <w:color w:val="FF482A"/>
          <w:kern w:val="0"/>
          <w:sz w:val="36"/>
          <w:szCs w:val="36"/>
        </w:rPr>
      </w:pPr>
    </w:p>
    <w:p>
      <w:pPr>
        <w:spacing w:line="460" w:lineRule="atLeast"/>
        <w:rPr>
          <w:rFonts w:hint="eastAsia" w:ascii="仿宋" w:hAnsi="仿宋" w:eastAsia="仿宋" w:cs="方正小标宋简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E2"/>
    <w:rsid w:val="0015144E"/>
    <w:rsid w:val="001A3B29"/>
    <w:rsid w:val="001B24C2"/>
    <w:rsid w:val="00212FC2"/>
    <w:rsid w:val="00261B27"/>
    <w:rsid w:val="0043272A"/>
    <w:rsid w:val="0052046E"/>
    <w:rsid w:val="005604E6"/>
    <w:rsid w:val="006722E6"/>
    <w:rsid w:val="00901CC4"/>
    <w:rsid w:val="009131AF"/>
    <w:rsid w:val="00920780"/>
    <w:rsid w:val="00AE4C9C"/>
    <w:rsid w:val="00B97A06"/>
    <w:rsid w:val="00D65893"/>
    <w:rsid w:val="00D93775"/>
    <w:rsid w:val="00E37B3B"/>
    <w:rsid w:val="00E531ED"/>
    <w:rsid w:val="00E847E2"/>
    <w:rsid w:val="00E87EE5"/>
    <w:rsid w:val="015D659E"/>
    <w:rsid w:val="02044B64"/>
    <w:rsid w:val="029B016E"/>
    <w:rsid w:val="039F383D"/>
    <w:rsid w:val="04A2149F"/>
    <w:rsid w:val="0561349D"/>
    <w:rsid w:val="05CF0FB7"/>
    <w:rsid w:val="070731E4"/>
    <w:rsid w:val="071A5B95"/>
    <w:rsid w:val="081769C3"/>
    <w:rsid w:val="08210F72"/>
    <w:rsid w:val="089F0D77"/>
    <w:rsid w:val="09281DC6"/>
    <w:rsid w:val="09597225"/>
    <w:rsid w:val="0B8B45EA"/>
    <w:rsid w:val="0B92211D"/>
    <w:rsid w:val="0C1C388C"/>
    <w:rsid w:val="0C3A09C7"/>
    <w:rsid w:val="0C5D3A8A"/>
    <w:rsid w:val="0C784720"/>
    <w:rsid w:val="0C8223A4"/>
    <w:rsid w:val="0D9954D1"/>
    <w:rsid w:val="0E7031BB"/>
    <w:rsid w:val="0FAA13A6"/>
    <w:rsid w:val="0FE32327"/>
    <w:rsid w:val="10546F96"/>
    <w:rsid w:val="109C5640"/>
    <w:rsid w:val="12D6700D"/>
    <w:rsid w:val="149B486D"/>
    <w:rsid w:val="150338E6"/>
    <w:rsid w:val="152671E1"/>
    <w:rsid w:val="164A6D42"/>
    <w:rsid w:val="16C10C48"/>
    <w:rsid w:val="17807169"/>
    <w:rsid w:val="17A56BF3"/>
    <w:rsid w:val="191655B7"/>
    <w:rsid w:val="1944670A"/>
    <w:rsid w:val="19F563BF"/>
    <w:rsid w:val="1C911351"/>
    <w:rsid w:val="1CCA64DE"/>
    <w:rsid w:val="1D527163"/>
    <w:rsid w:val="1EA6597E"/>
    <w:rsid w:val="1FF676E2"/>
    <w:rsid w:val="20144604"/>
    <w:rsid w:val="206E53D3"/>
    <w:rsid w:val="225A171E"/>
    <w:rsid w:val="226F06AA"/>
    <w:rsid w:val="24B80E9D"/>
    <w:rsid w:val="25A05804"/>
    <w:rsid w:val="25E231F6"/>
    <w:rsid w:val="25F91055"/>
    <w:rsid w:val="265537D5"/>
    <w:rsid w:val="276705B0"/>
    <w:rsid w:val="27DB7977"/>
    <w:rsid w:val="2864073C"/>
    <w:rsid w:val="2ABB7821"/>
    <w:rsid w:val="2B0C5C6D"/>
    <w:rsid w:val="2B1F08FF"/>
    <w:rsid w:val="2C645AEC"/>
    <w:rsid w:val="2EAA6D69"/>
    <w:rsid w:val="2EAF037D"/>
    <w:rsid w:val="2F0667F3"/>
    <w:rsid w:val="2F480BD7"/>
    <w:rsid w:val="30591E02"/>
    <w:rsid w:val="310124EE"/>
    <w:rsid w:val="314943AD"/>
    <w:rsid w:val="319C662C"/>
    <w:rsid w:val="31F07F9C"/>
    <w:rsid w:val="33183DEF"/>
    <w:rsid w:val="332D2614"/>
    <w:rsid w:val="33AF4D01"/>
    <w:rsid w:val="33D46E42"/>
    <w:rsid w:val="34570A59"/>
    <w:rsid w:val="3595469E"/>
    <w:rsid w:val="35D46D12"/>
    <w:rsid w:val="3629548F"/>
    <w:rsid w:val="362B36ED"/>
    <w:rsid w:val="36B1029B"/>
    <w:rsid w:val="37CD0F75"/>
    <w:rsid w:val="38A91FB3"/>
    <w:rsid w:val="39890218"/>
    <w:rsid w:val="3A832C8B"/>
    <w:rsid w:val="3ABE3CDC"/>
    <w:rsid w:val="3ACD19AE"/>
    <w:rsid w:val="3B4D6062"/>
    <w:rsid w:val="3B705519"/>
    <w:rsid w:val="3BCD0424"/>
    <w:rsid w:val="3DDE5F62"/>
    <w:rsid w:val="3EFD4A14"/>
    <w:rsid w:val="3F354C27"/>
    <w:rsid w:val="403900E6"/>
    <w:rsid w:val="405C1741"/>
    <w:rsid w:val="40DF1A16"/>
    <w:rsid w:val="415435FD"/>
    <w:rsid w:val="42967DF7"/>
    <w:rsid w:val="433557AC"/>
    <w:rsid w:val="44AC0906"/>
    <w:rsid w:val="45976081"/>
    <w:rsid w:val="465C3D13"/>
    <w:rsid w:val="46F95B59"/>
    <w:rsid w:val="47AD2355"/>
    <w:rsid w:val="480B1833"/>
    <w:rsid w:val="48AC5715"/>
    <w:rsid w:val="48B92F24"/>
    <w:rsid w:val="49051E5E"/>
    <w:rsid w:val="49544DBC"/>
    <w:rsid w:val="498F174F"/>
    <w:rsid w:val="49C00E76"/>
    <w:rsid w:val="4E0D14F8"/>
    <w:rsid w:val="4EF363F8"/>
    <w:rsid w:val="4FA12EFE"/>
    <w:rsid w:val="5001283D"/>
    <w:rsid w:val="501663C9"/>
    <w:rsid w:val="50C7352E"/>
    <w:rsid w:val="50F27A7B"/>
    <w:rsid w:val="51BA2CF4"/>
    <w:rsid w:val="535D3A7C"/>
    <w:rsid w:val="53E52168"/>
    <w:rsid w:val="555408FB"/>
    <w:rsid w:val="55685411"/>
    <w:rsid w:val="55E61A1B"/>
    <w:rsid w:val="56495F30"/>
    <w:rsid w:val="56910CB8"/>
    <w:rsid w:val="569D213A"/>
    <w:rsid w:val="56D8032C"/>
    <w:rsid w:val="57F329F0"/>
    <w:rsid w:val="58C52109"/>
    <w:rsid w:val="59DA374F"/>
    <w:rsid w:val="59F306BC"/>
    <w:rsid w:val="5B7D5D39"/>
    <w:rsid w:val="5B84083B"/>
    <w:rsid w:val="5B9E022C"/>
    <w:rsid w:val="5BB07DFB"/>
    <w:rsid w:val="5C023212"/>
    <w:rsid w:val="5F8156BC"/>
    <w:rsid w:val="606A47AD"/>
    <w:rsid w:val="608577FD"/>
    <w:rsid w:val="60DF615A"/>
    <w:rsid w:val="61A70144"/>
    <w:rsid w:val="62F90233"/>
    <w:rsid w:val="638313F9"/>
    <w:rsid w:val="63A00180"/>
    <w:rsid w:val="65843C7F"/>
    <w:rsid w:val="66BA1D89"/>
    <w:rsid w:val="679B5BFB"/>
    <w:rsid w:val="68103863"/>
    <w:rsid w:val="68235AA7"/>
    <w:rsid w:val="68357A94"/>
    <w:rsid w:val="692E6605"/>
    <w:rsid w:val="69320FEC"/>
    <w:rsid w:val="6A54589C"/>
    <w:rsid w:val="6B5B47B7"/>
    <w:rsid w:val="6C320B14"/>
    <w:rsid w:val="6CBD7BBC"/>
    <w:rsid w:val="709F2725"/>
    <w:rsid w:val="70EC072D"/>
    <w:rsid w:val="70F4222A"/>
    <w:rsid w:val="72777C43"/>
    <w:rsid w:val="72B44B2F"/>
    <w:rsid w:val="72BB7E93"/>
    <w:rsid w:val="756F6C68"/>
    <w:rsid w:val="75AE1351"/>
    <w:rsid w:val="75FD61CB"/>
    <w:rsid w:val="78CC035C"/>
    <w:rsid w:val="79527015"/>
    <w:rsid w:val="7C312876"/>
    <w:rsid w:val="7D7029CF"/>
    <w:rsid w:val="7DD52080"/>
    <w:rsid w:val="7E376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color w:val="auto"/>
      <w:kern w:val="0"/>
      <w:sz w:val="24"/>
      <w:u w:val="none"/>
      <w:lang w:val="en-US" w:eastAsia="zh-CN" w:bidi="ar"/>
    </w:rPr>
  </w:style>
  <w:style w:type="character" w:styleId="7">
    <w:name w:val="FollowedHyperlink"/>
    <w:basedOn w:val="6"/>
    <w:semiHidden/>
    <w:unhideWhenUsed/>
    <w:qFormat/>
    <w:uiPriority w:val="99"/>
    <w:rPr>
      <w:color w:val="800080"/>
      <w:u w:val="none"/>
    </w:rPr>
  </w:style>
  <w:style w:type="character" w:styleId="8">
    <w:name w:val="Hyperlink"/>
    <w:basedOn w:val="6"/>
    <w:semiHidden/>
    <w:unhideWhenUsed/>
    <w:qFormat/>
    <w:uiPriority w:val="99"/>
    <w:rPr>
      <w:color w:val="333333"/>
      <w:u w:val="none"/>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hover41"/>
    <w:basedOn w:val="6"/>
    <w:qFormat/>
    <w:uiPriority w:val="0"/>
    <w:rPr>
      <w:color w:val="000000"/>
      <w:shd w:val="clear" w:fill="FFFFFF"/>
    </w:r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651</Words>
  <Characters>3713</Characters>
  <Lines>30</Lines>
  <Paragraphs>8</Paragraphs>
  <TotalTime>61</TotalTime>
  <ScaleCrop>false</ScaleCrop>
  <LinksUpToDate>false</LinksUpToDate>
  <CharactersWithSpaces>4356</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2017-05-24T07:34:00Z</dcterms:created>
  <dc:creator>Windows User</dc:creator>
  <cp:lastModifiedBy>lenovo</cp:lastModifiedBy>
  <cp:lastPrinted>2019-09-02T01:50:00Z</cp:lastPrinted>
  <dcterms:modified xsi:type="dcterms:W3CDTF">2019-09-03T01:21:52Z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