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6854DE">
      <w:pPr>
        <w:jc w:val="center"/>
        <w:rPr>
          <w:rFonts w:ascii="Times New Roman" w:hAnsi="Times New Roman" w:eastAsia="宋体" w:cs="Times New Roman"/>
          <w:b/>
          <w:bCs/>
          <w:spacing w:val="28"/>
          <w:sz w:val="40"/>
          <w:szCs w:val="40"/>
          <w:highlight w:val="yellow"/>
        </w:rPr>
      </w:pPr>
    </w:p>
    <w:p w14:paraId="7F29B9F1">
      <w:pPr>
        <w:jc w:val="center"/>
        <w:rPr>
          <w:rFonts w:ascii="Times New Roman" w:hAnsi="Times New Roman" w:eastAsia="宋体" w:cs="Times New Roman"/>
          <w:b/>
          <w:bCs/>
          <w:spacing w:val="28"/>
          <w:sz w:val="44"/>
          <w:szCs w:val="44"/>
          <w:highlight w:val="yellow"/>
        </w:rPr>
      </w:pPr>
    </w:p>
    <w:p w14:paraId="612C297C">
      <w:pPr>
        <w:jc w:val="center"/>
        <w:rPr>
          <w:rFonts w:hint="eastAsia" w:ascii="宋体" w:hAnsi="宋体" w:eastAsia="宋体" w:cs="宋体"/>
          <w:b/>
          <w:bCs/>
          <w:spacing w:val="28"/>
          <w:sz w:val="52"/>
          <w:szCs w:val="52"/>
        </w:rPr>
      </w:pPr>
      <w:r>
        <w:rPr>
          <w:rFonts w:hint="eastAsia" w:ascii="宋体" w:hAnsi="宋体" w:eastAsia="宋体" w:cs="宋体"/>
          <w:b/>
          <w:bCs/>
          <w:spacing w:val="28"/>
          <w:sz w:val="52"/>
          <w:szCs w:val="52"/>
        </w:rPr>
        <w:t>湘潭天易经济开发区</w:t>
      </w:r>
    </w:p>
    <w:p w14:paraId="755C9DBE">
      <w:pPr>
        <w:jc w:val="center"/>
        <w:rPr>
          <w:rFonts w:hint="eastAsia" w:ascii="宋体" w:hAnsi="宋体" w:eastAsia="宋体" w:cs="宋体"/>
          <w:b/>
          <w:bCs/>
          <w:spacing w:val="28"/>
          <w:sz w:val="52"/>
          <w:szCs w:val="52"/>
        </w:rPr>
      </w:pPr>
      <w:r>
        <w:rPr>
          <w:rFonts w:hint="eastAsia" w:ascii="宋体" w:hAnsi="宋体" w:eastAsia="宋体" w:cs="宋体"/>
          <w:b/>
          <w:bCs/>
          <w:spacing w:val="28"/>
          <w:sz w:val="52"/>
          <w:szCs w:val="52"/>
        </w:rPr>
        <w:t>生态环境管理202</w:t>
      </w:r>
      <w:r>
        <w:rPr>
          <w:rFonts w:hint="eastAsia" w:ascii="宋体" w:hAnsi="宋体" w:eastAsia="宋体" w:cs="宋体"/>
          <w:b/>
          <w:bCs/>
          <w:spacing w:val="28"/>
          <w:sz w:val="52"/>
          <w:szCs w:val="52"/>
          <w:lang w:val="en-US" w:eastAsia="zh-CN"/>
        </w:rPr>
        <w:t>5</w:t>
      </w:r>
      <w:r>
        <w:rPr>
          <w:rFonts w:hint="eastAsia" w:ascii="宋体" w:hAnsi="宋体" w:eastAsia="宋体" w:cs="宋体"/>
          <w:b/>
          <w:bCs/>
          <w:spacing w:val="28"/>
          <w:sz w:val="52"/>
          <w:szCs w:val="52"/>
        </w:rPr>
        <w:t>年度</w:t>
      </w:r>
    </w:p>
    <w:p w14:paraId="12300140">
      <w:pPr>
        <w:jc w:val="center"/>
        <w:rPr>
          <w:rFonts w:ascii="Times New Roman" w:hAnsi="Times New Roman" w:eastAsia="宋体" w:cs="Times New Roman"/>
          <w:b/>
          <w:bCs/>
          <w:spacing w:val="28"/>
          <w:sz w:val="52"/>
          <w:szCs w:val="52"/>
        </w:rPr>
      </w:pPr>
    </w:p>
    <w:p w14:paraId="4FF6A01E">
      <w:pPr>
        <w:pStyle w:val="35"/>
        <w:rPr>
          <w:rFonts w:ascii="Times New Roman" w:hAnsi="Times New Roman" w:cs="Times New Roman"/>
        </w:rPr>
      </w:pPr>
    </w:p>
    <w:p w14:paraId="5C8E4FDA">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自</w:t>
      </w:r>
    </w:p>
    <w:p w14:paraId="63EDB38C">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评</w:t>
      </w:r>
    </w:p>
    <w:p w14:paraId="5080CDDF">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估</w:t>
      </w:r>
    </w:p>
    <w:p w14:paraId="0681B6E9">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报</w:t>
      </w:r>
    </w:p>
    <w:p w14:paraId="685D68B1">
      <w:pPr>
        <w:jc w:val="center"/>
        <w:rPr>
          <w:rFonts w:ascii="Times New Roman" w:hAnsi="Times New Roman" w:eastAsia="宋体" w:cs="Times New Roman"/>
          <w:b/>
          <w:bCs/>
          <w:spacing w:val="28"/>
          <w:sz w:val="52"/>
          <w:szCs w:val="52"/>
        </w:rPr>
      </w:pPr>
      <w:r>
        <w:rPr>
          <w:rFonts w:ascii="Times New Roman" w:hAnsi="Times New Roman" w:eastAsia="宋体" w:cs="Times New Roman"/>
          <w:b/>
          <w:bCs/>
          <w:spacing w:val="28"/>
          <w:sz w:val="52"/>
          <w:szCs w:val="52"/>
        </w:rPr>
        <w:t>告</w:t>
      </w:r>
    </w:p>
    <w:p w14:paraId="6469DE5C">
      <w:pPr>
        <w:pStyle w:val="35"/>
        <w:rPr>
          <w:rFonts w:ascii="Times New Roman" w:hAnsi="Times New Roman" w:eastAsia="宋体" w:cs="Times New Roman"/>
          <w:bCs/>
          <w:spacing w:val="28"/>
          <w:sz w:val="40"/>
          <w:szCs w:val="40"/>
        </w:rPr>
      </w:pPr>
    </w:p>
    <w:p w14:paraId="5AB8A390">
      <w:pPr>
        <w:pStyle w:val="35"/>
        <w:spacing w:before="0" w:beforeAutospacing="0" w:after="0" w:afterAutospacing="0" w:line="360" w:lineRule="auto"/>
        <w:rPr>
          <w:rFonts w:ascii="Times New Roman" w:hAnsi="Times New Roman" w:eastAsia="宋体" w:cs="Times New Roman"/>
          <w:bCs/>
          <w:spacing w:val="28"/>
          <w:sz w:val="40"/>
          <w:szCs w:val="40"/>
        </w:rPr>
      </w:pPr>
    </w:p>
    <w:p w14:paraId="5FF2EA0A">
      <w:pPr>
        <w:pStyle w:val="35"/>
        <w:spacing w:before="0" w:beforeAutospacing="0" w:after="0" w:afterAutospacing="0" w:line="360" w:lineRule="auto"/>
        <w:ind w:left="0"/>
        <w:rPr>
          <w:rFonts w:ascii="Times New Roman" w:hAnsi="Times New Roman" w:eastAsia="宋体" w:cs="Times New Roman"/>
          <w:bCs/>
          <w:spacing w:val="28"/>
          <w:sz w:val="32"/>
          <w:szCs w:val="32"/>
        </w:rPr>
      </w:pPr>
    </w:p>
    <w:p w14:paraId="3260DE17">
      <w:pPr>
        <w:pStyle w:val="35"/>
        <w:spacing w:before="0" w:beforeAutospacing="0" w:after="0" w:afterAutospacing="0" w:line="360" w:lineRule="auto"/>
        <w:ind w:left="0"/>
        <w:rPr>
          <w:rFonts w:ascii="Times New Roman" w:hAnsi="Times New Roman" w:eastAsia="宋体" w:cs="Times New Roman"/>
          <w:bCs/>
          <w:spacing w:val="28"/>
          <w:sz w:val="32"/>
          <w:szCs w:val="32"/>
        </w:rPr>
      </w:pPr>
      <w:r>
        <w:rPr>
          <w:rFonts w:hint="eastAsia" w:ascii="宋体" w:hAnsi="宋体" w:eastAsia="宋体" w:cs="宋体"/>
          <w:bCs/>
          <w:spacing w:val="28"/>
          <w:sz w:val="32"/>
          <w:szCs w:val="32"/>
        </w:rPr>
        <w:t>202</w:t>
      </w:r>
      <w:r>
        <w:rPr>
          <w:rFonts w:hint="eastAsia" w:ascii="宋体" w:hAnsi="宋体" w:eastAsia="宋体" w:cs="宋体"/>
          <w:bCs/>
          <w:spacing w:val="28"/>
          <w:sz w:val="32"/>
          <w:szCs w:val="32"/>
          <w:lang w:val="en-US" w:eastAsia="zh-CN"/>
        </w:rPr>
        <w:t>6</w:t>
      </w:r>
      <w:r>
        <w:rPr>
          <w:rFonts w:hint="eastAsia" w:ascii="宋体" w:hAnsi="宋体" w:eastAsia="宋体" w:cs="宋体"/>
          <w:bCs/>
          <w:spacing w:val="28"/>
          <w:sz w:val="32"/>
          <w:szCs w:val="32"/>
        </w:rPr>
        <w:t>年</w:t>
      </w:r>
      <w:r>
        <w:rPr>
          <w:rFonts w:hint="eastAsia" w:ascii="宋体" w:hAnsi="宋体" w:eastAsia="宋体" w:cs="宋体"/>
          <w:bCs/>
          <w:spacing w:val="28"/>
          <w:sz w:val="32"/>
          <w:szCs w:val="32"/>
          <w:lang w:val="en-US" w:eastAsia="zh-CN"/>
        </w:rPr>
        <w:t>3</w:t>
      </w:r>
      <w:r>
        <w:rPr>
          <w:rFonts w:hint="eastAsia" w:ascii="宋体" w:hAnsi="宋体" w:eastAsia="宋体" w:cs="宋体"/>
          <w:bCs/>
          <w:spacing w:val="28"/>
          <w:sz w:val="32"/>
          <w:szCs w:val="32"/>
        </w:rPr>
        <w:t>月</w:t>
      </w:r>
    </w:p>
    <w:p w14:paraId="4028CC80">
      <w:pPr>
        <w:pStyle w:val="35"/>
        <w:ind w:left="0"/>
        <w:rPr>
          <w:rFonts w:ascii="Times New Roman" w:hAnsi="Times New Roman" w:eastAsia="宋体" w:cs="Times New Roman"/>
          <w:bCs/>
          <w:spacing w:val="28"/>
          <w:sz w:val="32"/>
          <w:szCs w:val="32"/>
        </w:rPr>
        <w:sectPr>
          <w:footerReference r:id="rId3" w:type="default"/>
          <w:pgSz w:w="11906" w:h="16838"/>
          <w:pgMar w:top="1440" w:right="144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sdt>
      <w:sdtPr>
        <w:rPr>
          <w:rFonts w:ascii="Times New Roman" w:hAnsi="Times New Roman" w:eastAsia="宋体" w:cs="Times New Roman"/>
          <w:sz w:val="22"/>
          <w:szCs w:val="24"/>
          <w:highlight w:val="yellow"/>
        </w:rPr>
        <w:id w:val="147465564"/>
        <w:docPartObj>
          <w:docPartGallery w:val="Table of Contents"/>
          <w:docPartUnique/>
        </w:docPartObj>
      </w:sdtPr>
      <w:sdtEndPr>
        <w:rPr>
          <w:rFonts w:ascii="Times New Roman" w:hAnsi="Times New Roman" w:eastAsia="仿宋" w:cs="Times New Roman"/>
          <w:b/>
          <w:sz w:val="21"/>
          <w:szCs w:val="22"/>
          <w:highlight w:val="none"/>
        </w:rPr>
      </w:sdtEndPr>
      <w:sdtContent>
        <w:p w14:paraId="1B2C0251">
          <w:pPr>
            <w:jc w:val="center"/>
            <w:rPr>
              <w:rFonts w:ascii="Times New Roman" w:hAnsi="Times New Roman" w:eastAsia="宋体" w:cs="Times New Roman"/>
              <w:b/>
              <w:bCs/>
              <w:sz w:val="40"/>
              <w:szCs w:val="44"/>
            </w:rPr>
          </w:pPr>
          <w:bookmarkStart w:id="0" w:name="_Toc19367"/>
          <w:bookmarkStart w:id="1" w:name="_Toc28272"/>
          <w:r>
            <w:rPr>
              <w:rFonts w:ascii="Times New Roman" w:hAnsi="Times New Roman" w:eastAsia="宋体" w:cs="Times New Roman"/>
              <w:b/>
              <w:bCs/>
              <w:sz w:val="40"/>
              <w:szCs w:val="44"/>
            </w:rPr>
            <w:t>目录</w:t>
          </w:r>
        </w:p>
        <w:p w14:paraId="4DB9087F">
          <w:pPr>
            <w:pStyle w:val="7"/>
            <w:rPr>
              <w:rFonts w:ascii="Times New Roman" w:hAnsi="Times New Roman" w:cs="Times New Roman"/>
              <w:highlight w:val="yellow"/>
            </w:rPr>
          </w:pPr>
        </w:p>
        <w:p w14:paraId="25AD5E64">
          <w:pPr>
            <w:pStyle w:val="15"/>
            <w:tabs>
              <w:tab w:val="right" w:leader="dot" w:pos="8666"/>
            </w:tabs>
          </w:pPr>
          <w:r>
            <w:rPr>
              <w:rFonts w:ascii="Times New Roman" w:hAnsi="Times New Roman" w:cs="Times New Roman"/>
            </w:rPr>
            <w:fldChar w:fldCharType="begin"/>
          </w:r>
          <w:r>
            <w:rPr>
              <w:rFonts w:ascii="Times New Roman" w:hAnsi="Times New Roman" w:cs="Times New Roman"/>
            </w:rPr>
            <w:instrText xml:space="preserve">TOC \o "1-2" \h \u </w:instrText>
          </w:r>
          <w:r>
            <w:rPr>
              <w:rFonts w:ascii="Times New Roman" w:hAnsi="Times New Roman" w:cs="Times New Roman"/>
            </w:rPr>
            <w:fldChar w:fldCharType="separate"/>
          </w:r>
          <w:r>
            <w:fldChar w:fldCharType="begin"/>
          </w:r>
          <w:r>
            <w:instrText xml:space="preserve"> HYPERLINK \l "_Toc26129" </w:instrText>
          </w:r>
          <w:r>
            <w:fldChar w:fldCharType="separate"/>
          </w:r>
          <w:r>
            <w:rPr>
              <w:rFonts w:ascii="Times New Roman" w:hAnsi="Times New Roman" w:cs="Times New Roman"/>
            </w:rPr>
            <w:t>一、园区概况</w:t>
          </w:r>
          <w:r>
            <w:tab/>
          </w:r>
          <w:r>
            <w:rPr>
              <w:b w:val="0"/>
              <w:bCs/>
            </w:rPr>
            <w:fldChar w:fldCharType="begin"/>
          </w:r>
          <w:r>
            <w:rPr>
              <w:b w:val="0"/>
              <w:bCs/>
            </w:rPr>
            <w:instrText xml:space="preserve"> PAGEREF _Toc26129 \h </w:instrText>
          </w:r>
          <w:r>
            <w:rPr>
              <w:b w:val="0"/>
              <w:bCs/>
            </w:rPr>
            <w:fldChar w:fldCharType="separate"/>
          </w:r>
          <w:r>
            <w:rPr>
              <w:b w:val="0"/>
              <w:bCs/>
            </w:rPr>
            <w:t>2</w:t>
          </w:r>
          <w:r>
            <w:rPr>
              <w:b w:val="0"/>
              <w:bCs/>
            </w:rPr>
            <w:fldChar w:fldCharType="end"/>
          </w:r>
          <w:r>
            <w:fldChar w:fldCharType="end"/>
          </w:r>
        </w:p>
        <w:p w14:paraId="1219672D">
          <w:pPr>
            <w:pStyle w:val="15"/>
            <w:tabs>
              <w:tab w:val="right" w:leader="dot" w:pos="8666"/>
            </w:tabs>
          </w:pPr>
          <w:r>
            <w:fldChar w:fldCharType="begin"/>
          </w:r>
          <w:r>
            <w:instrText xml:space="preserve"> HYPERLINK \l "_Toc18520" </w:instrText>
          </w:r>
          <w:r>
            <w:fldChar w:fldCharType="separate"/>
          </w:r>
          <w:r>
            <w:rPr>
              <w:rFonts w:ascii="Times New Roman" w:hAnsi="Times New Roman" w:cs="Times New Roman"/>
            </w:rPr>
            <w:t>二、环境管理情况</w:t>
          </w:r>
          <w:r>
            <w:tab/>
          </w:r>
          <w:r>
            <w:rPr>
              <w:b w:val="0"/>
              <w:bCs/>
            </w:rPr>
            <w:fldChar w:fldCharType="begin"/>
          </w:r>
          <w:r>
            <w:rPr>
              <w:b w:val="0"/>
              <w:bCs/>
            </w:rPr>
            <w:instrText xml:space="preserve"> PAGEREF _Toc18520 \h </w:instrText>
          </w:r>
          <w:r>
            <w:rPr>
              <w:b w:val="0"/>
              <w:bCs/>
            </w:rPr>
            <w:fldChar w:fldCharType="separate"/>
          </w:r>
          <w:r>
            <w:rPr>
              <w:b w:val="0"/>
              <w:bCs/>
            </w:rPr>
            <w:t>3</w:t>
          </w:r>
          <w:r>
            <w:rPr>
              <w:b w:val="0"/>
              <w:bCs/>
            </w:rPr>
            <w:fldChar w:fldCharType="end"/>
          </w:r>
          <w:r>
            <w:fldChar w:fldCharType="end"/>
          </w:r>
        </w:p>
        <w:p w14:paraId="5456CF7F">
          <w:pPr>
            <w:pStyle w:val="17"/>
            <w:tabs>
              <w:tab w:val="right" w:leader="dot" w:pos="8666"/>
            </w:tabs>
          </w:pPr>
          <w:r>
            <w:fldChar w:fldCharType="begin"/>
          </w:r>
          <w:r>
            <w:instrText xml:space="preserve"> HYPERLINK \l "_Toc15552" </w:instrText>
          </w:r>
          <w:r>
            <w:fldChar w:fldCharType="separate"/>
          </w:r>
          <w:r>
            <w:rPr>
              <w:bCs/>
              <w:szCs w:val="32"/>
            </w:rPr>
            <w:t>（一）规划环评批复要求落实情况</w:t>
          </w:r>
          <w:r>
            <w:tab/>
          </w:r>
          <w:r>
            <w:fldChar w:fldCharType="begin"/>
          </w:r>
          <w:r>
            <w:instrText xml:space="preserve"> PAGEREF _Toc15552 \h </w:instrText>
          </w:r>
          <w:r>
            <w:fldChar w:fldCharType="separate"/>
          </w:r>
          <w:r>
            <w:t>3</w:t>
          </w:r>
          <w:r>
            <w:fldChar w:fldCharType="end"/>
          </w:r>
          <w:r>
            <w:fldChar w:fldCharType="end"/>
          </w:r>
        </w:p>
        <w:p w14:paraId="1A1A09F9">
          <w:pPr>
            <w:pStyle w:val="17"/>
            <w:tabs>
              <w:tab w:val="right" w:leader="dot" w:pos="8666"/>
            </w:tabs>
          </w:pPr>
          <w:r>
            <w:fldChar w:fldCharType="begin"/>
          </w:r>
          <w:r>
            <w:instrText xml:space="preserve"> HYPERLINK \l "_Toc24195" </w:instrText>
          </w:r>
          <w:r>
            <w:fldChar w:fldCharType="separate"/>
          </w:r>
          <w:r>
            <w:rPr>
              <w:bCs/>
              <w:szCs w:val="32"/>
              <w:lang w:val="en-US"/>
            </w:rPr>
            <w:t>（二）</w:t>
          </w:r>
          <w:r>
            <w:rPr>
              <w:rFonts w:hint="eastAsia"/>
              <w:bCs/>
              <w:szCs w:val="32"/>
              <w:lang w:val="en-US"/>
            </w:rPr>
            <w:t>生态环境分区管控总体管控要求落实情况</w:t>
          </w:r>
          <w:r>
            <w:tab/>
          </w:r>
          <w:r>
            <w:fldChar w:fldCharType="begin"/>
          </w:r>
          <w:r>
            <w:instrText xml:space="preserve"> PAGEREF _Toc24195 \h </w:instrText>
          </w:r>
          <w:r>
            <w:fldChar w:fldCharType="separate"/>
          </w:r>
          <w:r>
            <w:t>9</w:t>
          </w:r>
          <w:r>
            <w:fldChar w:fldCharType="end"/>
          </w:r>
          <w:r>
            <w:fldChar w:fldCharType="end"/>
          </w:r>
        </w:p>
        <w:p w14:paraId="4C336980">
          <w:pPr>
            <w:pStyle w:val="17"/>
            <w:tabs>
              <w:tab w:val="right" w:leader="dot" w:pos="8666"/>
            </w:tabs>
          </w:pPr>
          <w:r>
            <w:fldChar w:fldCharType="begin"/>
          </w:r>
          <w:r>
            <w:instrText xml:space="preserve"> HYPERLINK \l "_Toc19000" </w:instrText>
          </w:r>
          <w:r>
            <w:fldChar w:fldCharType="separate"/>
          </w:r>
          <w:r>
            <w:rPr>
              <w:bCs/>
              <w:szCs w:val="32"/>
            </w:rPr>
            <w:t>（三）水环境管理</w:t>
          </w:r>
          <w:bookmarkStart w:id="33" w:name="_GoBack"/>
          <w:bookmarkEnd w:id="33"/>
          <w:r>
            <w:tab/>
          </w:r>
          <w:r>
            <w:fldChar w:fldCharType="begin"/>
          </w:r>
          <w:r>
            <w:instrText xml:space="preserve"> PAGEREF _Toc19000 \h </w:instrText>
          </w:r>
          <w:r>
            <w:fldChar w:fldCharType="separate"/>
          </w:r>
          <w:r>
            <w:t>14</w:t>
          </w:r>
          <w:r>
            <w:fldChar w:fldCharType="end"/>
          </w:r>
          <w:r>
            <w:fldChar w:fldCharType="end"/>
          </w:r>
        </w:p>
        <w:p w14:paraId="72616735">
          <w:pPr>
            <w:pStyle w:val="17"/>
            <w:tabs>
              <w:tab w:val="right" w:leader="dot" w:pos="8666"/>
            </w:tabs>
          </w:pPr>
          <w:r>
            <w:fldChar w:fldCharType="begin"/>
          </w:r>
          <w:r>
            <w:instrText xml:space="preserve"> HYPERLINK \l "_Toc27211" </w:instrText>
          </w:r>
          <w:r>
            <w:fldChar w:fldCharType="separate"/>
          </w:r>
          <w:r>
            <w:rPr>
              <w:bCs/>
              <w:szCs w:val="32"/>
            </w:rPr>
            <w:t>（四）大气环境管理</w:t>
          </w:r>
          <w:r>
            <w:tab/>
          </w:r>
          <w:r>
            <w:fldChar w:fldCharType="begin"/>
          </w:r>
          <w:r>
            <w:instrText xml:space="preserve"> PAGEREF _Toc27211 \h </w:instrText>
          </w:r>
          <w:r>
            <w:fldChar w:fldCharType="separate"/>
          </w:r>
          <w:r>
            <w:t>16</w:t>
          </w:r>
          <w:r>
            <w:fldChar w:fldCharType="end"/>
          </w:r>
          <w:r>
            <w:fldChar w:fldCharType="end"/>
          </w:r>
        </w:p>
        <w:p w14:paraId="4D4CFC46">
          <w:pPr>
            <w:pStyle w:val="17"/>
            <w:tabs>
              <w:tab w:val="right" w:leader="dot" w:pos="8666"/>
            </w:tabs>
          </w:pPr>
          <w:r>
            <w:fldChar w:fldCharType="begin"/>
          </w:r>
          <w:r>
            <w:instrText xml:space="preserve"> HYPERLINK \l "_Toc7664" </w:instrText>
          </w:r>
          <w:r>
            <w:fldChar w:fldCharType="separate"/>
          </w:r>
          <w:r>
            <w:rPr>
              <w:bCs/>
              <w:szCs w:val="32"/>
            </w:rPr>
            <w:t>（五）土壤环境管理</w:t>
          </w:r>
          <w:r>
            <w:tab/>
          </w:r>
          <w:r>
            <w:fldChar w:fldCharType="begin"/>
          </w:r>
          <w:r>
            <w:instrText xml:space="preserve"> PAGEREF _Toc7664 \h </w:instrText>
          </w:r>
          <w:r>
            <w:fldChar w:fldCharType="separate"/>
          </w:r>
          <w:r>
            <w:t>17</w:t>
          </w:r>
          <w:r>
            <w:fldChar w:fldCharType="end"/>
          </w:r>
          <w:r>
            <w:fldChar w:fldCharType="end"/>
          </w:r>
        </w:p>
        <w:p w14:paraId="268015CB">
          <w:pPr>
            <w:pStyle w:val="17"/>
            <w:tabs>
              <w:tab w:val="right" w:leader="dot" w:pos="8666"/>
            </w:tabs>
          </w:pPr>
          <w:r>
            <w:fldChar w:fldCharType="begin"/>
          </w:r>
          <w:r>
            <w:instrText xml:space="preserve"> HYPERLINK \l "_Toc20247" </w:instrText>
          </w:r>
          <w:r>
            <w:fldChar w:fldCharType="separate"/>
          </w:r>
          <w:r>
            <w:rPr>
              <w:bCs/>
              <w:szCs w:val="32"/>
            </w:rPr>
            <w:t>（六）固体废物管理</w:t>
          </w:r>
          <w:r>
            <w:tab/>
          </w:r>
          <w:r>
            <w:fldChar w:fldCharType="begin"/>
          </w:r>
          <w:r>
            <w:instrText xml:space="preserve"> PAGEREF _Toc20247 \h </w:instrText>
          </w:r>
          <w:r>
            <w:fldChar w:fldCharType="separate"/>
          </w:r>
          <w:r>
            <w:t>18</w:t>
          </w:r>
          <w:r>
            <w:fldChar w:fldCharType="end"/>
          </w:r>
          <w:r>
            <w:fldChar w:fldCharType="end"/>
          </w:r>
        </w:p>
        <w:p w14:paraId="1523AB10">
          <w:pPr>
            <w:pStyle w:val="17"/>
            <w:tabs>
              <w:tab w:val="right" w:leader="dot" w:pos="8666"/>
            </w:tabs>
          </w:pPr>
          <w:r>
            <w:fldChar w:fldCharType="begin"/>
          </w:r>
          <w:r>
            <w:instrText xml:space="preserve"> HYPERLINK \l "_Toc80" </w:instrText>
          </w:r>
          <w:r>
            <w:fldChar w:fldCharType="separate"/>
          </w:r>
          <w:r>
            <w:rPr>
              <w:bCs/>
              <w:szCs w:val="32"/>
            </w:rPr>
            <w:t>（七）投诉管理</w:t>
          </w:r>
          <w:r>
            <w:tab/>
          </w:r>
          <w:r>
            <w:fldChar w:fldCharType="begin"/>
          </w:r>
          <w:r>
            <w:instrText xml:space="preserve"> PAGEREF _Toc80 \h </w:instrText>
          </w:r>
          <w:r>
            <w:fldChar w:fldCharType="separate"/>
          </w:r>
          <w:r>
            <w:t>18</w:t>
          </w:r>
          <w:r>
            <w:fldChar w:fldCharType="end"/>
          </w:r>
          <w:r>
            <w:fldChar w:fldCharType="end"/>
          </w:r>
        </w:p>
        <w:p w14:paraId="7D49FCF1">
          <w:pPr>
            <w:pStyle w:val="17"/>
            <w:tabs>
              <w:tab w:val="right" w:leader="dot" w:pos="8666"/>
            </w:tabs>
          </w:pPr>
          <w:r>
            <w:fldChar w:fldCharType="begin"/>
          </w:r>
          <w:r>
            <w:instrText xml:space="preserve"> HYPERLINK \l "_Toc25542" </w:instrText>
          </w:r>
          <w:r>
            <w:fldChar w:fldCharType="separate"/>
          </w:r>
          <w:r>
            <w:rPr>
              <w:bCs/>
              <w:szCs w:val="32"/>
            </w:rPr>
            <w:t>（八）园区信用评价</w:t>
          </w:r>
          <w:r>
            <w:tab/>
          </w:r>
          <w:r>
            <w:fldChar w:fldCharType="begin"/>
          </w:r>
          <w:r>
            <w:instrText xml:space="preserve"> PAGEREF _Toc25542 \h </w:instrText>
          </w:r>
          <w:r>
            <w:fldChar w:fldCharType="separate"/>
          </w:r>
          <w:r>
            <w:t>18</w:t>
          </w:r>
          <w:r>
            <w:fldChar w:fldCharType="end"/>
          </w:r>
          <w:r>
            <w:fldChar w:fldCharType="end"/>
          </w:r>
        </w:p>
        <w:p w14:paraId="2B2E1B58">
          <w:pPr>
            <w:snapToGrid w:val="0"/>
            <w:spacing w:line="360" w:lineRule="auto"/>
            <w:rPr>
              <w:rFonts w:hint="eastAsia" w:ascii="Times New Roman" w:hAnsi="Times New Roman" w:cs="Times New Roman"/>
              <w:lang w:val="en-US"/>
            </w:rPr>
          </w:pPr>
          <w:r>
            <w:rPr>
              <w:rFonts w:ascii="Times New Roman" w:hAnsi="Times New Roman" w:eastAsia="仿宋" w:cs="Times New Roman"/>
            </w:rPr>
            <w:fldChar w:fldCharType="end"/>
          </w:r>
          <w:bookmarkStart w:id="2" w:name="_Toc7251"/>
        </w:p>
      </w:sdtContent>
    </w:sdt>
    <w:p w14:paraId="48BFB1D2">
      <w:pPr>
        <w:pStyle w:val="9"/>
        <w:sectPr>
          <w:footerReference r:id="rId4" w:type="default"/>
          <w:pgSz w:w="11906" w:h="16838"/>
          <w:pgMar w:top="1440" w:right="144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2B29A423">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0"/>
        <w:rPr>
          <w:rFonts w:hint="eastAsia" w:ascii="宋体" w:hAnsi="宋体" w:eastAsia="宋体" w:cs="宋体"/>
          <w:b/>
          <w:bCs/>
          <w:spacing w:val="28"/>
          <w:sz w:val="44"/>
          <w:szCs w:val="44"/>
        </w:rPr>
      </w:pPr>
      <w:bookmarkStart w:id="3" w:name="_Toc31807"/>
      <w:bookmarkStart w:id="4" w:name="_Toc31189"/>
      <w:bookmarkStart w:id="5" w:name="_Toc26807"/>
      <w:r>
        <w:rPr>
          <w:rFonts w:hint="eastAsia" w:ascii="宋体" w:hAnsi="宋体" w:eastAsia="宋体" w:cs="宋体"/>
          <w:b/>
          <w:bCs/>
          <w:spacing w:val="28"/>
          <w:sz w:val="44"/>
          <w:szCs w:val="44"/>
        </w:rPr>
        <w:t>湘潭天易经济开发区生态环境管理</w:t>
      </w:r>
    </w:p>
    <w:p w14:paraId="2F33C6D7">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0"/>
        <w:rPr>
          <w:rFonts w:hint="eastAsia" w:ascii="宋体" w:hAnsi="宋体" w:eastAsia="宋体" w:cs="宋体"/>
          <w:b/>
          <w:bCs/>
          <w:spacing w:val="28"/>
          <w:sz w:val="44"/>
          <w:szCs w:val="44"/>
        </w:rPr>
      </w:pPr>
      <w:r>
        <w:rPr>
          <w:rFonts w:hint="eastAsia" w:ascii="宋体" w:hAnsi="宋体" w:eastAsia="宋体" w:cs="宋体"/>
          <w:b/>
          <w:bCs/>
          <w:spacing w:val="28"/>
          <w:sz w:val="44"/>
          <w:szCs w:val="44"/>
        </w:rPr>
        <w:t>202</w:t>
      </w:r>
      <w:r>
        <w:rPr>
          <w:rFonts w:hint="eastAsia" w:ascii="宋体" w:hAnsi="宋体" w:eastAsia="宋体" w:cs="宋体"/>
          <w:b/>
          <w:bCs/>
          <w:spacing w:val="28"/>
          <w:sz w:val="44"/>
          <w:szCs w:val="44"/>
          <w:lang w:val="en-US" w:eastAsia="zh-CN"/>
        </w:rPr>
        <w:t>5</w:t>
      </w:r>
      <w:r>
        <w:rPr>
          <w:rFonts w:hint="eastAsia" w:ascii="宋体" w:hAnsi="宋体" w:eastAsia="宋体" w:cs="宋体"/>
          <w:b/>
          <w:bCs/>
          <w:spacing w:val="28"/>
          <w:sz w:val="44"/>
          <w:szCs w:val="44"/>
        </w:rPr>
        <w:t>年度自评估报告</w:t>
      </w:r>
      <w:bookmarkEnd w:id="0"/>
      <w:bookmarkEnd w:id="1"/>
      <w:bookmarkEnd w:id="2"/>
      <w:bookmarkEnd w:id="3"/>
      <w:bookmarkEnd w:id="4"/>
      <w:bookmarkEnd w:id="5"/>
    </w:p>
    <w:p w14:paraId="3B49B07C">
      <w:pPr>
        <w:jc w:val="left"/>
        <w:rPr>
          <w:rFonts w:ascii="Times New Roman" w:hAnsi="Times New Roman" w:eastAsia="仿宋_GB2312" w:cs="Times New Roman"/>
          <w:spacing w:val="28"/>
          <w:sz w:val="36"/>
          <w:szCs w:val="36"/>
        </w:rPr>
      </w:pPr>
    </w:p>
    <w:p w14:paraId="36842AF1">
      <w:pPr>
        <w:pStyle w:val="2"/>
        <w:keepNext w:val="0"/>
        <w:keepLines w:val="0"/>
        <w:pageBreakBefore w:val="0"/>
        <w:widowControl w:val="0"/>
        <w:kinsoku/>
        <w:wordWrap/>
        <w:overflowPunct w:val="0"/>
        <w:topLinePunct w:val="0"/>
        <w:autoSpaceDE/>
        <w:autoSpaceDN/>
        <w:bidi w:val="0"/>
        <w:adjustRightInd w:val="0"/>
        <w:spacing w:line="560" w:lineRule="exact"/>
        <w:ind w:firstLine="640"/>
        <w:jc w:val="both"/>
        <w:rPr>
          <w:rFonts w:ascii="Times New Roman" w:hAnsi="Times New Roman" w:cs="Times New Roman"/>
        </w:rPr>
      </w:pPr>
      <w:bookmarkStart w:id="6" w:name="_Toc26129"/>
      <w:bookmarkStart w:id="7" w:name="_Toc4212"/>
      <w:r>
        <w:rPr>
          <w:rFonts w:ascii="Times New Roman" w:hAnsi="Times New Roman" w:cs="Times New Roman"/>
        </w:rPr>
        <w:t>一、园区概况</w:t>
      </w:r>
      <w:bookmarkEnd w:id="6"/>
      <w:bookmarkEnd w:id="7"/>
    </w:p>
    <w:p w14:paraId="50B36213">
      <w:pPr>
        <w:keepNext w:val="0"/>
        <w:keepLines w:val="0"/>
        <w:pageBreakBefore w:val="0"/>
        <w:widowControl w:val="0"/>
        <w:kinsoku/>
        <w:wordWrap/>
        <w:overflowPunct w:val="0"/>
        <w:topLinePunct w:val="0"/>
        <w:autoSpaceDE/>
        <w:autoSpaceDN/>
        <w:bidi w:val="0"/>
        <w:adjustRightInd w:val="0"/>
        <w:snapToGrid w:val="0"/>
        <w:spacing w:line="560" w:lineRule="exact"/>
        <w:ind w:firstLine="600" w:firstLineChars="200"/>
        <w:jc w:val="both"/>
        <w:rPr>
          <w:rFonts w:hint="eastAsia" w:ascii="仿宋" w:hAnsi="仿宋" w:eastAsia="仿宋" w:cs="仿宋"/>
          <w:sz w:val="30"/>
          <w:szCs w:val="30"/>
        </w:rPr>
      </w:pPr>
      <w:r>
        <w:rPr>
          <w:rFonts w:hint="eastAsia" w:ascii="仿宋" w:hAnsi="仿宋" w:eastAsia="仿宋" w:cs="仿宋"/>
          <w:sz w:val="30"/>
          <w:szCs w:val="30"/>
        </w:rPr>
        <w:t>湘潭天易经济开发区园区位于湘潭市湘潭县，园区代码S437023，园区级别为省级工业园区，主导产业</w:t>
      </w:r>
      <w:r>
        <w:rPr>
          <w:rFonts w:hint="eastAsia" w:ascii="仿宋" w:hAnsi="仿宋" w:eastAsia="仿宋" w:cs="仿宋"/>
          <w:sz w:val="30"/>
          <w:szCs w:val="30"/>
          <w:lang w:eastAsia="zh-CN"/>
        </w:rPr>
        <w:t>（</w:t>
      </w:r>
      <w:r>
        <w:rPr>
          <w:rFonts w:hint="eastAsia" w:ascii="仿宋" w:hAnsi="仿宋" w:eastAsia="仿宋" w:cs="仿宋"/>
          <w:sz w:val="30"/>
          <w:szCs w:val="30"/>
        </w:rPr>
        <w:t>湘发改函［2013］83号</w:t>
      </w:r>
      <w:r>
        <w:rPr>
          <w:rFonts w:hint="eastAsia" w:ascii="仿宋" w:hAnsi="仿宋" w:eastAsia="仿宋" w:cs="仿宋"/>
          <w:sz w:val="30"/>
          <w:szCs w:val="30"/>
          <w:lang w:eastAsia="zh-CN"/>
        </w:rPr>
        <w:t>）</w:t>
      </w:r>
      <w:r>
        <w:rPr>
          <w:rFonts w:hint="eastAsia" w:ascii="仿宋" w:hAnsi="仿宋" w:eastAsia="仿宋" w:cs="仿宋"/>
          <w:sz w:val="30"/>
          <w:szCs w:val="30"/>
        </w:rPr>
        <w:t>：先进装备制造、农产品精深加工；</w:t>
      </w:r>
      <w:r>
        <w:rPr>
          <w:rFonts w:hint="eastAsia" w:ascii="仿宋" w:hAnsi="仿宋" w:eastAsia="仿宋" w:cs="仿宋"/>
          <w:sz w:val="30"/>
          <w:szCs w:val="30"/>
          <w:lang w:eastAsia="zh-CN"/>
        </w:rPr>
        <w:t>（</w:t>
      </w:r>
      <w:r>
        <w:rPr>
          <w:rFonts w:hint="eastAsia" w:ascii="仿宋" w:hAnsi="仿宋" w:eastAsia="仿宋" w:cs="仿宋"/>
          <w:sz w:val="30"/>
          <w:szCs w:val="30"/>
        </w:rPr>
        <w:t>湘环评函[2014]122号</w:t>
      </w:r>
      <w:r>
        <w:rPr>
          <w:rFonts w:hint="eastAsia" w:ascii="仿宋" w:hAnsi="仿宋" w:eastAsia="仿宋" w:cs="仿宋"/>
          <w:sz w:val="30"/>
          <w:szCs w:val="30"/>
          <w:lang w:eastAsia="zh-CN"/>
        </w:rPr>
        <w:t>）</w:t>
      </w:r>
      <w:r>
        <w:rPr>
          <w:rFonts w:hint="eastAsia" w:ascii="仿宋" w:hAnsi="仿宋" w:eastAsia="仿宋" w:cs="仿宋"/>
          <w:sz w:val="30"/>
          <w:szCs w:val="30"/>
        </w:rPr>
        <w:t>：以先进装备制造业、农产品精深加工业、现代服务业为主导，辅助发展新型金属材料、新能源材料、节能环保型建筑新材料和节能环保产业；六部委公告2018年第4号：食品、装备制造。</w:t>
      </w:r>
    </w:p>
    <w:p w14:paraId="4380173B">
      <w:pPr>
        <w:keepNext w:val="0"/>
        <w:keepLines w:val="0"/>
        <w:pageBreakBefore w:val="0"/>
        <w:widowControl w:val="0"/>
        <w:kinsoku/>
        <w:wordWrap/>
        <w:overflowPunct w:val="0"/>
        <w:topLinePunct w:val="0"/>
        <w:autoSpaceDE/>
        <w:autoSpaceDN/>
        <w:bidi w:val="0"/>
        <w:adjustRightInd w:val="0"/>
        <w:snapToGrid w:val="0"/>
        <w:spacing w:line="560" w:lineRule="exact"/>
        <w:ind w:firstLine="600" w:firstLineChars="200"/>
        <w:jc w:val="both"/>
        <w:rPr>
          <w:rFonts w:hint="eastAsia" w:ascii="仿宋" w:hAnsi="仿宋" w:eastAsia="仿宋" w:cs="仿宋"/>
          <w:sz w:val="30"/>
          <w:szCs w:val="30"/>
        </w:rPr>
      </w:pPr>
      <w:r>
        <w:rPr>
          <w:rFonts w:hint="eastAsia" w:ascii="仿宋" w:hAnsi="仿宋" w:eastAsia="仿宋" w:cs="仿宋"/>
          <w:sz w:val="30"/>
          <w:szCs w:val="30"/>
        </w:rPr>
        <w:t>1992年民政部（民行批[1992]65号）、湖南省人民政府（湘政函[1992]67号）批准湘潭县县治从湘潭市区移址易俗河镇，同年11月18日，经湖南省体改委（湘体改字[1992]138号）和湖南省人民政府（湘政发[1994]5号）批准，在易俗河镇设立经济开发区，规格为省级，规划面积为26km</w:t>
      </w:r>
      <w:r>
        <w:rPr>
          <w:rFonts w:hint="eastAsia" w:ascii="仿宋" w:hAnsi="仿宋" w:eastAsia="仿宋" w:cs="仿宋"/>
          <w:sz w:val="30"/>
          <w:szCs w:val="30"/>
          <w:vertAlign w:val="superscript"/>
        </w:rPr>
        <w:t>2</w:t>
      </w:r>
      <w:r>
        <w:rPr>
          <w:rFonts w:hint="eastAsia" w:ascii="仿宋" w:hAnsi="仿宋" w:eastAsia="仿宋" w:cs="仿宋"/>
          <w:sz w:val="30"/>
          <w:szCs w:val="30"/>
        </w:rPr>
        <w:t>，成为湖南省为数不多的县城与开发区一体化建设区域。2003年6月～2004年10月，通过土地市场清理整顿后，开发区规划审核面积为11.93km</w:t>
      </w:r>
      <w:r>
        <w:rPr>
          <w:rFonts w:hint="eastAsia" w:ascii="仿宋" w:hAnsi="仿宋" w:eastAsia="仿宋" w:cs="仿宋"/>
          <w:sz w:val="30"/>
          <w:szCs w:val="30"/>
          <w:vertAlign w:val="superscript"/>
        </w:rPr>
        <w:t>2</w:t>
      </w:r>
      <w:r>
        <w:rPr>
          <w:rFonts w:hint="eastAsia" w:ascii="仿宋" w:hAnsi="仿宋" w:eastAsia="仿宋" w:cs="仿宋"/>
          <w:sz w:val="30"/>
          <w:szCs w:val="30"/>
        </w:rPr>
        <w:t>。2005年申报为湖南湘潭易俗河经济开发区。2006年国家发改委[2006]8号公</w:t>
      </w:r>
      <w:r>
        <w:rPr>
          <w:rFonts w:hint="eastAsia" w:ascii="仿宋" w:hAnsi="仿宋" w:eastAsia="仿宋" w:cs="仿宋"/>
          <w:sz w:val="30"/>
          <w:szCs w:val="30"/>
          <w:highlight w:val="none"/>
        </w:rPr>
        <w:t>告再核减非工业用地面积2.5km</w:t>
      </w:r>
      <w:r>
        <w:rPr>
          <w:rFonts w:hint="eastAsia" w:ascii="仿宋" w:hAnsi="仿宋" w:eastAsia="仿宋" w:cs="仿宋"/>
          <w:sz w:val="30"/>
          <w:szCs w:val="30"/>
          <w:highlight w:val="none"/>
          <w:vertAlign w:val="superscript"/>
        </w:rPr>
        <w:t>2</w:t>
      </w:r>
      <w:r>
        <w:rPr>
          <w:rFonts w:hint="eastAsia" w:ascii="仿宋" w:hAnsi="仿宋" w:eastAsia="仿宋" w:cs="仿宋"/>
          <w:sz w:val="30"/>
          <w:szCs w:val="30"/>
          <w:highlight w:val="none"/>
        </w:rPr>
        <w:t>，保留面积9.43km</w:t>
      </w:r>
      <w:r>
        <w:rPr>
          <w:rFonts w:hint="eastAsia" w:ascii="仿宋" w:hAnsi="仿宋" w:eastAsia="仿宋" w:cs="仿宋"/>
          <w:sz w:val="30"/>
          <w:szCs w:val="30"/>
          <w:highlight w:val="none"/>
          <w:vertAlign w:val="superscript"/>
        </w:rPr>
        <w:t>2</w:t>
      </w: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rPr>
        <w:t>2012年再次进行调整，调整后面积为10.14km</w:t>
      </w:r>
      <w:r>
        <w:rPr>
          <w:rFonts w:hint="eastAsia" w:ascii="仿宋" w:hAnsi="仿宋" w:eastAsia="仿宋" w:cs="仿宋"/>
          <w:sz w:val="30"/>
          <w:szCs w:val="30"/>
          <w:highlight w:val="none"/>
          <w:vertAlign w:val="superscript"/>
        </w:rPr>
        <w:t>2</w:t>
      </w:r>
      <w:r>
        <w:rPr>
          <w:rFonts w:hint="eastAsia" w:ascii="仿宋" w:hAnsi="仿宋" w:eastAsia="仿宋" w:cs="仿宋"/>
          <w:sz w:val="30"/>
          <w:szCs w:val="30"/>
          <w:highlight w:val="none"/>
        </w:rPr>
        <w:t>。</w:t>
      </w:r>
      <w:r>
        <w:rPr>
          <w:rFonts w:hint="eastAsia" w:ascii="仿宋" w:hAnsi="仿宋" w:eastAsia="仿宋" w:cs="仿宋"/>
          <w:sz w:val="30"/>
          <w:szCs w:val="30"/>
          <w:highlight w:val="none"/>
          <w:lang w:val="en-US" w:eastAsia="zh-CN"/>
        </w:rPr>
        <w:t>2022年</w:t>
      </w:r>
      <w:r>
        <w:rPr>
          <w:rFonts w:hint="eastAsia" w:ascii="仿宋" w:hAnsi="仿宋" w:eastAsia="仿宋" w:cs="仿宋"/>
          <w:sz w:val="30"/>
          <w:szCs w:val="30"/>
          <w:highlight w:val="none"/>
        </w:rPr>
        <w:t>《湖南省发展和改革委员会湖南省自然资源厅关于发布湘潭天易经济开发区边界面</w:t>
      </w:r>
      <w:r>
        <w:rPr>
          <w:rFonts w:hint="eastAsia" w:ascii="仿宋" w:hAnsi="仿宋" w:eastAsia="仿宋" w:cs="仿宋"/>
          <w:sz w:val="30"/>
          <w:szCs w:val="30"/>
        </w:rPr>
        <w:t>积及四至范围的通知》（湘发改园区[2022]601号），湘潭天易经开区核定范围为10.6702km</w:t>
      </w:r>
      <w:r>
        <w:rPr>
          <w:rFonts w:hint="eastAsia" w:ascii="仿宋" w:hAnsi="仿宋" w:eastAsia="仿宋" w:cs="仿宋"/>
          <w:sz w:val="30"/>
          <w:szCs w:val="30"/>
          <w:vertAlign w:val="superscript"/>
        </w:rPr>
        <w:t>2</w:t>
      </w:r>
      <w:r>
        <w:rPr>
          <w:rFonts w:hint="eastAsia" w:ascii="仿宋" w:hAnsi="仿宋" w:eastAsia="仿宋" w:cs="仿宋"/>
          <w:sz w:val="30"/>
          <w:szCs w:val="30"/>
        </w:rPr>
        <w:t>。根据省发展改革委《关于同意湘潭天易经济开发区开展扩区前期工作的函》(湘发改函〔2023〕91号）原则同意将339.42公顷依扩区程序调入四至边界范围，扩区后湘潭天易经开区总面积为14</w:t>
      </w:r>
      <w:r>
        <w:rPr>
          <w:rFonts w:hint="eastAsia" w:ascii="仿宋" w:hAnsi="仿宋" w:eastAsia="仿宋" w:cs="仿宋"/>
          <w:sz w:val="30"/>
          <w:szCs w:val="30"/>
          <w:lang w:val="en-US" w:eastAsia="zh-CN"/>
        </w:rPr>
        <w:t>.</w:t>
      </w:r>
      <w:r>
        <w:rPr>
          <w:rFonts w:hint="eastAsia" w:ascii="仿宋" w:hAnsi="仿宋" w:eastAsia="仿宋" w:cs="仿宋"/>
          <w:sz w:val="30"/>
          <w:szCs w:val="30"/>
        </w:rPr>
        <w:t>0646km</w:t>
      </w:r>
      <w:r>
        <w:rPr>
          <w:rFonts w:hint="eastAsia" w:ascii="仿宋" w:hAnsi="仿宋" w:eastAsia="仿宋" w:cs="仿宋"/>
          <w:sz w:val="30"/>
          <w:szCs w:val="30"/>
          <w:vertAlign w:val="superscript"/>
        </w:rPr>
        <w:t>2</w:t>
      </w:r>
      <w:r>
        <w:rPr>
          <w:rFonts w:hint="eastAsia" w:ascii="仿宋" w:hAnsi="仿宋" w:eastAsia="仿宋" w:cs="仿宋"/>
          <w:sz w:val="30"/>
          <w:szCs w:val="30"/>
          <w:lang w:eastAsia="zh-CN"/>
        </w:rPr>
        <w:t>。</w:t>
      </w:r>
    </w:p>
    <w:p w14:paraId="13CCA47F">
      <w:pPr>
        <w:keepNext w:val="0"/>
        <w:keepLines w:val="0"/>
        <w:pageBreakBefore w:val="0"/>
        <w:widowControl w:val="0"/>
        <w:kinsoku/>
        <w:wordWrap/>
        <w:overflowPunct w:val="0"/>
        <w:topLinePunct w:val="0"/>
        <w:autoSpaceDE/>
        <w:autoSpaceDN/>
        <w:bidi w:val="0"/>
        <w:adjustRightInd w:val="0"/>
        <w:snapToGrid w:val="0"/>
        <w:spacing w:line="560" w:lineRule="exact"/>
        <w:ind w:firstLine="600" w:firstLineChars="200"/>
        <w:jc w:val="both"/>
        <w:rPr>
          <w:rFonts w:hint="eastAsia" w:ascii="仿宋" w:hAnsi="仿宋" w:eastAsia="仿宋" w:cs="仿宋"/>
          <w:sz w:val="30"/>
          <w:szCs w:val="30"/>
        </w:rPr>
      </w:pPr>
      <w:r>
        <w:rPr>
          <w:rFonts w:hint="eastAsia" w:ascii="仿宋" w:hAnsi="仿宋" w:eastAsia="仿宋" w:cs="仿宋"/>
          <w:sz w:val="30"/>
          <w:szCs w:val="30"/>
        </w:rPr>
        <w:t>园区规划环评批复（含调扩区、跟踪评价）情况2014年11月13日取得原湖南省环境保护厅出具的《关于湖南湘潭天易经济开发区扩区与调整区位环境影响报告书的批复》，批复文号</w:t>
      </w:r>
      <w:r>
        <w:rPr>
          <w:rFonts w:hint="eastAsia" w:ascii="仿宋" w:hAnsi="仿宋" w:eastAsia="仿宋" w:cs="仿宋"/>
          <w:sz w:val="30"/>
          <w:szCs w:val="30"/>
          <w:lang w:eastAsia="zh-CN"/>
        </w:rPr>
        <w:t>（</w:t>
      </w:r>
      <w:r>
        <w:rPr>
          <w:rFonts w:hint="eastAsia" w:ascii="仿宋" w:hAnsi="仿宋" w:eastAsia="仿宋" w:cs="仿宋"/>
          <w:sz w:val="30"/>
          <w:szCs w:val="30"/>
        </w:rPr>
        <w:t>湘环评[2014]122号</w:t>
      </w:r>
      <w:r>
        <w:rPr>
          <w:rFonts w:hint="eastAsia" w:ascii="仿宋" w:hAnsi="仿宋" w:eastAsia="仿宋" w:cs="仿宋"/>
          <w:sz w:val="30"/>
          <w:szCs w:val="30"/>
          <w:lang w:eastAsia="zh-CN"/>
        </w:rPr>
        <w:t>）</w:t>
      </w:r>
      <w:r>
        <w:rPr>
          <w:rFonts w:hint="eastAsia" w:ascii="仿宋" w:hAnsi="仿宋" w:eastAsia="仿宋" w:cs="仿宋"/>
          <w:sz w:val="30"/>
          <w:szCs w:val="30"/>
        </w:rPr>
        <w:t>；2019年8月委托第三方机构（湖南葆华环保有限公司）开展了环境影响跟踪评价，2022年3月25日报告通过省评估中心组织的专家评审会，2022年9月7日取得了湖南省生态环境厅关于湖南湘潭天易经济开发区环境影响跟踪评价工作意见的函（湘环评函[2022]88号）</w:t>
      </w:r>
      <w:r>
        <w:rPr>
          <w:rFonts w:hint="eastAsia" w:ascii="仿宋" w:hAnsi="仿宋" w:eastAsia="仿宋" w:cs="仿宋"/>
          <w:sz w:val="30"/>
          <w:szCs w:val="30"/>
          <w:lang w:eastAsia="zh-CN"/>
        </w:rPr>
        <w:t>；</w:t>
      </w:r>
      <w:r>
        <w:rPr>
          <w:rFonts w:hint="eastAsia" w:ascii="仿宋" w:hAnsi="仿宋" w:eastAsia="仿宋" w:cs="仿宋"/>
          <w:sz w:val="30"/>
          <w:szCs w:val="30"/>
        </w:rPr>
        <w:t>2022年9月7日取得了湖南省生态环境厅关于湖南湘潭天易经济开发区环境影响跟踪评价工作意见的函（湘环评函[2022]88号）。</w:t>
      </w:r>
    </w:p>
    <w:p w14:paraId="479967FF">
      <w:pPr>
        <w:keepNext w:val="0"/>
        <w:keepLines w:val="0"/>
        <w:pageBreakBefore w:val="0"/>
        <w:widowControl w:val="0"/>
        <w:kinsoku/>
        <w:wordWrap/>
        <w:overflowPunct w:val="0"/>
        <w:topLinePunct w:val="0"/>
        <w:autoSpaceDE/>
        <w:autoSpaceDN/>
        <w:bidi w:val="0"/>
        <w:adjustRightInd w:val="0"/>
        <w:snapToGrid w:val="0"/>
        <w:spacing w:line="560" w:lineRule="exact"/>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2026年3月4日</w:t>
      </w:r>
      <w:r>
        <w:rPr>
          <w:rFonts w:hint="eastAsia" w:ascii="仿宋" w:hAnsi="仿宋" w:eastAsia="仿宋" w:cs="仿宋"/>
          <w:sz w:val="30"/>
          <w:szCs w:val="30"/>
        </w:rPr>
        <w:t>取得了湖南省生态环境厅关于湖南湘潭天易经济开发区</w:t>
      </w:r>
      <w:r>
        <w:rPr>
          <w:rFonts w:hint="eastAsia" w:ascii="仿宋" w:hAnsi="仿宋" w:eastAsia="仿宋" w:cs="仿宋"/>
          <w:sz w:val="30"/>
          <w:szCs w:val="30"/>
          <w:lang w:val="en-US" w:eastAsia="zh-CN"/>
        </w:rPr>
        <w:t>总体规划</w:t>
      </w:r>
      <w:r>
        <w:rPr>
          <w:rFonts w:hint="eastAsia" w:ascii="仿宋" w:hAnsi="仿宋" w:eastAsia="仿宋" w:cs="仿宋"/>
          <w:sz w:val="30"/>
          <w:szCs w:val="30"/>
        </w:rPr>
        <w:t>环境影响</w:t>
      </w:r>
      <w:r>
        <w:rPr>
          <w:rFonts w:hint="eastAsia" w:ascii="仿宋" w:hAnsi="仿宋" w:eastAsia="仿宋" w:cs="仿宋"/>
          <w:sz w:val="30"/>
          <w:szCs w:val="30"/>
          <w:lang w:val="en-US" w:eastAsia="zh-CN"/>
        </w:rPr>
        <w:t>书审查</w:t>
      </w:r>
      <w:r>
        <w:rPr>
          <w:rFonts w:hint="eastAsia" w:ascii="仿宋" w:hAnsi="仿宋" w:eastAsia="仿宋" w:cs="仿宋"/>
          <w:sz w:val="30"/>
          <w:szCs w:val="30"/>
        </w:rPr>
        <w:t>意见的函（湘环评函[202</w:t>
      </w:r>
      <w:r>
        <w:rPr>
          <w:rFonts w:hint="eastAsia" w:ascii="仿宋" w:hAnsi="仿宋" w:eastAsia="仿宋" w:cs="仿宋"/>
          <w:sz w:val="30"/>
          <w:szCs w:val="30"/>
          <w:lang w:val="en-US" w:eastAsia="zh-CN"/>
        </w:rPr>
        <w:t>6</w:t>
      </w:r>
      <w:r>
        <w:rPr>
          <w:rFonts w:hint="eastAsia" w:ascii="仿宋" w:hAnsi="仿宋" w:eastAsia="仿宋" w:cs="仿宋"/>
          <w:sz w:val="30"/>
          <w:szCs w:val="30"/>
        </w:rPr>
        <w:t>]8号）</w:t>
      </w:r>
      <w:r>
        <w:rPr>
          <w:rFonts w:hint="eastAsia" w:ascii="仿宋" w:hAnsi="仿宋" w:eastAsia="仿宋" w:cs="仿宋"/>
          <w:sz w:val="30"/>
          <w:szCs w:val="30"/>
          <w:lang w:eastAsia="zh-CN"/>
        </w:rPr>
        <w:t>。</w:t>
      </w:r>
    </w:p>
    <w:p w14:paraId="4E143198">
      <w:pPr>
        <w:keepNext w:val="0"/>
        <w:keepLines w:val="0"/>
        <w:pageBreakBefore w:val="0"/>
        <w:widowControl w:val="0"/>
        <w:kinsoku/>
        <w:wordWrap/>
        <w:overflowPunct w:val="0"/>
        <w:topLinePunct w:val="0"/>
        <w:autoSpaceDE/>
        <w:autoSpaceDN/>
        <w:bidi w:val="0"/>
        <w:adjustRightInd w:val="0"/>
        <w:snapToGrid w:val="0"/>
        <w:spacing w:line="560" w:lineRule="exact"/>
        <w:ind w:firstLine="600" w:firstLineChars="200"/>
        <w:jc w:val="both"/>
        <w:rPr>
          <w:rFonts w:hint="eastAsia" w:ascii="仿宋" w:hAnsi="仿宋" w:eastAsia="仿宋" w:cs="仿宋"/>
          <w:sz w:val="30"/>
          <w:szCs w:val="30"/>
        </w:rPr>
      </w:pPr>
      <w:r>
        <w:rPr>
          <w:rFonts w:hint="eastAsia" w:ascii="仿宋" w:hAnsi="仿宋" w:eastAsia="仿宋" w:cs="仿宋"/>
          <w:sz w:val="30"/>
          <w:szCs w:val="30"/>
        </w:rPr>
        <w:t>园区经济发展概况：截止202</w:t>
      </w:r>
      <w:r>
        <w:rPr>
          <w:rFonts w:hint="eastAsia" w:ascii="仿宋" w:hAnsi="仿宋" w:eastAsia="仿宋" w:cs="仿宋"/>
          <w:sz w:val="30"/>
          <w:szCs w:val="30"/>
          <w:lang w:val="en-US" w:eastAsia="zh-CN"/>
        </w:rPr>
        <w:t>5</w:t>
      </w:r>
      <w:r>
        <w:rPr>
          <w:rFonts w:hint="eastAsia" w:ascii="仿宋" w:hAnsi="仿宋" w:eastAsia="仿宋" w:cs="仿宋"/>
          <w:sz w:val="30"/>
          <w:szCs w:val="30"/>
        </w:rPr>
        <w:t>年底，园区已入园企业数量354个，本年度内新入园企业数量19个，本年度清退企业数量0个。园区内已完成环评批复手续企业数量354个，本年度新增项目环评批复24个。园区内已完成环保竣工验收手续企业数量325个，本年度新增环保竣工验收企业数量28个</w:t>
      </w:r>
      <w:r>
        <w:rPr>
          <w:rFonts w:hint="eastAsia" w:ascii="仿宋" w:hAnsi="仿宋" w:eastAsia="仿宋" w:cs="仿宋"/>
          <w:sz w:val="30"/>
          <w:szCs w:val="30"/>
          <w:lang w:eastAsia="zh-CN"/>
        </w:rPr>
        <w:t>，</w:t>
      </w:r>
      <w:r>
        <w:rPr>
          <w:rFonts w:hint="eastAsia" w:ascii="仿宋" w:hAnsi="仿宋" w:eastAsia="仿宋" w:cs="仿宋"/>
          <w:sz w:val="30"/>
          <w:szCs w:val="30"/>
        </w:rPr>
        <w:t>园区内已完成应急预案备案手续企业数量71个。园区内已取得排污许可证企业数量90个，其中重点管理的企业数量29个，简化管理企业数量61个。登记管理企业数量214个。</w:t>
      </w:r>
    </w:p>
    <w:p w14:paraId="0491E622">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0"/>
        <w:jc w:val="both"/>
        <w:rPr>
          <w:rFonts w:hint="eastAsia" w:ascii="仿宋" w:hAnsi="仿宋" w:eastAsia="仿宋" w:cs="仿宋"/>
          <w:sz w:val="30"/>
          <w:szCs w:val="30"/>
          <w:highlight w:val="yellow"/>
        </w:rPr>
      </w:pPr>
      <w:r>
        <w:rPr>
          <w:rFonts w:hint="eastAsia" w:ascii="仿宋" w:hAnsi="仿宋" w:eastAsia="仿宋" w:cs="仿宋"/>
          <w:sz w:val="30"/>
          <w:szCs w:val="30"/>
        </w:rPr>
        <w:t>园区主要污染物总量控制指标：化学需氧量</w:t>
      </w:r>
      <w:r>
        <w:rPr>
          <w:rFonts w:hint="eastAsia" w:ascii="仿宋" w:hAnsi="仿宋" w:eastAsia="仿宋" w:cs="仿宋"/>
          <w:sz w:val="30"/>
          <w:szCs w:val="30"/>
          <w:lang w:val="en-US" w:eastAsia="zh-CN"/>
        </w:rPr>
        <w:t>/</w:t>
      </w:r>
      <w:r>
        <w:rPr>
          <w:rFonts w:hint="eastAsia" w:ascii="仿宋" w:hAnsi="仿宋" w:eastAsia="仿宋" w:cs="仿宋"/>
          <w:sz w:val="30"/>
          <w:szCs w:val="30"/>
        </w:rPr>
        <w:t>，氨氮</w:t>
      </w:r>
      <w:r>
        <w:rPr>
          <w:rFonts w:hint="eastAsia" w:ascii="仿宋" w:hAnsi="仿宋" w:eastAsia="仿宋" w:cs="仿宋"/>
          <w:sz w:val="30"/>
          <w:szCs w:val="30"/>
          <w:lang w:val="en-US" w:eastAsia="zh-CN"/>
        </w:rPr>
        <w:t>/</w:t>
      </w:r>
      <w:r>
        <w:rPr>
          <w:rFonts w:hint="eastAsia" w:ascii="仿宋" w:hAnsi="仿宋" w:eastAsia="仿宋" w:cs="仿宋"/>
          <w:sz w:val="30"/>
          <w:szCs w:val="30"/>
        </w:rPr>
        <w:t>，二氧化硫</w:t>
      </w:r>
      <w:r>
        <w:rPr>
          <w:rFonts w:hint="eastAsia" w:ascii="仿宋" w:hAnsi="仿宋" w:eastAsia="仿宋" w:cs="仿宋"/>
          <w:sz w:val="30"/>
          <w:szCs w:val="30"/>
          <w:lang w:val="en-US" w:eastAsia="zh-CN"/>
        </w:rPr>
        <w:t>/</w:t>
      </w:r>
      <w:r>
        <w:rPr>
          <w:rFonts w:hint="eastAsia" w:ascii="仿宋" w:hAnsi="仿宋" w:eastAsia="仿宋" w:cs="仿宋"/>
          <w:sz w:val="30"/>
          <w:szCs w:val="30"/>
        </w:rPr>
        <w:t>，氮氧化物</w:t>
      </w:r>
      <w:r>
        <w:rPr>
          <w:rFonts w:hint="eastAsia" w:ascii="仿宋" w:hAnsi="仿宋" w:eastAsia="仿宋" w:cs="仿宋"/>
          <w:sz w:val="30"/>
          <w:szCs w:val="30"/>
          <w:lang w:val="en-US" w:eastAsia="zh-CN"/>
        </w:rPr>
        <w:t>/</w:t>
      </w:r>
      <w:r>
        <w:rPr>
          <w:rFonts w:hint="eastAsia" w:ascii="仿宋" w:hAnsi="仿宋" w:eastAsia="仿宋" w:cs="仿宋"/>
          <w:sz w:val="30"/>
          <w:szCs w:val="30"/>
        </w:rPr>
        <w:t>，VOC</w:t>
      </w:r>
      <w:r>
        <w:rPr>
          <w:rFonts w:hint="eastAsia" w:ascii="仿宋" w:hAnsi="仿宋" w:eastAsia="仿宋" w:cs="仿宋"/>
          <w:sz w:val="30"/>
          <w:szCs w:val="30"/>
          <w:vertAlign w:val="subscript"/>
        </w:rPr>
        <w:t>S</w:t>
      </w:r>
      <w:r>
        <w:rPr>
          <w:rFonts w:hint="eastAsia" w:ascii="仿宋" w:hAnsi="仿宋" w:eastAsia="仿宋" w:cs="仿宋"/>
          <w:sz w:val="30"/>
          <w:szCs w:val="30"/>
        </w:rPr>
        <w:t xml:space="preserve"> / t/a，其他 / t/a。</w:t>
      </w:r>
    </w:p>
    <w:p w14:paraId="2A4C8300">
      <w:pPr>
        <w:pStyle w:val="2"/>
        <w:keepNext w:val="0"/>
        <w:keepLines w:val="0"/>
        <w:pageBreakBefore w:val="0"/>
        <w:widowControl w:val="0"/>
        <w:kinsoku/>
        <w:wordWrap/>
        <w:overflowPunct w:val="0"/>
        <w:topLinePunct w:val="0"/>
        <w:autoSpaceDE/>
        <w:autoSpaceDN/>
        <w:bidi w:val="0"/>
        <w:adjustRightInd w:val="0"/>
        <w:spacing w:line="560" w:lineRule="exact"/>
        <w:ind w:firstLine="640"/>
        <w:jc w:val="both"/>
        <w:rPr>
          <w:rFonts w:ascii="Times New Roman" w:hAnsi="Times New Roman" w:cs="Times New Roman"/>
        </w:rPr>
      </w:pPr>
      <w:bookmarkStart w:id="8" w:name="_Toc18520"/>
      <w:bookmarkStart w:id="9" w:name="_Toc27793"/>
      <w:r>
        <w:rPr>
          <w:rFonts w:ascii="Times New Roman" w:hAnsi="Times New Roman" w:cs="Times New Roman"/>
        </w:rPr>
        <w:t>二、环境管理情况</w:t>
      </w:r>
      <w:bookmarkEnd w:id="8"/>
      <w:bookmarkEnd w:id="9"/>
    </w:p>
    <w:p w14:paraId="604D714E">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3"/>
        <w:jc w:val="both"/>
        <w:outlineLvl w:val="1"/>
        <w:rPr>
          <w:rFonts w:hint="eastAsia" w:ascii="楷体" w:hAnsi="楷体" w:eastAsia="楷体" w:cs="楷体"/>
          <w:b/>
          <w:bCs/>
          <w:szCs w:val="32"/>
        </w:rPr>
      </w:pPr>
      <w:bookmarkStart w:id="10" w:name="_Toc32303"/>
      <w:bookmarkStart w:id="11" w:name="_Toc15552"/>
      <w:r>
        <w:rPr>
          <w:rFonts w:hint="eastAsia" w:ascii="楷体" w:hAnsi="楷体" w:eastAsia="楷体" w:cs="楷体"/>
          <w:b/>
          <w:bCs/>
          <w:szCs w:val="32"/>
        </w:rPr>
        <w:t>（一）规划环评批复要求落实情况</w:t>
      </w:r>
      <w:bookmarkEnd w:id="10"/>
      <w:bookmarkEnd w:id="11"/>
    </w:p>
    <w:p w14:paraId="7A046626">
      <w:pPr>
        <w:keepNext w:val="0"/>
        <w:keepLines w:val="0"/>
        <w:pageBreakBefore w:val="0"/>
        <w:widowControl w:val="0"/>
        <w:suppressLineNumbers w:val="0"/>
        <w:kinsoku/>
        <w:wordWrap/>
        <w:overflowPunct w:val="0"/>
        <w:topLinePunct w:val="0"/>
        <w:autoSpaceDE/>
        <w:autoSpaceDN/>
        <w:bidi w:val="0"/>
        <w:adjustRightInd w:val="0"/>
        <w:spacing w:line="560" w:lineRule="exact"/>
        <w:ind w:firstLine="600" w:firstLineChars="200"/>
        <w:jc w:val="both"/>
        <w:textAlignment w:val="center"/>
        <w:rPr>
          <w:rFonts w:hint="eastAsia" w:ascii="仿宋" w:hAnsi="仿宋" w:eastAsia="仿宋" w:cs="仿宋"/>
          <w:b w:val="0"/>
          <w:bCs w:val="0"/>
          <w:i w:val="0"/>
          <w:iCs w:val="0"/>
          <w:color w:val="000000"/>
          <w:kern w:val="0"/>
          <w:sz w:val="30"/>
          <w:szCs w:val="30"/>
          <w:u w:val="none"/>
          <w:lang w:val="en-US" w:eastAsia="zh-CN" w:bidi="ar"/>
        </w:rPr>
      </w:pPr>
      <w:r>
        <w:rPr>
          <w:rFonts w:hint="eastAsia" w:ascii="仿宋" w:hAnsi="仿宋" w:eastAsia="仿宋" w:cs="仿宋"/>
          <w:b w:val="0"/>
          <w:bCs w:val="0"/>
          <w:i w:val="0"/>
          <w:iCs w:val="0"/>
          <w:color w:val="000000"/>
          <w:kern w:val="0"/>
          <w:sz w:val="30"/>
          <w:szCs w:val="30"/>
          <w:u w:val="none"/>
          <w:lang w:val="en-US" w:eastAsia="zh-CN" w:bidi="ar"/>
        </w:rPr>
        <w:t>园区规划环评批复（湘环评函[2026]8号）主要针对园区近期规划提出环保控制性要求，具体要求落实情况见表1。</w:t>
      </w:r>
    </w:p>
    <w:p w14:paraId="3B3F70A3">
      <w:pPr>
        <w:snapToGrid w:val="0"/>
        <w:spacing w:line="360" w:lineRule="auto"/>
        <w:jc w:val="center"/>
        <w:rPr>
          <w:rFonts w:hint="eastAsia" w:ascii="仿宋" w:hAnsi="仿宋" w:eastAsia="仿宋" w:cs="仿宋"/>
          <w:b/>
          <w:bCs/>
          <w:szCs w:val="28"/>
        </w:rPr>
      </w:pPr>
      <w:r>
        <w:rPr>
          <w:rFonts w:hint="eastAsia" w:ascii="仿宋" w:hAnsi="仿宋" w:eastAsia="仿宋" w:cs="仿宋"/>
          <w:b/>
          <w:bCs/>
          <w:szCs w:val="28"/>
        </w:rPr>
        <w:t>表1  经开区规划环评批复要求落实情况</w:t>
      </w:r>
    </w:p>
    <w:tbl>
      <w:tblPr>
        <w:tblStyle w:val="2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7"/>
        <w:gridCol w:w="5752"/>
        <w:gridCol w:w="2792"/>
      </w:tblGrid>
      <w:tr w14:paraId="6BB85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5000" w:type="pct"/>
            <w:gridSpan w:val="3"/>
            <w:tcBorders>
              <w:top w:val="single" w:color="000000" w:sz="12" w:space="0"/>
              <w:left w:val="single" w:color="000000" w:sz="12" w:space="0"/>
              <w:bottom w:val="single" w:color="000000" w:sz="6" w:space="0"/>
              <w:right w:val="single" w:color="000000" w:sz="12" w:space="0"/>
            </w:tcBorders>
            <w:shd w:val="clear" w:color="auto" w:fill="auto"/>
            <w:vAlign w:val="center"/>
          </w:tcPr>
          <w:p w14:paraId="42B2D999">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规划环评落实情况</w:t>
            </w:r>
          </w:p>
        </w:tc>
      </w:tr>
      <w:tr w14:paraId="1024B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51659446">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19473108">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规划环评批复要求</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6862D7F7">
            <w:pPr>
              <w:keepNext w:val="0"/>
              <w:keepLines w:val="0"/>
              <w:widowControl/>
              <w:suppressLineNumbers w:val="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批复落实情况</w:t>
            </w:r>
          </w:p>
        </w:tc>
      </w:tr>
      <w:tr w14:paraId="29CA1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1F7EEA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12B3B9C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优化空间功能布局。</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园区应从规划层面提升环境相容性，以减小工业开发对周边居住及社会服务功能的影响。核心区（区块一）部分区域与已有居住区工居混杂，在紧邻集中居住区的工业地块应限制新引入异味大、气型污染为主的工业项目，并加强对已有气型污染企业的污染管控。加强规划居住用地上的现有 8 家工业企业环境监管，不得原址改扩建及新增污染物排放。</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7194658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经开区现状功能分区明确，工业用地与居住用地之间已隔离，产业相对集中，园区北部未新引进气型污染企业。为确保居住用地生态环境，距离居民过近的湘潭埃索凯生化科技有限公司已退出天易经开区。</w:t>
            </w:r>
          </w:p>
        </w:tc>
      </w:tr>
      <w:tr w14:paraId="601E2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9"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19F507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2B457F6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严格项目环境准入。</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园区产业引进应严格遵守《长江保护法》《长江经济带发展负面清单指南》《湖南省湘江保护条例》等法律法规及相关政策的要求，落实园区生态环境分区管控要求，严格执行园区的产业定位和生态环境准入清单。</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12F45D00">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经开区入园项目选址均符合湖南省湘江保护条例、经开区总体规划、用地规划、环保规划及产业定位总体要求；未引进国家明令淘汰和禁止发展的能耗物耗高、环境污染严重、不符合产业政策的建设项目；未新引进三类工业和外排水污染物涉及重金属和持久性有机物的项目；入园企业均严格执行建设项目环境影响评价和环保“三同时”管理制度，排污浓度、总量均满足达标排放和总量控制要求；按报告书要求对现有园区及调扩区域内不符合产业定位，涉及重污染企业正在逐步清理（如湘易玻璃厂已清退）。</w:t>
            </w:r>
          </w:p>
        </w:tc>
      </w:tr>
      <w:tr w14:paraId="315C3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0"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37668E5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1FAC1AE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强化污染物排放管控。</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完善污水管网建设，加快调蓄工程改造工作，做好雨污分流、污污分流，确保园区各片区生产废水及生活污水应收尽收，排入污水处理厂处理。园区不得超过污水处理厂处理能力和排污口审批所规定的废水排放量引进项目，确保尾水达到污水处理厂环评及排污口批复的相关标准。</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核心区 (区块一) 部分区域 (玉兰路以东、贵竹南路以北) 生活污水及生产废水进入湘潭县第一污水处理厂处理达标后排入邯郸港后进入湘江。该污水处理厂入河排污口涉及湘江湘潭段野鲤国家级水产种质资源保护区的实验区，须根据国省相关文件要求，尽快完善入河排污口审批手续，于 2026 年 3 月底前取得入河排污口批复。核心区 (区块一) 内现有 5 家企业生产废水进入吴家巷工业污水处理站处理达到《铅、锌工业污染物排放标准》(GB25466) 后，由专用管道输送至湘潭县康大工贸有限公司作冲渣循环用水，不外排。湘潭县康大工贸有限公司停产或非正常生产情况下，上述 5 家企业须同步停产。该区块北部区域属于湘潭县老城区，雨污分流管网体系不完善，湘潭县第一污水处理厂存在超负荷处理情况，同时湘潭县第一污水处理厂向湘潭县第二污水处理厂调蓄工程无法达到设计规模，须加快对第一污水处理厂纳污范围雨污分流改造，加强两处污水处理厂之间调蓄工程的运维工作，并在 2026 年 3 月底前完成烟塘泵站改造等相关工作。</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核心区 (区块一) 部分区域 (玉兰路以西、贵竹南路以南) 及东城片区 (区块二) 生活污水及生产废水进入湘潭县第二污水处理厂处理达标后排入京竹渠后进入涓水。</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5B0CAD01">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fldChar w:fldCharType="begin"/>
            </w:r>
            <w:r>
              <w:rPr>
                <w:rFonts w:hint="eastAsia" w:ascii="仿宋" w:hAnsi="仿宋" w:eastAsia="仿宋" w:cs="仿宋"/>
                <w:i w:val="0"/>
                <w:iCs w:val="0"/>
                <w:color w:val="000000"/>
                <w:kern w:val="0"/>
                <w:sz w:val="21"/>
                <w:szCs w:val="21"/>
                <w:u w:val="none"/>
                <w:lang w:val="en-US" w:eastAsia="zh-CN" w:bidi="ar"/>
              </w:rPr>
              <w:instrText xml:space="preserve"> HYPERLINK "https://www.so.com/link?m=boK+HS/KO06TzRn8OddTsuu/osR16kZgRcq3PC8KK8ZNSlKgnH84svcnuEcyPGcu6InbowW4NvwicUE39brcf3g8D+OMBUfh76L6W4J4LNF0rutCGycZHm7wq0fbGbzbbkCIBW+O8Wo33hCGHpG7vt6ToLwRdF/Z0A3uLcb1bqL6e8qbJP2hLMjhpEL4SLzFNst56UvY5CzKZwAM9pj/eK2cDZ2kMkPbCk9F+XrvoloxOz6/vgac2e1xjpUM=" \o "https://www.so.com/link?m=boK+HS/KO06TzRn8OddTsuu/osR16kZgRcq3PC8KK8ZNSlKgnH84svcnuEcyPGcu6InbowW4NvwicUE39brcf3g8D+OMBUfh76L6W4J4LNF0rutCGycZHm7wq0fbGbzbbkCIBW+O8Wo33hCGHpG7vt6ToLwRdF/Z0A3uLcb1bqL6e8qbJP2hLMjhpEL4SLzFNst56UvY5CzKZwAM9pj/eK2cDZ2kMkPbCk9F+XrvoloxOz6/vgac2e1xjpUM=" </w:instrText>
            </w:r>
            <w:r>
              <w:rPr>
                <w:rFonts w:hint="eastAsia" w:ascii="仿宋" w:hAnsi="仿宋" w:eastAsia="仿宋" w:cs="仿宋"/>
                <w:i w:val="0"/>
                <w:iCs w:val="0"/>
                <w:color w:val="000000"/>
                <w:kern w:val="0"/>
                <w:sz w:val="21"/>
                <w:szCs w:val="21"/>
                <w:u w:val="none"/>
                <w:lang w:val="en-US" w:eastAsia="zh-CN" w:bidi="ar"/>
              </w:rPr>
              <w:fldChar w:fldCharType="separate"/>
            </w:r>
            <w:r>
              <w:rPr>
                <w:rFonts w:hint="eastAsia" w:ascii="仿宋" w:hAnsi="仿宋" w:eastAsia="仿宋" w:cs="仿宋"/>
                <w:i w:val="0"/>
                <w:iCs w:val="0"/>
                <w:color w:val="000000"/>
                <w:kern w:val="0"/>
                <w:sz w:val="21"/>
                <w:szCs w:val="21"/>
                <w:u w:val="none"/>
                <w:lang w:val="en-US" w:eastAsia="zh-CN" w:bidi="ar"/>
              </w:rPr>
              <w:t>经开区排水实施“雨污分流”，吴家巷工业园建设一个污水处理站，部分重金属废水经污水处理站处理后，交康大工贸循环利用，不外排；经开区工业废水及生活污水经现状管网收集进入湘潭县第一污水处理厂处理或湘潭县第二污水处理厂，一污出水水质已提标至《城镇污水处理厂污染物排放标准》（GB18918-2002）中的一级A标准，二污出水水质已提标至地表《水环境质量标准》(GB3838-2002)Ⅳ类标准，管控区内管网已配套到位。</w:t>
            </w:r>
            <w:r>
              <w:rPr>
                <w:rFonts w:hint="eastAsia" w:ascii="仿宋" w:hAnsi="仿宋" w:eastAsia="仿宋" w:cs="仿宋"/>
                <w:i w:val="0"/>
                <w:iCs w:val="0"/>
                <w:color w:val="000000"/>
                <w:kern w:val="0"/>
                <w:sz w:val="21"/>
                <w:szCs w:val="21"/>
                <w:u w:val="none"/>
                <w:lang w:val="en-US" w:eastAsia="zh-CN" w:bidi="ar"/>
              </w:rPr>
              <w:fldChar w:fldCharType="end"/>
            </w:r>
          </w:p>
        </w:tc>
      </w:tr>
      <w:tr w14:paraId="2CE08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0"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53001CD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21345B6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园区须加强大气污染防治。</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严格落实《产业结构指导目录》等政策文件关于淘汰落后生物质锅炉的要求，使用清洁能源，从源头减少大气污染物产生。园区企业须采用高效、稳定、成熟的环保技术和设施，限期淘汰水膜除尘、湿法除尘一体化等现有低效类治理工艺，加强对颗粒物、二氧化硫、氮氧化物、酸雾等污染物的治理，确保污染物达标排放。VOCs 排放企业须推行低挥发性有机物原辅材料替代，加强无组织挥发性有机物排放控制，采用高效治理技术，限期淘汰光催化、光解、低温等离子体等低效类技术。加强对恶臭异味的防治，对群众反映强烈的恶臭异味扰民问题加强排查整治，投诉集中的重点企业要安装在线监测系统。严格无组织排放控制，针对物料储存、输送、装卸、投料等无组织排放环节，园区须制定统一的管控规定，督促企业采取密闭等防控措施，采取合适的收集处理方式。园区道路实施硬化并定期清扫洒水，车辆冲洗上路，最大程度减少扬尘污染。严格监管重点排放企业，确保其处理设施稳定运行，严格落实重污染天气应急减排措施要求和大气污染防治特护期的相关减排要求。</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0EEDF1C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天易经开区已完成现有燃煤锅炉改造；入园企业均严格执行建设项目环境影响评价和环保“三同时”管理制度，重点废气排污企业设置在线监控设施，基本做到达标排放；功能布局合理，北部居住用地区域未新引进气型污染企业。</w:t>
            </w:r>
          </w:p>
        </w:tc>
      </w:tr>
      <w:tr w14:paraId="14678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2"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66D5110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1C512857">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园区须建立固废规范化管理体系，做好工业固体废物和生活垃圾的分类收集、转运、综合利用和无害化处理，鼓励园区配套建设 1 个危废处置项目，原则上支持园区配套建设 1 个危废利用项目。园区应督促企业落实《一般工业固体废物贮存和填埋污染控制标准》(GB18599) 和《危险废物贮存污染控制标准》(GB 18597) 要求，严格按照国家有关规定妥善处理危险废物，分级分类强化日常环境监管。按照国家《重点管控新污染物清单 (2023 年版)》要求，强化新污染物管控。</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302D6348">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经开区已做好工业固体废物和生活垃圾处理，建立了统一的固废收集、贮运、运输、综合利用和安全处置的运营管理体系；规范了固体废物处理措施，对工业企业产生的固体废物特别是危险固废已按国家有关规定综合利用或妥善处置。</w:t>
            </w:r>
          </w:p>
        </w:tc>
      </w:tr>
      <w:tr w14:paraId="28B60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173364F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511B5B1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园区须严格落实排污许可制度和污染物排放总量控制，推动园区内重点企业完成清洁生产审核，落实第三方环境治理工作相关政策要求，强化对园区重点产排污企业的监管。</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5B84E41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设立了经开区环境管理机构，建立了环境风险事故防范措施和应急预案。</w:t>
            </w:r>
          </w:p>
        </w:tc>
      </w:tr>
      <w:tr w14:paraId="7BD02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37F826E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59112604">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依据园区规划的功能分区、产业布局、重点企业分布、特征污染物的排放种类和状况、环境敏感目标分布等，建立健全环境空气、地表水、地下水、土壤等环境要素的监控体系，定期开展园区及周边土壤、地下水环境质量监测。按要求做好生态环境监测自动站布点、建设与运维，进一步完善环境监管信息平台数据对接工作。督促排污单位按要求安装视频监控设备，实现对检测活动过程和监测设备运行情况的监控。园区须跟踪监测污水处理厂尾水排放受纳水体的环境质量变化情况，其监测时间、频次、采样点应能反映园区整体的排放影响。园区须督促现有 11 家和后续新增的环境监管重点单位，按照《环境监管重点单位名录管理办法》的要求履行自行监测、信息公开等法律义务，采取措施防治环境污染，防范环境风险。</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2EB895F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经开区按照要求制定了新的园区年度环境监测计划。</w:t>
            </w:r>
          </w:p>
        </w:tc>
      </w:tr>
      <w:tr w14:paraId="2FE59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7FEC7EE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04FCC3E3">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落实环境风险防控措施，配套建设相应规模的事故废水应急池，确保事故状态下事故废水不排入外环境。及时完成园区突发环境事件应急预案的修订和备案工作，推动重点风险企业突发环境事件应急预案编制和备案工作。加强应急救援队伍、装备和设施建设，储备必要的应急物资，有计划地组织应急培训和演练，全面提升园区突发环境风险防控和环境事故应急处置能力。</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4038D9AB">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设立了经开区环境管理机构，建立了环境风险事故防范措施和应急预案。</w:t>
            </w:r>
          </w:p>
        </w:tc>
      </w:tr>
      <w:tr w14:paraId="39A16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46CBC99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4F09E0A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园区管委会与地方政府应共同做好控规，杜绝在规划的工业用地上新增环境敏感目标，做好园区开发过程中的居民搬迁安置工作，避免发生居民再次安置和次生环境问题。具体建设项目环评设置防护距离和拆迁要求的，要确保予以落实，对完成环评所提防护距离要求的建设项目，园区应确保其不得投产。</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30960A9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经开区按照要求制定了拆迁安置方案，《湘潭天易示范区集中土地房屋拆迁和货币安置暂行办法》潭天易管发</w:t>
            </w:r>
            <w:r>
              <w:rPr>
                <w:rStyle w:val="54"/>
                <w:rFonts w:hint="eastAsia" w:ascii="仿宋" w:hAnsi="仿宋" w:eastAsia="仿宋" w:cs="仿宋"/>
                <w:sz w:val="21"/>
                <w:szCs w:val="21"/>
                <w:lang w:val="en-US" w:eastAsia="zh-CN" w:bidi="ar"/>
              </w:rPr>
              <w:t>[2012]3</w:t>
            </w:r>
            <w:r>
              <w:rPr>
                <w:rStyle w:val="55"/>
                <w:rFonts w:hint="eastAsia" w:ascii="仿宋" w:hAnsi="仿宋" w:eastAsia="仿宋" w:cs="仿宋"/>
                <w:sz w:val="21"/>
                <w:szCs w:val="21"/>
                <w:lang w:val="en-US" w:eastAsia="zh-CN" w:bidi="ar"/>
              </w:rPr>
              <w:t>号，并逐步落实移民生产生活安置工作，防止移民再次安置和次生环境问题。</w:t>
            </w:r>
          </w:p>
        </w:tc>
      </w:tr>
      <w:tr w14:paraId="4420E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456" w:type="pct"/>
            <w:tcBorders>
              <w:top w:val="single" w:color="000000" w:sz="6" w:space="0"/>
              <w:left w:val="single" w:color="000000" w:sz="12" w:space="0"/>
              <w:bottom w:val="single" w:color="000000" w:sz="6" w:space="0"/>
              <w:right w:val="single" w:color="000000" w:sz="6" w:space="0"/>
            </w:tcBorders>
            <w:shd w:val="clear" w:color="auto" w:fill="auto"/>
            <w:vAlign w:val="center"/>
          </w:tcPr>
          <w:p w14:paraId="32F71DE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3059" w:type="pct"/>
            <w:tcBorders>
              <w:top w:val="single" w:color="000000" w:sz="6" w:space="0"/>
              <w:left w:val="single" w:color="000000" w:sz="6" w:space="0"/>
              <w:bottom w:val="single" w:color="000000" w:sz="6" w:space="0"/>
              <w:right w:val="single" w:color="000000" w:sz="6" w:space="0"/>
            </w:tcBorders>
            <w:shd w:val="clear" w:color="auto" w:fill="auto"/>
            <w:vAlign w:val="center"/>
          </w:tcPr>
          <w:p w14:paraId="23F1EB9F">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园区开发建设过程中尽可能保留自然水体，施工期对土石方开挖、堆存及回填要实施围挡、护坡等措施，裸露地及时恢复植被，防止水土流失，杜绝施工建设对地表水的污染。</w:t>
            </w:r>
          </w:p>
        </w:tc>
        <w:tc>
          <w:tcPr>
            <w:tcW w:w="1483" w:type="pct"/>
            <w:tcBorders>
              <w:top w:val="single" w:color="000000" w:sz="6" w:space="0"/>
              <w:left w:val="single" w:color="000000" w:sz="6" w:space="0"/>
              <w:bottom w:val="single" w:color="000000" w:sz="6" w:space="0"/>
              <w:right w:val="single" w:color="000000" w:sz="12" w:space="0"/>
            </w:tcBorders>
            <w:shd w:val="clear" w:color="auto" w:fill="auto"/>
            <w:vAlign w:val="center"/>
          </w:tcPr>
          <w:p w14:paraId="232F29B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经开区建设过程中，已落实规划及报告书的生态保护、景观设计和功能分区，已落实保留一定的自然山体绿地；对经开区内施工企业要求设置围挡、护坡等措施，对裸露地面及时恢复植被、防止水土流失。</w:t>
            </w:r>
          </w:p>
        </w:tc>
      </w:tr>
      <w:tr w14:paraId="6E621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456" w:type="pct"/>
            <w:tcBorders>
              <w:top w:val="single" w:color="000000" w:sz="6" w:space="0"/>
              <w:left w:val="single" w:color="000000" w:sz="12" w:space="0"/>
              <w:bottom w:val="single" w:color="000000" w:sz="12" w:space="0"/>
              <w:right w:val="single" w:color="000000" w:sz="6" w:space="0"/>
            </w:tcBorders>
            <w:shd w:val="clear" w:color="auto" w:fill="auto"/>
            <w:vAlign w:val="center"/>
          </w:tcPr>
          <w:p w14:paraId="060B7A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w:t>
            </w:r>
          </w:p>
        </w:tc>
        <w:tc>
          <w:tcPr>
            <w:tcW w:w="3059" w:type="pct"/>
            <w:tcBorders>
              <w:top w:val="single" w:color="000000" w:sz="6" w:space="0"/>
              <w:left w:val="single" w:color="000000" w:sz="6" w:space="0"/>
              <w:bottom w:val="single" w:color="000000" w:sz="12" w:space="0"/>
              <w:right w:val="single" w:color="000000" w:sz="6" w:space="0"/>
            </w:tcBorders>
            <w:shd w:val="clear" w:color="auto" w:fill="auto"/>
            <w:vAlign w:val="center"/>
          </w:tcPr>
          <w:p w14:paraId="6165FD5E">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园区规划必须与区域宏观规划相协调，如区域宏观规划进行调整，园区规划须作相应调整并进行环境可行性论证。加强园区规划环评与项目环评的联动，对符合规划环评环境管控要求和生态环境准入清单的具体建设项目，应将规划环评结论作为重要依据，其环评文件中选址选线、规模分析内容可适当简化。</w:t>
            </w:r>
          </w:p>
        </w:tc>
        <w:tc>
          <w:tcPr>
            <w:tcW w:w="1483" w:type="pct"/>
            <w:tcBorders>
              <w:top w:val="single" w:color="000000" w:sz="6" w:space="0"/>
              <w:left w:val="single" w:color="000000" w:sz="6" w:space="0"/>
              <w:bottom w:val="single" w:color="000000" w:sz="12" w:space="0"/>
              <w:right w:val="single" w:color="000000" w:sz="12" w:space="0"/>
            </w:tcBorders>
            <w:shd w:val="clear" w:color="auto" w:fill="auto"/>
            <w:vAlign w:val="center"/>
          </w:tcPr>
          <w:p w14:paraId="5B1C196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经开区建设过程中，已落实规划及报告书的生态保护、景观设计和功能分区，已落实保留一定的自然山体绿地；对经开区内施工企业要求设置围挡、护坡等措施，对裸露地面及时恢复植被、防止水土流失。</w:t>
            </w:r>
          </w:p>
        </w:tc>
      </w:tr>
    </w:tbl>
    <w:p w14:paraId="71C2B6AD">
      <w:pPr>
        <w:pStyle w:val="21"/>
        <w:keepNext w:val="0"/>
        <w:keepLines w:val="0"/>
        <w:pageBreakBefore w:val="0"/>
        <w:widowControl w:val="0"/>
        <w:kinsoku/>
        <w:wordWrap/>
        <w:overflowPunct w:val="0"/>
        <w:topLinePunct w:val="0"/>
        <w:autoSpaceDE/>
        <w:autoSpaceDN/>
        <w:bidi w:val="0"/>
        <w:adjustRightInd/>
        <w:snapToGrid w:val="0"/>
        <w:spacing w:after="0" w:line="560" w:lineRule="exact"/>
        <w:ind w:left="0" w:leftChars="0"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根据园区规划环评要求，园区自行监测计划详见表2。</w:t>
      </w:r>
    </w:p>
    <w:p w14:paraId="354B1A97">
      <w:pPr>
        <w:keepNext w:val="0"/>
        <w:keepLines w:val="0"/>
        <w:pageBreakBefore w:val="0"/>
        <w:widowControl w:val="0"/>
        <w:kinsoku/>
        <w:wordWrap/>
        <w:overflowPunct w:val="0"/>
        <w:topLinePunct w:val="0"/>
        <w:autoSpaceDE/>
        <w:autoSpaceDN/>
        <w:bidi w:val="0"/>
        <w:adjustRightInd/>
        <w:snapToGrid w:val="0"/>
        <w:spacing w:line="560" w:lineRule="exact"/>
        <w:ind w:firstLine="562" w:firstLineChars="200"/>
        <w:jc w:val="center"/>
        <w:textAlignment w:val="auto"/>
        <w:rPr>
          <w:rFonts w:ascii="Times New Roman" w:hAnsi="Times New Roman" w:eastAsia="仿宋" w:cs="Times New Roman"/>
          <w:b/>
          <w:bCs/>
          <w:szCs w:val="28"/>
        </w:rPr>
      </w:pPr>
      <w:r>
        <w:rPr>
          <w:rFonts w:ascii="Times New Roman" w:hAnsi="Times New Roman" w:eastAsia="仿宋" w:cs="Times New Roman"/>
          <w:b/>
          <w:bCs/>
          <w:szCs w:val="28"/>
        </w:rPr>
        <w:t xml:space="preserve">表2  </w:t>
      </w:r>
      <w:r>
        <w:rPr>
          <w:rFonts w:hint="eastAsia" w:ascii="Times New Roman" w:hAnsi="Times New Roman" w:eastAsia="仿宋" w:cs="Times New Roman"/>
          <w:b/>
          <w:bCs/>
          <w:szCs w:val="28"/>
          <w:lang w:val="en-US" w:eastAsia="zh-CN"/>
        </w:rPr>
        <w:t>天易</w:t>
      </w:r>
      <w:r>
        <w:rPr>
          <w:rFonts w:ascii="Times New Roman" w:hAnsi="Times New Roman" w:eastAsia="仿宋" w:cs="Times New Roman"/>
          <w:b/>
          <w:bCs/>
          <w:szCs w:val="28"/>
        </w:rPr>
        <w:t>经开区环境质量</w:t>
      </w:r>
      <w:r>
        <w:rPr>
          <w:rFonts w:hint="eastAsia" w:ascii="Times New Roman" w:hAnsi="Times New Roman" w:eastAsia="仿宋" w:cs="Times New Roman"/>
          <w:b/>
          <w:bCs/>
          <w:szCs w:val="28"/>
        </w:rPr>
        <w:t>规划环评</w:t>
      </w:r>
      <w:r>
        <w:rPr>
          <w:rFonts w:ascii="Times New Roman" w:hAnsi="Times New Roman" w:eastAsia="仿宋" w:cs="Times New Roman"/>
          <w:b/>
          <w:bCs/>
          <w:szCs w:val="28"/>
        </w:rPr>
        <w:t>监测计划</w:t>
      </w:r>
      <w:r>
        <w:rPr>
          <w:rFonts w:hint="eastAsia" w:ascii="Times New Roman" w:hAnsi="Times New Roman" w:eastAsia="仿宋" w:cs="Times New Roman"/>
          <w:b/>
          <w:bCs/>
          <w:szCs w:val="28"/>
        </w:rPr>
        <w:t>及落实情况</w:t>
      </w:r>
    </w:p>
    <w:tbl>
      <w:tblPr>
        <w:tblStyle w:val="22"/>
        <w:tblW w:w="4996"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7"/>
        <w:gridCol w:w="1412"/>
        <w:gridCol w:w="2689"/>
        <w:gridCol w:w="1207"/>
        <w:gridCol w:w="1805"/>
        <w:gridCol w:w="1374"/>
      </w:tblGrid>
      <w:tr w14:paraId="65FD45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482" w:type="pct"/>
            <w:tcBorders>
              <w:top w:val="single" w:color="auto" w:sz="12" w:space="0"/>
              <w:left w:val="single" w:color="auto" w:sz="12" w:space="0"/>
              <w:bottom w:val="single" w:color="auto" w:sz="6" w:space="0"/>
              <w:right w:val="single" w:color="auto" w:sz="6" w:space="0"/>
            </w:tcBorders>
            <w:vAlign w:val="center"/>
          </w:tcPr>
          <w:p w14:paraId="71418838">
            <w:pPr>
              <w:jc w:val="center"/>
              <w:rPr>
                <w:rFonts w:ascii="仿宋" w:hAnsi="仿宋" w:eastAsia="仿宋" w:cs="Arial"/>
                <w:b/>
                <w:sz w:val="21"/>
                <w:szCs w:val="21"/>
              </w:rPr>
            </w:pPr>
            <w:r>
              <w:rPr>
                <w:rFonts w:ascii="仿宋" w:hAnsi="仿宋" w:eastAsia="仿宋" w:cs="Arial"/>
                <w:b/>
                <w:sz w:val="21"/>
                <w:szCs w:val="21"/>
              </w:rPr>
              <w:t>监测</w:t>
            </w:r>
          </w:p>
          <w:p w14:paraId="1CDD9E35">
            <w:pPr>
              <w:jc w:val="center"/>
              <w:rPr>
                <w:rFonts w:ascii="仿宋" w:hAnsi="仿宋" w:eastAsia="仿宋" w:cs="Arial"/>
                <w:b/>
                <w:sz w:val="21"/>
                <w:szCs w:val="21"/>
              </w:rPr>
            </w:pPr>
            <w:r>
              <w:rPr>
                <w:rFonts w:ascii="仿宋" w:hAnsi="仿宋" w:eastAsia="仿宋" w:cs="Arial"/>
                <w:b/>
                <w:sz w:val="21"/>
                <w:szCs w:val="21"/>
              </w:rPr>
              <w:t>项目</w:t>
            </w:r>
          </w:p>
        </w:tc>
        <w:tc>
          <w:tcPr>
            <w:tcW w:w="751" w:type="pct"/>
            <w:tcBorders>
              <w:top w:val="single" w:color="auto" w:sz="12" w:space="0"/>
              <w:left w:val="single" w:color="auto" w:sz="6" w:space="0"/>
              <w:bottom w:val="single" w:color="auto" w:sz="6" w:space="0"/>
              <w:right w:val="single" w:color="auto" w:sz="6" w:space="0"/>
            </w:tcBorders>
            <w:vAlign w:val="center"/>
          </w:tcPr>
          <w:p w14:paraId="45764FF4">
            <w:pPr>
              <w:jc w:val="center"/>
              <w:rPr>
                <w:rFonts w:ascii="仿宋" w:hAnsi="仿宋" w:eastAsia="仿宋" w:cs="Arial"/>
                <w:b/>
                <w:sz w:val="21"/>
                <w:szCs w:val="21"/>
              </w:rPr>
            </w:pPr>
            <w:r>
              <w:rPr>
                <w:rFonts w:ascii="仿宋" w:hAnsi="仿宋" w:eastAsia="仿宋" w:cs="Arial"/>
                <w:b/>
                <w:sz w:val="21"/>
                <w:szCs w:val="21"/>
              </w:rPr>
              <w:t>监测点（断面）设置</w:t>
            </w:r>
          </w:p>
        </w:tc>
        <w:tc>
          <w:tcPr>
            <w:tcW w:w="1431" w:type="pct"/>
            <w:tcBorders>
              <w:top w:val="single" w:color="auto" w:sz="12" w:space="0"/>
              <w:left w:val="single" w:color="auto" w:sz="6" w:space="0"/>
              <w:bottom w:val="single" w:color="auto" w:sz="6" w:space="0"/>
              <w:right w:val="single" w:color="auto" w:sz="6" w:space="0"/>
            </w:tcBorders>
            <w:vAlign w:val="center"/>
          </w:tcPr>
          <w:p w14:paraId="3C5EAD0C">
            <w:pPr>
              <w:jc w:val="center"/>
              <w:rPr>
                <w:rFonts w:ascii="仿宋" w:hAnsi="仿宋" w:eastAsia="仿宋" w:cs="Arial"/>
                <w:b/>
                <w:sz w:val="21"/>
                <w:szCs w:val="21"/>
              </w:rPr>
            </w:pPr>
            <w:r>
              <w:rPr>
                <w:rFonts w:ascii="仿宋" w:hAnsi="仿宋" w:eastAsia="仿宋" w:cs="Arial"/>
                <w:b/>
                <w:sz w:val="21"/>
                <w:szCs w:val="21"/>
              </w:rPr>
              <w:t>监测项目</w:t>
            </w:r>
          </w:p>
        </w:tc>
        <w:tc>
          <w:tcPr>
            <w:tcW w:w="642" w:type="pct"/>
            <w:tcBorders>
              <w:top w:val="single" w:color="auto" w:sz="12" w:space="0"/>
              <w:left w:val="single" w:color="auto" w:sz="6" w:space="0"/>
              <w:bottom w:val="single" w:color="auto" w:sz="6" w:space="0"/>
              <w:right w:val="single" w:color="auto" w:sz="6" w:space="0"/>
            </w:tcBorders>
            <w:vAlign w:val="center"/>
          </w:tcPr>
          <w:p w14:paraId="2C2E8997">
            <w:pPr>
              <w:jc w:val="center"/>
              <w:rPr>
                <w:rFonts w:ascii="仿宋" w:hAnsi="仿宋" w:eastAsia="仿宋" w:cs="Arial"/>
                <w:b/>
                <w:sz w:val="21"/>
                <w:szCs w:val="21"/>
              </w:rPr>
            </w:pPr>
            <w:r>
              <w:rPr>
                <w:rFonts w:ascii="仿宋" w:hAnsi="仿宋" w:eastAsia="仿宋" w:cs="Arial"/>
                <w:b/>
                <w:sz w:val="21"/>
                <w:szCs w:val="21"/>
              </w:rPr>
              <w:t>监测频次</w:t>
            </w:r>
          </w:p>
        </w:tc>
        <w:tc>
          <w:tcPr>
            <w:tcW w:w="960" w:type="pct"/>
            <w:tcBorders>
              <w:top w:val="single" w:color="auto" w:sz="12" w:space="0"/>
              <w:left w:val="single" w:color="auto" w:sz="6" w:space="0"/>
              <w:bottom w:val="single" w:color="auto" w:sz="6" w:space="0"/>
              <w:right w:val="single" w:color="auto" w:sz="6" w:space="0"/>
            </w:tcBorders>
            <w:vAlign w:val="center"/>
          </w:tcPr>
          <w:p w14:paraId="4CA4BC8B">
            <w:pPr>
              <w:jc w:val="center"/>
              <w:rPr>
                <w:rFonts w:ascii="仿宋" w:hAnsi="仿宋" w:eastAsia="仿宋" w:cs="Arial"/>
                <w:b/>
                <w:sz w:val="21"/>
                <w:szCs w:val="21"/>
              </w:rPr>
            </w:pPr>
            <w:r>
              <w:rPr>
                <w:rFonts w:ascii="仿宋" w:hAnsi="仿宋" w:eastAsia="仿宋" w:cs="Arial"/>
                <w:b/>
                <w:sz w:val="21"/>
                <w:szCs w:val="21"/>
              </w:rPr>
              <w:t>执行标准</w:t>
            </w:r>
          </w:p>
        </w:tc>
        <w:tc>
          <w:tcPr>
            <w:tcW w:w="731" w:type="pct"/>
            <w:tcBorders>
              <w:top w:val="single" w:color="auto" w:sz="12" w:space="0"/>
              <w:left w:val="single" w:color="auto" w:sz="6" w:space="0"/>
              <w:bottom w:val="single" w:color="auto" w:sz="6" w:space="0"/>
              <w:right w:val="single" w:color="auto" w:sz="12" w:space="0"/>
            </w:tcBorders>
            <w:vAlign w:val="center"/>
          </w:tcPr>
          <w:p w14:paraId="5DF9208F">
            <w:pPr>
              <w:jc w:val="center"/>
              <w:rPr>
                <w:rFonts w:ascii="仿宋" w:hAnsi="仿宋" w:eastAsia="仿宋" w:cs="Arial"/>
                <w:b/>
                <w:sz w:val="21"/>
                <w:szCs w:val="21"/>
              </w:rPr>
            </w:pPr>
            <w:r>
              <w:rPr>
                <w:rFonts w:ascii="仿宋" w:hAnsi="仿宋" w:eastAsia="仿宋" w:cs="Arial"/>
                <w:b/>
                <w:sz w:val="21"/>
                <w:szCs w:val="21"/>
              </w:rPr>
              <w:t>备注</w:t>
            </w:r>
          </w:p>
        </w:tc>
      </w:tr>
      <w:tr w14:paraId="425C4C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restart"/>
            <w:tcBorders>
              <w:top w:val="single" w:color="auto" w:sz="6" w:space="0"/>
              <w:left w:val="single" w:color="auto" w:sz="12" w:space="0"/>
              <w:bottom w:val="single" w:color="auto" w:sz="6" w:space="0"/>
              <w:right w:val="single" w:color="auto" w:sz="6" w:space="0"/>
            </w:tcBorders>
            <w:vAlign w:val="center"/>
          </w:tcPr>
          <w:p w14:paraId="501F48B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空气</w:t>
            </w:r>
          </w:p>
          <w:p w14:paraId="66773AF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环境</w:t>
            </w:r>
          </w:p>
        </w:tc>
        <w:tc>
          <w:tcPr>
            <w:tcW w:w="751" w:type="pct"/>
            <w:tcBorders>
              <w:top w:val="single" w:color="auto" w:sz="6" w:space="0"/>
              <w:left w:val="single" w:color="auto" w:sz="6" w:space="0"/>
              <w:bottom w:val="single" w:color="auto" w:sz="6" w:space="0"/>
              <w:right w:val="single" w:color="auto" w:sz="6" w:space="0"/>
            </w:tcBorders>
            <w:vAlign w:val="center"/>
          </w:tcPr>
          <w:p w14:paraId="7390907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青光村</w:t>
            </w:r>
          </w:p>
        </w:tc>
        <w:tc>
          <w:tcPr>
            <w:tcW w:w="1431" w:type="pct"/>
            <w:vMerge w:val="restart"/>
            <w:tcBorders>
              <w:top w:val="single" w:color="auto" w:sz="6" w:space="0"/>
              <w:left w:val="single" w:color="auto" w:sz="6" w:space="0"/>
              <w:bottom w:val="single" w:color="auto" w:sz="6" w:space="0"/>
              <w:right w:val="single" w:color="auto" w:sz="6" w:space="0"/>
            </w:tcBorders>
            <w:vAlign w:val="center"/>
          </w:tcPr>
          <w:p w14:paraId="544CC87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甲苯、二甲苯、氨、硫化氢、硫酸雾、HCL、非甲烷总烃、挥发性有机物</w:t>
            </w:r>
          </w:p>
        </w:tc>
        <w:tc>
          <w:tcPr>
            <w:tcW w:w="642" w:type="pct"/>
            <w:vMerge w:val="restart"/>
            <w:tcBorders>
              <w:top w:val="single" w:color="auto" w:sz="6" w:space="0"/>
              <w:left w:val="single" w:color="auto" w:sz="6" w:space="0"/>
              <w:bottom w:val="single" w:color="auto" w:sz="6" w:space="0"/>
              <w:right w:val="single" w:color="auto" w:sz="6" w:space="0"/>
            </w:tcBorders>
            <w:vAlign w:val="center"/>
          </w:tcPr>
          <w:p w14:paraId="5195418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每年冬季监测一次，每次监测7天</w:t>
            </w:r>
          </w:p>
        </w:tc>
        <w:tc>
          <w:tcPr>
            <w:tcW w:w="960" w:type="pct"/>
            <w:vMerge w:val="restart"/>
            <w:tcBorders>
              <w:top w:val="single" w:color="auto" w:sz="6" w:space="0"/>
              <w:left w:val="single" w:color="auto" w:sz="6" w:space="0"/>
              <w:bottom w:val="single" w:color="auto" w:sz="6" w:space="0"/>
              <w:right w:val="single" w:color="auto" w:sz="6" w:space="0"/>
            </w:tcBorders>
            <w:vAlign w:val="center"/>
          </w:tcPr>
          <w:p w14:paraId="0AA1073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环境影响评价技术导则附录D标准</w:t>
            </w:r>
          </w:p>
        </w:tc>
        <w:tc>
          <w:tcPr>
            <w:tcW w:w="731" w:type="pct"/>
            <w:vMerge w:val="restart"/>
            <w:tcBorders>
              <w:top w:val="single" w:color="auto" w:sz="6" w:space="0"/>
              <w:left w:val="single" w:color="auto" w:sz="6" w:space="0"/>
              <w:bottom w:val="single" w:color="auto" w:sz="6" w:space="0"/>
              <w:right w:val="single" w:color="auto" w:sz="12" w:space="0"/>
            </w:tcBorders>
            <w:vAlign w:val="center"/>
          </w:tcPr>
          <w:p w14:paraId="44B99A3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1013B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1138E25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028FD72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城塘社区居委会</w:t>
            </w:r>
          </w:p>
        </w:tc>
        <w:tc>
          <w:tcPr>
            <w:tcW w:w="1431" w:type="pct"/>
            <w:vMerge w:val="continue"/>
            <w:tcBorders>
              <w:top w:val="single" w:color="auto" w:sz="6" w:space="0"/>
              <w:left w:val="single" w:color="auto" w:sz="6" w:space="0"/>
              <w:bottom w:val="single" w:color="auto" w:sz="6" w:space="0"/>
              <w:right w:val="single" w:color="auto" w:sz="6" w:space="0"/>
            </w:tcBorders>
            <w:vAlign w:val="center"/>
          </w:tcPr>
          <w:p w14:paraId="1657D4C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37DBBE9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5E090EB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63D79BA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76A1F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5"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16CE2A1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4C12C47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新屋里</w:t>
            </w:r>
          </w:p>
        </w:tc>
        <w:tc>
          <w:tcPr>
            <w:tcW w:w="1431" w:type="pct"/>
            <w:vMerge w:val="restart"/>
            <w:tcBorders>
              <w:top w:val="single" w:color="auto" w:sz="6" w:space="0"/>
              <w:left w:val="single" w:color="auto" w:sz="6" w:space="0"/>
              <w:bottom w:val="single" w:color="auto" w:sz="6" w:space="0"/>
              <w:right w:val="single" w:color="auto" w:sz="6" w:space="0"/>
            </w:tcBorders>
            <w:vAlign w:val="center"/>
          </w:tcPr>
          <w:p w14:paraId="52DAD83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甲苯、二甲苯、氯化氢、硫酸雾、非甲烷总烃、挥发性有机物非甲烷总烃</w:t>
            </w: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534BED1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281088E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79E5572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25917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0709F5D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7B8DEB3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赤湖村</w:t>
            </w:r>
          </w:p>
        </w:tc>
        <w:tc>
          <w:tcPr>
            <w:tcW w:w="1431" w:type="pct"/>
            <w:vMerge w:val="continue"/>
            <w:tcBorders>
              <w:top w:val="single" w:color="auto" w:sz="6" w:space="0"/>
              <w:left w:val="single" w:color="auto" w:sz="6" w:space="0"/>
              <w:bottom w:val="single" w:color="auto" w:sz="6" w:space="0"/>
              <w:right w:val="single" w:color="auto" w:sz="6" w:space="0"/>
            </w:tcBorders>
            <w:vAlign w:val="center"/>
          </w:tcPr>
          <w:p w14:paraId="66B43BA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1CE4D9D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7912438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tcBorders>
              <w:top w:val="single" w:color="auto" w:sz="6" w:space="0"/>
              <w:left w:val="single" w:color="auto" w:sz="6" w:space="0"/>
              <w:bottom w:val="single" w:color="auto" w:sz="6" w:space="0"/>
              <w:right w:val="single" w:color="auto" w:sz="12" w:space="0"/>
            </w:tcBorders>
            <w:vAlign w:val="center"/>
          </w:tcPr>
          <w:p w14:paraId="42CAB9F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r>
      <w:tr w14:paraId="279A5C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restart"/>
            <w:tcBorders>
              <w:top w:val="single" w:color="auto" w:sz="6" w:space="0"/>
              <w:left w:val="single" w:color="auto" w:sz="12" w:space="0"/>
              <w:bottom w:val="single" w:color="auto" w:sz="6" w:space="0"/>
              <w:right w:val="single" w:color="auto" w:sz="6" w:space="0"/>
            </w:tcBorders>
            <w:vAlign w:val="center"/>
          </w:tcPr>
          <w:p w14:paraId="07C947B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水环境</w:t>
            </w:r>
          </w:p>
        </w:tc>
        <w:tc>
          <w:tcPr>
            <w:tcW w:w="751" w:type="pct"/>
            <w:tcBorders>
              <w:top w:val="single" w:color="auto" w:sz="6" w:space="0"/>
              <w:left w:val="single" w:color="auto" w:sz="6" w:space="0"/>
              <w:bottom w:val="single" w:color="auto" w:sz="6" w:space="0"/>
              <w:right w:val="single" w:color="auto" w:sz="6" w:space="0"/>
            </w:tcBorders>
            <w:vAlign w:val="center"/>
          </w:tcPr>
          <w:p w14:paraId="46A8C83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涓水：湘潭县第二污水处理厂排污口上游500m</w:t>
            </w:r>
          </w:p>
        </w:tc>
        <w:tc>
          <w:tcPr>
            <w:tcW w:w="1431" w:type="pct"/>
            <w:vMerge w:val="restart"/>
            <w:tcBorders>
              <w:top w:val="single" w:color="auto" w:sz="6" w:space="0"/>
              <w:left w:val="single" w:color="auto" w:sz="6" w:space="0"/>
              <w:bottom w:val="single" w:color="auto" w:sz="6" w:space="0"/>
              <w:right w:val="single" w:color="auto" w:sz="6" w:space="0"/>
            </w:tcBorders>
            <w:vAlign w:val="center"/>
          </w:tcPr>
          <w:p w14:paraId="30142BF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 值、化学需氧量、五日生化需氧量、氨氦、总磷、</w:t>
            </w:r>
          </w:p>
          <w:p w14:paraId="55DCBF4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挥发酚、石油类、阴离子表面活性剂、硫化物、粪大肠菌群、铜、锌、氯化物、氟化物、砷、汞、镉、六价铬、铅、铊、镍</w:t>
            </w:r>
          </w:p>
        </w:tc>
        <w:tc>
          <w:tcPr>
            <w:tcW w:w="642" w:type="pct"/>
            <w:vMerge w:val="restart"/>
            <w:tcBorders>
              <w:top w:val="single" w:color="auto" w:sz="6" w:space="0"/>
              <w:left w:val="single" w:color="auto" w:sz="6" w:space="0"/>
              <w:bottom w:val="single" w:color="auto" w:sz="6" w:space="0"/>
              <w:right w:val="single" w:color="auto" w:sz="6" w:space="0"/>
            </w:tcBorders>
            <w:vAlign w:val="center"/>
          </w:tcPr>
          <w:p w14:paraId="25F9A4E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丰、平、枯各采样一次</w:t>
            </w:r>
          </w:p>
        </w:tc>
        <w:tc>
          <w:tcPr>
            <w:tcW w:w="960" w:type="pct"/>
            <w:vMerge w:val="restart"/>
            <w:tcBorders>
              <w:top w:val="single" w:color="auto" w:sz="6" w:space="0"/>
              <w:left w:val="single" w:color="auto" w:sz="6" w:space="0"/>
              <w:bottom w:val="single" w:color="auto" w:sz="6" w:space="0"/>
              <w:right w:val="single" w:color="auto" w:sz="6" w:space="0"/>
            </w:tcBorders>
            <w:vAlign w:val="center"/>
          </w:tcPr>
          <w:p w14:paraId="380F1D5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GB3838-2002Ⅲ类</w:t>
            </w:r>
          </w:p>
        </w:tc>
        <w:tc>
          <w:tcPr>
            <w:tcW w:w="731" w:type="pct"/>
            <w:vMerge w:val="restart"/>
            <w:tcBorders>
              <w:top w:val="single" w:color="auto" w:sz="6" w:space="0"/>
              <w:left w:val="single" w:color="auto" w:sz="6" w:space="0"/>
              <w:bottom w:val="single" w:color="auto" w:sz="6" w:space="0"/>
              <w:right w:val="single" w:color="auto" w:sz="12" w:space="0"/>
            </w:tcBorders>
            <w:vAlign w:val="center"/>
          </w:tcPr>
          <w:p w14:paraId="67C161D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F0D66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7361246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3B0E7C9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涓水：湘潭县第二污水处理厂排污口下游2000m</w:t>
            </w:r>
          </w:p>
        </w:tc>
        <w:tc>
          <w:tcPr>
            <w:tcW w:w="1431" w:type="pct"/>
            <w:vMerge w:val="continue"/>
            <w:tcBorders>
              <w:top w:val="single" w:color="auto" w:sz="6" w:space="0"/>
              <w:left w:val="single" w:color="auto" w:sz="6" w:space="0"/>
              <w:bottom w:val="single" w:color="auto" w:sz="6" w:space="0"/>
              <w:right w:val="single" w:color="auto" w:sz="6" w:space="0"/>
            </w:tcBorders>
            <w:vAlign w:val="center"/>
          </w:tcPr>
          <w:p w14:paraId="4F09661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7262C1E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3404B15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344A062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0B0C8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00BCA5EE">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6FB7BFE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湘江：湘潭县第一污水处理厂排污口上游500m</w:t>
            </w:r>
          </w:p>
        </w:tc>
        <w:tc>
          <w:tcPr>
            <w:tcW w:w="1431" w:type="pct"/>
            <w:vMerge w:val="restart"/>
            <w:tcBorders>
              <w:top w:val="single" w:color="auto" w:sz="6" w:space="0"/>
              <w:left w:val="single" w:color="auto" w:sz="6" w:space="0"/>
              <w:bottom w:val="single" w:color="auto" w:sz="6" w:space="0"/>
              <w:right w:val="single" w:color="auto" w:sz="6" w:space="0"/>
            </w:tcBorders>
            <w:vAlign w:val="center"/>
          </w:tcPr>
          <w:p w14:paraId="3668A94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 值、化学需氧量、五日生化需氧量、氨氦、总磷、挥发酚、石油类、阴离子表面活性剂、硫化物、粪大肠菌群、铜、锌、氯化物、氟化物、砷、汞、镉、六价铬、铅、铊、镍</w:t>
            </w: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3396AB9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33A8B28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33D0938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8AEA5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6441D83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6AF0C44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湘江：湘潭县第一污水处理厂排污口下游2000m</w:t>
            </w:r>
          </w:p>
        </w:tc>
        <w:tc>
          <w:tcPr>
            <w:tcW w:w="1431" w:type="pct"/>
            <w:vMerge w:val="continue"/>
            <w:tcBorders>
              <w:top w:val="single" w:color="auto" w:sz="6" w:space="0"/>
              <w:left w:val="single" w:color="auto" w:sz="6" w:space="0"/>
              <w:bottom w:val="single" w:color="auto" w:sz="6" w:space="0"/>
              <w:right w:val="single" w:color="auto" w:sz="6" w:space="0"/>
            </w:tcBorders>
            <w:vAlign w:val="center"/>
          </w:tcPr>
          <w:p w14:paraId="6D752B7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4CD6131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5F03D16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73C109F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68B3D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1178221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4736616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向东渠与天易大道交汇处</w:t>
            </w:r>
          </w:p>
        </w:tc>
        <w:tc>
          <w:tcPr>
            <w:tcW w:w="1431" w:type="pct"/>
            <w:tcBorders>
              <w:top w:val="single" w:color="auto" w:sz="6" w:space="0"/>
              <w:left w:val="single" w:color="auto" w:sz="6" w:space="0"/>
              <w:bottom w:val="single" w:color="auto" w:sz="6" w:space="0"/>
              <w:right w:val="single" w:color="auto" w:sz="6" w:space="0"/>
            </w:tcBorders>
            <w:vAlign w:val="center"/>
          </w:tcPr>
          <w:p w14:paraId="21C5B7E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 值、化学需氧量、五日生化需氧量、氨氦、总磷、挥发酚、石油类、阴离子表面活性剂、硫化物、粪大肠菌群、铜、锌、氯化物、氟化物、砷、汞、镉、六价铬、铅</w:t>
            </w: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3BEBC4A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56BA0D7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380D2EA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16AC5F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restart"/>
            <w:tcBorders>
              <w:top w:val="single" w:color="auto" w:sz="6" w:space="0"/>
              <w:left w:val="single" w:color="auto" w:sz="12" w:space="0"/>
              <w:bottom w:val="single" w:color="auto" w:sz="6" w:space="0"/>
              <w:right w:val="single" w:color="auto" w:sz="6" w:space="0"/>
            </w:tcBorders>
            <w:vAlign w:val="center"/>
          </w:tcPr>
          <w:p w14:paraId="55DDDF6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地下水</w:t>
            </w:r>
          </w:p>
        </w:tc>
        <w:tc>
          <w:tcPr>
            <w:tcW w:w="751" w:type="pct"/>
            <w:tcBorders>
              <w:top w:val="single" w:color="auto" w:sz="6" w:space="0"/>
              <w:left w:val="single" w:color="auto" w:sz="6" w:space="0"/>
              <w:bottom w:val="single" w:color="auto" w:sz="6" w:space="0"/>
              <w:right w:val="single" w:color="auto" w:sz="6" w:space="0"/>
            </w:tcBorders>
            <w:vAlign w:val="center"/>
          </w:tcPr>
          <w:p w14:paraId="153B2D6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bookmarkStart w:id="12" w:name="_Hlk87367974"/>
            <w:r>
              <w:rPr>
                <w:rFonts w:hint="eastAsia" w:ascii="仿宋" w:hAnsi="仿宋" w:eastAsia="仿宋" w:cs="仿宋"/>
                <w:i w:val="0"/>
                <w:iCs w:val="0"/>
                <w:color w:val="000000"/>
                <w:kern w:val="0"/>
                <w:sz w:val="21"/>
                <w:szCs w:val="21"/>
                <w:u w:val="none"/>
                <w:lang w:val="en-US" w:eastAsia="zh-CN" w:bidi="ar"/>
              </w:rPr>
              <w:t>青光村</w:t>
            </w:r>
            <w:bookmarkEnd w:id="12"/>
          </w:p>
        </w:tc>
        <w:tc>
          <w:tcPr>
            <w:tcW w:w="1431" w:type="pct"/>
            <w:vMerge w:val="restart"/>
            <w:tcBorders>
              <w:top w:val="single" w:color="auto" w:sz="6" w:space="0"/>
              <w:left w:val="single" w:color="auto" w:sz="6" w:space="0"/>
              <w:bottom w:val="single" w:color="auto" w:sz="6" w:space="0"/>
              <w:right w:val="single" w:color="auto" w:sz="6" w:space="0"/>
            </w:tcBorders>
            <w:vAlign w:val="center"/>
          </w:tcPr>
          <w:p w14:paraId="32DA6A5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pH、氨氮、硝酸盐、亚硝酸盐、挥发性酚类、氰化物、总硬度、溶解性总固体、耗氧量、硫酸盐、氯化物、总大肠菌群、氟化物、铅、镉、铁、锰、砷、汞、六价铬、铊、K++Na+、Ca2+、Mg2+、CO32-、HCO3-、CI-、SO42-</w:t>
            </w:r>
          </w:p>
        </w:tc>
        <w:tc>
          <w:tcPr>
            <w:tcW w:w="642" w:type="pct"/>
            <w:vMerge w:val="restart"/>
            <w:tcBorders>
              <w:top w:val="single" w:color="auto" w:sz="6" w:space="0"/>
              <w:left w:val="single" w:color="auto" w:sz="6" w:space="0"/>
              <w:bottom w:val="single" w:color="auto" w:sz="6" w:space="0"/>
              <w:right w:val="single" w:color="auto" w:sz="6" w:space="0"/>
            </w:tcBorders>
            <w:vAlign w:val="center"/>
          </w:tcPr>
          <w:p w14:paraId="4091BD2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一年两次，采样一次</w:t>
            </w:r>
          </w:p>
        </w:tc>
        <w:tc>
          <w:tcPr>
            <w:tcW w:w="960" w:type="pct"/>
            <w:vMerge w:val="restart"/>
            <w:tcBorders>
              <w:top w:val="single" w:color="auto" w:sz="6" w:space="0"/>
              <w:left w:val="single" w:color="auto" w:sz="6" w:space="0"/>
              <w:bottom w:val="single" w:color="auto" w:sz="6" w:space="0"/>
              <w:right w:val="single" w:color="auto" w:sz="6" w:space="0"/>
            </w:tcBorders>
            <w:vAlign w:val="center"/>
          </w:tcPr>
          <w:p w14:paraId="4212D57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《地下水环境质量标准》（GB/T14848-2017）Ⅲ类标准</w:t>
            </w:r>
          </w:p>
        </w:tc>
        <w:tc>
          <w:tcPr>
            <w:tcW w:w="731" w:type="pct"/>
            <w:vMerge w:val="restart"/>
            <w:tcBorders>
              <w:top w:val="single" w:color="auto" w:sz="6" w:space="0"/>
              <w:left w:val="single" w:color="auto" w:sz="6" w:space="0"/>
              <w:bottom w:val="single" w:color="auto" w:sz="6" w:space="0"/>
              <w:right w:val="single" w:color="auto" w:sz="12" w:space="0"/>
            </w:tcBorders>
            <w:vAlign w:val="center"/>
          </w:tcPr>
          <w:p w14:paraId="2648A70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E5B9B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4F03A70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14C0CDA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bookmarkStart w:id="13" w:name="_Hlk87367979"/>
            <w:r>
              <w:rPr>
                <w:rFonts w:hint="eastAsia" w:ascii="仿宋" w:hAnsi="仿宋" w:eastAsia="仿宋" w:cs="仿宋"/>
                <w:i w:val="0"/>
                <w:iCs w:val="0"/>
                <w:color w:val="000000"/>
                <w:kern w:val="0"/>
                <w:sz w:val="21"/>
                <w:szCs w:val="21"/>
                <w:u w:val="none"/>
                <w:lang w:val="en-US" w:eastAsia="zh-CN" w:bidi="ar"/>
              </w:rPr>
              <w:t>赋江村</w:t>
            </w:r>
            <w:bookmarkEnd w:id="13"/>
          </w:p>
        </w:tc>
        <w:tc>
          <w:tcPr>
            <w:tcW w:w="1431" w:type="pct"/>
            <w:vMerge w:val="continue"/>
            <w:tcBorders>
              <w:top w:val="single" w:color="auto" w:sz="6" w:space="0"/>
              <w:left w:val="single" w:color="auto" w:sz="6" w:space="0"/>
              <w:bottom w:val="single" w:color="auto" w:sz="6" w:space="0"/>
              <w:right w:val="single" w:color="auto" w:sz="6" w:space="0"/>
            </w:tcBorders>
            <w:vAlign w:val="center"/>
          </w:tcPr>
          <w:p w14:paraId="52C25EF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7B1C242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336D018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508137C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88576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79E1134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5F656A1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bookmarkStart w:id="14" w:name="_Hlk87367985"/>
            <w:r>
              <w:rPr>
                <w:rFonts w:hint="eastAsia" w:ascii="仿宋" w:hAnsi="仿宋" w:eastAsia="仿宋" w:cs="仿宋"/>
                <w:i w:val="0"/>
                <w:iCs w:val="0"/>
                <w:color w:val="000000"/>
                <w:kern w:val="0"/>
                <w:sz w:val="21"/>
                <w:szCs w:val="21"/>
                <w:u w:val="none"/>
                <w:lang w:val="en-US" w:eastAsia="zh-CN" w:bidi="ar"/>
              </w:rPr>
              <w:t>水竹湾村</w:t>
            </w:r>
            <w:bookmarkEnd w:id="14"/>
          </w:p>
        </w:tc>
        <w:tc>
          <w:tcPr>
            <w:tcW w:w="1431" w:type="pct"/>
            <w:vMerge w:val="continue"/>
            <w:tcBorders>
              <w:top w:val="single" w:color="auto" w:sz="6" w:space="0"/>
              <w:left w:val="single" w:color="auto" w:sz="6" w:space="0"/>
              <w:bottom w:val="single" w:color="auto" w:sz="6" w:space="0"/>
              <w:right w:val="single" w:color="auto" w:sz="6" w:space="0"/>
            </w:tcBorders>
            <w:vAlign w:val="center"/>
          </w:tcPr>
          <w:p w14:paraId="4607438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44F430C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558D6B0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396571B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1AF107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3E8557D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235CC49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茅塘</w:t>
            </w:r>
          </w:p>
        </w:tc>
        <w:tc>
          <w:tcPr>
            <w:tcW w:w="1431" w:type="pct"/>
            <w:vMerge w:val="continue"/>
            <w:tcBorders>
              <w:top w:val="single" w:color="auto" w:sz="6" w:space="0"/>
              <w:left w:val="single" w:color="auto" w:sz="6" w:space="0"/>
              <w:bottom w:val="single" w:color="auto" w:sz="6" w:space="0"/>
              <w:right w:val="single" w:color="auto" w:sz="6" w:space="0"/>
            </w:tcBorders>
            <w:vAlign w:val="center"/>
          </w:tcPr>
          <w:p w14:paraId="7CB8F86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39C45A6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46959F6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649BC06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59ED51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23F1262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46FE5C8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婆婆塘</w:t>
            </w:r>
          </w:p>
        </w:tc>
        <w:tc>
          <w:tcPr>
            <w:tcW w:w="1431" w:type="pct"/>
            <w:tcBorders>
              <w:top w:val="single" w:color="auto" w:sz="6" w:space="0"/>
              <w:left w:val="single" w:color="auto" w:sz="6" w:space="0"/>
              <w:bottom w:val="single" w:color="auto" w:sz="6" w:space="0"/>
              <w:right w:val="single" w:color="auto" w:sz="6" w:space="0"/>
            </w:tcBorders>
            <w:vAlign w:val="center"/>
          </w:tcPr>
          <w:p w14:paraId="33EDF5D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pH、氨氮、硝酸盐、亚硝酸盐、挥发性酚类、氰化物、总硬度、溶解性总固体、耗氧量、硫酸盐、氯化物、总大肠菌群、氟化物、铅、镉、铁、锰、砷、汞、六价铬、K++Na+、Ca2+、Mg2+、CO32-、HCO3-、CI-、SO42-</w:t>
            </w: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6665CAC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6A1176F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tcBorders>
              <w:top w:val="single" w:color="auto" w:sz="6" w:space="0"/>
              <w:left w:val="single" w:color="auto" w:sz="6" w:space="0"/>
              <w:bottom w:val="single" w:color="auto" w:sz="6" w:space="0"/>
              <w:right w:val="single" w:color="auto" w:sz="12" w:space="0"/>
            </w:tcBorders>
            <w:vAlign w:val="center"/>
          </w:tcPr>
          <w:p w14:paraId="216D193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8C4C0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tcBorders>
              <w:top w:val="single" w:color="auto" w:sz="6" w:space="0"/>
              <w:left w:val="single" w:color="auto" w:sz="12" w:space="0"/>
              <w:bottom w:val="single" w:color="auto" w:sz="6" w:space="0"/>
              <w:right w:val="single" w:color="auto" w:sz="6" w:space="0"/>
            </w:tcBorders>
            <w:vAlign w:val="center"/>
          </w:tcPr>
          <w:p w14:paraId="7FE19C5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噪声</w:t>
            </w:r>
          </w:p>
        </w:tc>
        <w:tc>
          <w:tcPr>
            <w:tcW w:w="751" w:type="pct"/>
            <w:tcBorders>
              <w:top w:val="single" w:color="auto" w:sz="6" w:space="0"/>
              <w:left w:val="single" w:color="auto" w:sz="6" w:space="0"/>
              <w:bottom w:val="single" w:color="auto" w:sz="6" w:space="0"/>
              <w:right w:val="single" w:color="auto" w:sz="6" w:space="0"/>
            </w:tcBorders>
            <w:vAlign w:val="center"/>
          </w:tcPr>
          <w:p w14:paraId="794272A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居住区、学校等敏感点</w:t>
            </w:r>
          </w:p>
        </w:tc>
        <w:tc>
          <w:tcPr>
            <w:tcW w:w="1431" w:type="pct"/>
            <w:tcBorders>
              <w:top w:val="single" w:color="auto" w:sz="6" w:space="0"/>
              <w:left w:val="single" w:color="auto" w:sz="6" w:space="0"/>
              <w:bottom w:val="single" w:color="auto" w:sz="6" w:space="0"/>
              <w:right w:val="single" w:color="auto" w:sz="6" w:space="0"/>
            </w:tcBorders>
            <w:vAlign w:val="center"/>
          </w:tcPr>
          <w:p w14:paraId="0A941E0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等效连续A声级</w:t>
            </w:r>
          </w:p>
        </w:tc>
        <w:tc>
          <w:tcPr>
            <w:tcW w:w="642" w:type="pct"/>
            <w:tcBorders>
              <w:top w:val="single" w:color="auto" w:sz="6" w:space="0"/>
              <w:left w:val="single" w:color="auto" w:sz="6" w:space="0"/>
              <w:bottom w:val="single" w:color="auto" w:sz="6" w:space="0"/>
              <w:right w:val="single" w:color="auto" w:sz="6" w:space="0"/>
            </w:tcBorders>
            <w:vAlign w:val="center"/>
          </w:tcPr>
          <w:p w14:paraId="2DD354E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每年1~2次，每次2天（昼、夜）</w:t>
            </w:r>
          </w:p>
        </w:tc>
        <w:tc>
          <w:tcPr>
            <w:tcW w:w="960" w:type="pct"/>
            <w:tcBorders>
              <w:top w:val="single" w:color="auto" w:sz="6" w:space="0"/>
              <w:left w:val="single" w:color="auto" w:sz="6" w:space="0"/>
              <w:bottom w:val="single" w:color="auto" w:sz="6" w:space="0"/>
              <w:right w:val="single" w:color="auto" w:sz="6" w:space="0"/>
            </w:tcBorders>
            <w:vAlign w:val="center"/>
          </w:tcPr>
          <w:p w14:paraId="236252E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GB3096-2008中2类标准</w:t>
            </w:r>
          </w:p>
        </w:tc>
        <w:tc>
          <w:tcPr>
            <w:tcW w:w="731" w:type="pct"/>
            <w:tcBorders>
              <w:top w:val="single" w:color="auto" w:sz="6" w:space="0"/>
              <w:left w:val="single" w:color="auto" w:sz="6" w:space="0"/>
              <w:bottom w:val="single" w:color="auto" w:sz="6" w:space="0"/>
              <w:right w:val="single" w:color="auto" w:sz="12" w:space="0"/>
            </w:tcBorders>
            <w:vAlign w:val="center"/>
          </w:tcPr>
          <w:p w14:paraId="4CAE588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布点按环境噪声和交通监测规范进行，定期进行园区的交通噪声和区域声环境监测</w:t>
            </w:r>
          </w:p>
        </w:tc>
      </w:tr>
      <w:tr w14:paraId="6B3B0D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restart"/>
            <w:tcBorders>
              <w:top w:val="single" w:color="auto" w:sz="6" w:space="0"/>
              <w:left w:val="single" w:color="auto" w:sz="12" w:space="0"/>
              <w:bottom w:val="single" w:color="auto" w:sz="6" w:space="0"/>
              <w:right w:val="single" w:color="auto" w:sz="6" w:space="0"/>
            </w:tcBorders>
            <w:vAlign w:val="center"/>
          </w:tcPr>
          <w:p w14:paraId="2F8779B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bookmarkStart w:id="15" w:name="_Hlk87368088"/>
            <w:r>
              <w:rPr>
                <w:rFonts w:hint="eastAsia" w:ascii="仿宋" w:hAnsi="仿宋" w:eastAsia="仿宋" w:cs="仿宋"/>
                <w:i w:val="0"/>
                <w:iCs w:val="0"/>
                <w:color w:val="000000"/>
                <w:kern w:val="0"/>
                <w:sz w:val="21"/>
                <w:szCs w:val="21"/>
                <w:u w:val="none"/>
                <w:lang w:val="en-US" w:eastAsia="zh-CN" w:bidi="ar"/>
              </w:rPr>
              <w:t>土壤</w:t>
            </w:r>
          </w:p>
        </w:tc>
        <w:tc>
          <w:tcPr>
            <w:tcW w:w="751" w:type="pct"/>
            <w:tcBorders>
              <w:top w:val="single" w:color="auto" w:sz="6" w:space="0"/>
              <w:left w:val="single" w:color="auto" w:sz="6" w:space="0"/>
              <w:bottom w:val="single" w:color="auto" w:sz="6" w:space="0"/>
              <w:right w:val="single" w:color="auto" w:sz="6" w:space="0"/>
            </w:tcBorders>
            <w:vAlign w:val="center"/>
          </w:tcPr>
          <w:p w14:paraId="410AC6F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曾家围子</w:t>
            </w:r>
          </w:p>
        </w:tc>
        <w:tc>
          <w:tcPr>
            <w:tcW w:w="1431" w:type="pct"/>
            <w:vMerge w:val="restart"/>
            <w:tcBorders>
              <w:top w:val="single" w:color="auto" w:sz="6" w:space="0"/>
              <w:left w:val="single" w:color="auto" w:sz="6" w:space="0"/>
              <w:bottom w:val="single" w:color="auto" w:sz="6" w:space="0"/>
              <w:right w:val="single" w:color="auto" w:sz="6" w:space="0"/>
            </w:tcBorders>
            <w:vAlign w:val="center"/>
          </w:tcPr>
          <w:p w14:paraId="2E435AD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pH、镉、汞、砷、铅、总铬、铜、镍、锌、铊</w:t>
            </w:r>
          </w:p>
        </w:tc>
        <w:tc>
          <w:tcPr>
            <w:tcW w:w="642" w:type="pct"/>
            <w:vMerge w:val="restart"/>
            <w:tcBorders>
              <w:top w:val="single" w:color="auto" w:sz="6" w:space="0"/>
              <w:left w:val="single" w:color="auto" w:sz="6" w:space="0"/>
              <w:bottom w:val="single" w:color="auto" w:sz="6" w:space="0"/>
              <w:right w:val="single" w:color="auto" w:sz="6" w:space="0"/>
            </w:tcBorders>
            <w:vAlign w:val="center"/>
          </w:tcPr>
          <w:p w14:paraId="5C72F59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一年一次</w:t>
            </w:r>
          </w:p>
        </w:tc>
        <w:tc>
          <w:tcPr>
            <w:tcW w:w="960" w:type="pct"/>
            <w:vMerge w:val="restart"/>
            <w:tcBorders>
              <w:top w:val="single" w:color="auto" w:sz="6" w:space="0"/>
              <w:left w:val="single" w:color="auto" w:sz="6" w:space="0"/>
              <w:bottom w:val="single" w:color="auto" w:sz="6" w:space="0"/>
              <w:right w:val="single" w:color="auto" w:sz="6" w:space="0"/>
            </w:tcBorders>
            <w:vAlign w:val="center"/>
          </w:tcPr>
          <w:p w14:paraId="575C3A7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GB15618-2018</w:t>
            </w:r>
          </w:p>
        </w:tc>
        <w:tc>
          <w:tcPr>
            <w:tcW w:w="731" w:type="pct"/>
            <w:vMerge w:val="restart"/>
            <w:tcBorders>
              <w:top w:val="single" w:color="auto" w:sz="6" w:space="0"/>
              <w:left w:val="single" w:color="auto" w:sz="6" w:space="0"/>
              <w:bottom w:val="single" w:color="auto" w:sz="6" w:space="0"/>
              <w:right w:val="single" w:color="auto" w:sz="12" w:space="0"/>
            </w:tcBorders>
            <w:vAlign w:val="center"/>
          </w:tcPr>
          <w:p w14:paraId="638634C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27B89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76BFCB1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4C0B675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谈书湾</w:t>
            </w:r>
          </w:p>
        </w:tc>
        <w:tc>
          <w:tcPr>
            <w:tcW w:w="1431" w:type="pct"/>
            <w:vMerge w:val="continue"/>
            <w:tcBorders>
              <w:top w:val="single" w:color="auto" w:sz="6" w:space="0"/>
              <w:left w:val="single" w:color="auto" w:sz="6" w:space="0"/>
              <w:bottom w:val="single" w:color="auto" w:sz="6" w:space="0"/>
              <w:right w:val="single" w:color="auto" w:sz="6" w:space="0"/>
            </w:tcBorders>
            <w:vAlign w:val="center"/>
          </w:tcPr>
          <w:p w14:paraId="403314F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08EDFFA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5761BB6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5400C8C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E04DE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6A0BF97B">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58A2425D">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麻坡</w:t>
            </w:r>
          </w:p>
        </w:tc>
        <w:tc>
          <w:tcPr>
            <w:tcW w:w="1431" w:type="pct"/>
            <w:vMerge w:val="continue"/>
            <w:tcBorders>
              <w:top w:val="single" w:color="auto" w:sz="6" w:space="0"/>
              <w:left w:val="single" w:color="auto" w:sz="6" w:space="0"/>
              <w:bottom w:val="single" w:color="auto" w:sz="6" w:space="0"/>
              <w:right w:val="single" w:color="auto" w:sz="6" w:space="0"/>
            </w:tcBorders>
            <w:vAlign w:val="center"/>
          </w:tcPr>
          <w:p w14:paraId="0513BF8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6" w:space="0"/>
              <w:right w:val="single" w:color="auto" w:sz="6" w:space="0"/>
            </w:tcBorders>
            <w:vAlign w:val="center"/>
          </w:tcPr>
          <w:p w14:paraId="7BD6094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vMerge w:val="continue"/>
            <w:tcBorders>
              <w:top w:val="single" w:color="auto" w:sz="6" w:space="0"/>
              <w:left w:val="single" w:color="auto" w:sz="6" w:space="0"/>
              <w:bottom w:val="single" w:color="auto" w:sz="6" w:space="0"/>
              <w:right w:val="single" w:color="auto" w:sz="6" w:space="0"/>
            </w:tcBorders>
            <w:vAlign w:val="center"/>
          </w:tcPr>
          <w:p w14:paraId="6C2B582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731" w:type="pct"/>
            <w:vMerge w:val="continue"/>
            <w:tcBorders>
              <w:top w:val="single" w:color="auto" w:sz="6" w:space="0"/>
              <w:left w:val="single" w:color="auto" w:sz="6" w:space="0"/>
              <w:bottom w:val="single" w:color="auto" w:sz="6" w:space="0"/>
              <w:right w:val="single" w:color="auto" w:sz="12" w:space="0"/>
            </w:tcBorders>
            <w:vAlign w:val="center"/>
          </w:tcPr>
          <w:p w14:paraId="4EDEF5F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1FDFD5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6" w:hRule="atLeast"/>
          <w:jc w:val="center"/>
        </w:trPr>
        <w:tc>
          <w:tcPr>
            <w:tcW w:w="482" w:type="pct"/>
            <w:vMerge w:val="continue"/>
            <w:tcBorders>
              <w:top w:val="single" w:color="auto" w:sz="6" w:space="0"/>
              <w:left w:val="single" w:color="auto" w:sz="12" w:space="0"/>
              <w:bottom w:val="single" w:color="auto" w:sz="6" w:space="0"/>
              <w:right w:val="single" w:color="auto" w:sz="6" w:space="0"/>
            </w:tcBorders>
            <w:vAlign w:val="center"/>
          </w:tcPr>
          <w:p w14:paraId="02318A23">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p>
        </w:tc>
        <w:tc>
          <w:tcPr>
            <w:tcW w:w="751" w:type="pct"/>
            <w:tcBorders>
              <w:top w:val="single" w:color="auto" w:sz="6" w:space="0"/>
              <w:left w:val="single" w:color="auto" w:sz="6" w:space="0"/>
              <w:bottom w:val="single" w:color="auto" w:sz="6" w:space="0"/>
              <w:right w:val="single" w:color="auto" w:sz="6" w:space="0"/>
            </w:tcBorders>
            <w:vAlign w:val="center"/>
          </w:tcPr>
          <w:p w14:paraId="7E09CA7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新屋里</w:t>
            </w:r>
          </w:p>
        </w:tc>
        <w:tc>
          <w:tcPr>
            <w:tcW w:w="1431" w:type="pct"/>
            <w:tcBorders>
              <w:top w:val="single" w:color="auto" w:sz="6" w:space="0"/>
              <w:left w:val="single" w:color="auto" w:sz="6" w:space="0"/>
              <w:bottom w:val="single" w:color="auto" w:sz="6" w:space="0"/>
              <w:right w:val="single" w:color="auto" w:sz="6" w:space="0"/>
            </w:tcBorders>
            <w:vAlign w:val="center"/>
          </w:tcPr>
          <w:p w14:paraId="55D2EA1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pH、镉、汞、砷、铅、总铬、铜、镍、锌</w:t>
            </w:r>
          </w:p>
        </w:tc>
        <w:tc>
          <w:tcPr>
            <w:tcW w:w="642" w:type="pct"/>
            <w:tcBorders>
              <w:top w:val="single" w:color="auto" w:sz="6" w:space="0"/>
              <w:left w:val="single" w:color="auto" w:sz="6" w:space="0"/>
              <w:bottom w:val="single" w:color="auto" w:sz="6" w:space="0"/>
              <w:right w:val="single" w:color="auto" w:sz="6" w:space="0"/>
            </w:tcBorders>
            <w:vAlign w:val="center"/>
          </w:tcPr>
          <w:p w14:paraId="2E9FBA1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一年一次</w:t>
            </w:r>
          </w:p>
        </w:tc>
        <w:tc>
          <w:tcPr>
            <w:tcW w:w="960" w:type="pct"/>
            <w:tcBorders>
              <w:top w:val="single" w:color="auto" w:sz="6" w:space="0"/>
              <w:left w:val="single" w:color="auto" w:sz="6" w:space="0"/>
              <w:bottom w:val="single" w:color="auto" w:sz="6" w:space="0"/>
              <w:right w:val="single" w:color="auto" w:sz="6" w:space="0"/>
            </w:tcBorders>
            <w:vAlign w:val="center"/>
          </w:tcPr>
          <w:p w14:paraId="54227A30">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GB15618-2018</w:t>
            </w:r>
          </w:p>
        </w:tc>
        <w:tc>
          <w:tcPr>
            <w:tcW w:w="731" w:type="pct"/>
            <w:tcBorders>
              <w:top w:val="single" w:color="auto" w:sz="6" w:space="0"/>
              <w:left w:val="single" w:color="auto" w:sz="6" w:space="0"/>
              <w:bottom w:val="single" w:color="auto" w:sz="6" w:space="0"/>
              <w:right w:val="single" w:color="auto" w:sz="12" w:space="0"/>
            </w:tcBorders>
            <w:vAlign w:val="center"/>
          </w:tcPr>
          <w:p w14:paraId="4569B76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bookmarkEnd w:id="15"/>
      <w:tr w14:paraId="7EDB88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restart"/>
            <w:tcBorders>
              <w:top w:val="single" w:color="auto" w:sz="6" w:space="0"/>
              <w:left w:val="single" w:color="auto" w:sz="12" w:space="0"/>
              <w:bottom w:val="single" w:color="auto" w:sz="6" w:space="0"/>
              <w:right w:val="single" w:color="auto" w:sz="6" w:space="0"/>
            </w:tcBorders>
            <w:vAlign w:val="center"/>
          </w:tcPr>
          <w:p w14:paraId="7DFDA16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1"/>
                <w:szCs w:val="21"/>
                <w:u w:val="none"/>
                <w:lang w:val="en-US" w:eastAsia="zh-CN" w:bidi="ar"/>
              </w:rPr>
            </w:pPr>
            <w:r>
              <w:rPr>
                <w:rFonts w:hint="default" w:ascii="仿宋_GB2312" w:hAnsi="宋体" w:eastAsia="仿宋_GB2312" w:cs="仿宋_GB2312"/>
                <w:i w:val="0"/>
                <w:iCs w:val="0"/>
                <w:color w:val="000000"/>
                <w:kern w:val="0"/>
                <w:sz w:val="21"/>
                <w:szCs w:val="21"/>
                <w:u w:val="none"/>
                <w:lang w:val="en-US" w:eastAsia="zh-CN" w:bidi="ar"/>
              </w:rPr>
              <w:t>底泥</w:t>
            </w:r>
          </w:p>
        </w:tc>
        <w:tc>
          <w:tcPr>
            <w:tcW w:w="751" w:type="pct"/>
            <w:tcBorders>
              <w:top w:val="single" w:color="auto" w:sz="6" w:space="0"/>
              <w:left w:val="single" w:color="auto" w:sz="6" w:space="0"/>
              <w:bottom w:val="single" w:color="auto" w:sz="6" w:space="0"/>
              <w:right w:val="single" w:color="auto" w:sz="6" w:space="0"/>
            </w:tcBorders>
            <w:vAlign w:val="center"/>
          </w:tcPr>
          <w:p w14:paraId="0AB527A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邯郸港汇入湘江处下游2000m</w:t>
            </w:r>
          </w:p>
        </w:tc>
        <w:tc>
          <w:tcPr>
            <w:tcW w:w="1431" w:type="pct"/>
            <w:vMerge w:val="restart"/>
            <w:tcBorders>
              <w:top w:val="single" w:color="auto" w:sz="6" w:space="0"/>
              <w:left w:val="single" w:color="auto" w:sz="6" w:space="0"/>
              <w:bottom w:val="single" w:color="auto" w:sz="6" w:space="0"/>
              <w:right w:val="single" w:color="auto" w:sz="6" w:space="0"/>
            </w:tcBorders>
            <w:vAlign w:val="center"/>
          </w:tcPr>
          <w:p w14:paraId="7E3249F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pH、铜、铅、锌、镉、铬、汞、砷、镍</w:t>
            </w:r>
          </w:p>
        </w:tc>
        <w:tc>
          <w:tcPr>
            <w:tcW w:w="642" w:type="pct"/>
            <w:vMerge w:val="restart"/>
            <w:tcBorders>
              <w:top w:val="single" w:color="auto" w:sz="6" w:space="0"/>
              <w:left w:val="single" w:color="auto" w:sz="6" w:space="0"/>
              <w:bottom w:val="single" w:color="auto" w:sz="6" w:space="0"/>
              <w:right w:val="single" w:color="auto" w:sz="6" w:space="0"/>
            </w:tcBorders>
            <w:vAlign w:val="center"/>
          </w:tcPr>
          <w:p w14:paraId="61F09F6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一年一次</w:t>
            </w:r>
          </w:p>
        </w:tc>
        <w:tc>
          <w:tcPr>
            <w:tcW w:w="960" w:type="pct"/>
            <w:tcBorders>
              <w:top w:val="single" w:color="auto" w:sz="6" w:space="0"/>
              <w:left w:val="single" w:color="auto" w:sz="6" w:space="0"/>
              <w:bottom w:val="single" w:color="auto" w:sz="6" w:space="0"/>
              <w:right w:val="single" w:color="auto" w:sz="6" w:space="0"/>
            </w:tcBorders>
            <w:vAlign w:val="center"/>
          </w:tcPr>
          <w:p w14:paraId="45F3BBF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731" w:type="pct"/>
            <w:tcBorders>
              <w:top w:val="single" w:color="auto" w:sz="6" w:space="0"/>
              <w:left w:val="single" w:color="auto" w:sz="6" w:space="0"/>
              <w:bottom w:val="single" w:color="auto" w:sz="6" w:space="0"/>
              <w:right w:val="single" w:color="auto" w:sz="12" w:space="0"/>
            </w:tcBorders>
            <w:vAlign w:val="center"/>
          </w:tcPr>
          <w:p w14:paraId="52D2AFC7">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34EAE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482" w:type="pct"/>
            <w:vMerge w:val="continue"/>
            <w:tcBorders>
              <w:top w:val="single" w:color="auto" w:sz="6" w:space="0"/>
              <w:left w:val="single" w:color="auto" w:sz="12" w:space="0"/>
              <w:bottom w:val="single" w:color="auto" w:sz="12" w:space="0"/>
              <w:right w:val="single" w:color="auto" w:sz="6" w:space="0"/>
            </w:tcBorders>
            <w:vAlign w:val="center"/>
          </w:tcPr>
          <w:p w14:paraId="3436C1C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p>
        </w:tc>
        <w:tc>
          <w:tcPr>
            <w:tcW w:w="751" w:type="pct"/>
            <w:tcBorders>
              <w:top w:val="single" w:color="auto" w:sz="6" w:space="0"/>
              <w:left w:val="single" w:color="auto" w:sz="6" w:space="0"/>
              <w:bottom w:val="single" w:color="auto" w:sz="12" w:space="0"/>
              <w:right w:val="single" w:color="auto" w:sz="6" w:space="0"/>
            </w:tcBorders>
            <w:vAlign w:val="center"/>
          </w:tcPr>
          <w:p w14:paraId="1E8DF66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涓水大桥</w:t>
            </w:r>
          </w:p>
        </w:tc>
        <w:tc>
          <w:tcPr>
            <w:tcW w:w="1431" w:type="pct"/>
            <w:vMerge w:val="continue"/>
            <w:tcBorders>
              <w:top w:val="single" w:color="auto" w:sz="6" w:space="0"/>
              <w:left w:val="single" w:color="auto" w:sz="6" w:space="0"/>
              <w:bottom w:val="single" w:color="auto" w:sz="12" w:space="0"/>
              <w:right w:val="single" w:color="auto" w:sz="6" w:space="0"/>
            </w:tcBorders>
            <w:vAlign w:val="center"/>
          </w:tcPr>
          <w:p w14:paraId="1079BFC1">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42" w:type="pct"/>
            <w:vMerge w:val="continue"/>
            <w:tcBorders>
              <w:top w:val="single" w:color="auto" w:sz="6" w:space="0"/>
              <w:left w:val="single" w:color="auto" w:sz="6" w:space="0"/>
              <w:bottom w:val="single" w:color="auto" w:sz="12" w:space="0"/>
              <w:right w:val="single" w:color="auto" w:sz="6" w:space="0"/>
            </w:tcBorders>
            <w:vAlign w:val="center"/>
          </w:tcPr>
          <w:p w14:paraId="49EF49F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960" w:type="pct"/>
            <w:tcBorders>
              <w:top w:val="single" w:color="auto" w:sz="6" w:space="0"/>
              <w:left w:val="single" w:color="auto" w:sz="6" w:space="0"/>
              <w:bottom w:val="single" w:color="auto" w:sz="12" w:space="0"/>
              <w:right w:val="single" w:color="auto" w:sz="6" w:space="0"/>
            </w:tcBorders>
            <w:vAlign w:val="center"/>
          </w:tcPr>
          <w:p w14:paraId="6E49D536">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w:t>
            </w:r>
          </w:p>
        </w:tc>
        <w:tc>
          <w:tcPr>
            <w:tcW w:w="731" w:type="pct"/>
            <w:tcBorders>
              <w:top w:val="single" w:color="auto" w:sz="6" w:space="0"/>
              <w:left w:val="single" w:color="auto" w:sz="6" w:space="0"/>
              <w:bottom w:val="single" w:color="auto" w:sz="12" w:space="0"/>
              <w:right w:val="single" w:color="auto" w:sz="12" w:space="0"/>
            </w:tcBorders>
            <w:vAlign w:val="center"/>
          </w:tcPr>
          <w:p w14:paraId="663A36D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r>
    </w:tbl>
    <w:p w14:paraId="071490B1">
      <w:pPr>
        <w:keepNext w:val="0"/>
        <w:keepLines w:val="0"/>
        <w:pageBreakBefore w:val="0"/>
        <w:widowControl w:val="0"/>
        <w:kinsoku/>
        <w:wordWrap/>
        <w:overflowPunct w:val="0"/>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bookmarkStart w:id="16" w:name="_Toc140332499"/>
      <w:bookmarkStart w:id="17" w:name="_Toc123157443"/>
      <w:bookmarkStart w:id="18" w:name="_Toc188260511"/>
      <w:r>
        <w:rPr>
          <w:rFonts w:hint="eastAsia" w:ascii="仿宋" w:hAnsi="仿宋" w:eastAsia="仿宋" w:cs="仿宋"/>
          <w:sz w:val="30"/>
          <w:szCs w:val="30"/>
        </w:rPr>
        <w:t>根据湘潭天易经济开发区环保管家项目的服务内容，友谊国际工程咨询股份有限公司委托湖南至正环境有限公司，湖南</w:t>
      </w:r>
      <w:r>
        <w:rPr>
          <w:rFonts w:hint="eastAsia" w:ascii="仿宋" w:hAnsi="仿宋" w:eastAsia="仿宋" w:cs="仿宋"/>
          <w:sz w:val="30"/>
          <w:szCs w:val="30"/>
          <w:lang w:val="en-US" w:eastAsia="zh-CN"/>
        </w:rPr>
        <w:t>瑞鉴</w:t>
      </w:r>
      <w:r>
        <w:rPr>
          <w:rFonts w:hint="eastAsia" w:ascii="仿宋" w:hAnsi="仿宋" w:eastAsia="仿宋" w:cs="仿宋"/>
          <w:sz w:val="30"/>
          <w:szCs w:val="30"/>
        </w:rPr>
        <w:t>检测有限公司对园区大气、地表水、土壤、地下水、噪声、底泥环境质量进行监测</w:t>
      </w:r>
      <w:r>
        <w:rPr>
          <w:rFonts w:hint="eastAsia" w:ascii="仿宋" w:hAnsi="仿宋" w:eastAsia="仿宋" w:cs="仿宋"/>
          <w:sz w:val="30"/>
          <w:szCs w:val="30"/>
          <w:lang w:eastAsia="zh-CN"/>
        </w:rPr>
        <w:t>，</w:t>
      </w:r>
      <w:r>
        <w:rPr>
          <w:rFonts w:hint="eastAsia" w:ascii="仿宋" w:hAnsi="仿宋" w:eastAsia="仿宋" w:cs="仿宋"/>
          <w:sz w:val="30"/>
          <w:szCs w:val="30"/>
        </w:rPr>
        <w:t>已落实园区规划环评自行监测计划的要求。</w:t>
      </w:r>
    </w:p>
    <w:p w14:paraId="2A27070C">
      <w:pPr>
        <w:keepNext w:val="0"/>
        <w:keepLines w:val="0"/>
        <w:pageBreakBefore w:val="0"/>
        <w:widowControl w:val="0"/>
        <w:kinsoku/>
        <w:wordWrap/>
        <w:overflowPunct w:val="0"/>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湘潭县生态环境监测站每月对涓水入湘江口断面24项常规监测和镍、钒、铊、钴、锑、锰等6项重金属监测，对湘江五星（一水厂）断面进行24项常规监测，有效反映了经开区区域地表水环境质量达标情况。</w:t>
      </w:r>
    </w:p>
    <w:bookmarkEnd w:id="16"/>
    <w:bookmarkEnd w:id="17"/>
    <w:bookmarkEnd w:id="18"/>
    <w:p w14:paraId="33B13413">
      <w:pPr>
        <w:keepNext w:val="0"/>
        <w:keepLines w:val="0"/>
        <w:pageBreakBefore w:val="0"/>
        <w:widowControl w:val="0"/>
        <w:kinsoku/>
        <w:wordWrap/>
        <w:overflowPunct w:val="0"/>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经开区内各企业根据各建设项目环境影响评价报告、排污许可证等要求制定自行监测方案并实施；开发区的重点污染源纳入了“重点污染源自动监控于基础数据库系统V3.2”(西安长天)和“湘潭市污染源自动监控管理平台“(力合科技（湖南）股份有限公司)在线监控，企业自身例行监测，全面系统掌控园区建设、发展过程中的环境质量的变化。</w:t>
      </w:r>
    </w:p>
    <w:p w14:paraId="7C4C957D">
      <w:pPr>
        <w:pStyle w:val="21"/>
        <w:keepNext w:val="0"/>
        <w:keepLines w:val="0"/>
        <w:pageBreakBefore w:val="0"/>
        <w:widowControl w:val="0"/>
        <w:kinsoku/>
        <w:wordWrap/>
        <w:overflowPunct w:val="0"/>
        <w:topLinePunct w:val="0"/>
        <w:autoSpaceDE/>
        <w:autoSpaceDN/>
        <w:bidi w:val="0"/>
        <w:adjustRightInd/>
        <w:snapToGrid/>
        <w:spacing w:after="0" w:line="560" w:lineRule="exact"/>
        <w:ind w:left="0" w:leftChars="0" w:firstLine="643"/>
        <w:textAlignment w:val="auto"/>
        <w:outlineLvl w:val="1"/>
        <w:rPr>
          <w:rFonts w:hint="eastAsia" w:ascii="楷体" w:hAnsi="楷体" w:eastAsia="楷体" w:cs="楷体"/>
          <w:b/>
          <w:bCs/>
          <w:color w:val="auto"/>
          <w:szCs w:val="32"/>
        </w:rPr>
      </w:pPr>
      <w:bookmarkStart w:id="19" w:name="_Toc24195"/>
      <w:bookmarkStart w:id="20" w:name="_Toc31867"/>
      <w:r>
        <w:rPr>
          <w:rFonts w:hint="eastAsia" w:ascii="楷体" w:hAnsi="楷体" w:eastAsia="楷体" w:cs="楷体"/>
          <w:b/>
          <w:bCs/>
          <w:color w:val="auto"/>
          <w:szCs w:val="32"/>
        </w:rPr>
        <w:t>（二）</w:t>
      </w:r>
      <w:bookmarkEnd w:id="19"/>
      <w:bookmarkEnd w:id="20"/>
      <w:r>
        <w:rPr>
          <w:rFonts w:hint="eastAsia" w:ascii="楷体" w:hAnsi="楷体" w:eastAsia="楷体" w:cs="楷体"/>
          <w:b/>
          <w:bCs/>
          <w:color w:val="auto"/>
          <w:szCs w:val="32"/>
        </w:rPr>
        <w:t>生态环境分区管控总体管控要求落实情况</w:t>
      </w:r>
    </w:p>
    <w:p w14:paraId="1768650F">
      <w:pPr>
        <w:pStyle w:val="21"/>
        <w:keepNext w:val="0"/>
        <w:keepLines w:val="0"/>
        <w:pageBreakBefore w:val="0"/>
        <w:widowControl w:val="0"/>
        <w:kinsoku/>
        <w:wordWrap/>
        <w:overflowPunct w:val="0"/>
        <w:topLinePunct w:val="0"/>
        <w:autoSpaceDE/>
        <w:autoSpaceDN/>
        <w:bidi w:val="0"/>
        <w:adjustRightInd/>
        <w:snapToGrid/>
        <w:spacing w:after="0" w:line="560" w:lineRule="exact"/>
        <w:ind w:left="0" w:leftChars="0" w:firstLine="64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根据《湖南省生态环境分区管控总体管控要求暨省级以上产业园区生态环境准入清单（2023版）》相关文件，明确了湘潭天易经济开发区生态环境分区管控总体管控要求，见下表3。</w:t>
      </w:r>
    </w:p>
    <w:p w14:paraId="405F5B43">
      <w:pPr>
        <w:pStyle w:val="21"/>
        <w:spacing w:after="0" w:line="360" w:lineRule="auto"/>
        <w:ind w:left="0" w:leftChars="0" w:firstLine="0" w:firstLineChars="0"/>
        <w:jc w:val="center"/>
        <w:rPr>
          <w:rFonts w:ascii="Times New Roman" w:hAnsi="Times New Roman" w:eastAsia="仿宋"/>
          <w:b/>
          <w:bCs/>
          <w:sz w:val="28"/>
          <w:szCs w:val="28"/>
        </w:rPr>
      </w:pPr>
      <w:r>
        <w:rPr>
          <w:rFonts w:ascii="Times New Roman" w:hAnsi="Times New Roman" w:eastAsia="仿宋"/>
          <w:b/>
          <w:bCs/>
          <w:sz w:val="28"/>
          <w:szCs w:val="28"/>
        </w:rPr>
        <w:t>表3 湘潭天易经济开发区</w:t>
      </w:r>
      <w:r>
        <w:rPr>
          <w:rFonts w:hint="eastAsia" w:ascii="Times New Roman" w:hAnsi="Times New Roman" w:eastAsia="仿宋"/>
          <w:b/>
          <w:bCs/>
          <w:sz w:val="28"/>
          <w:szCs w:val="28"/>
        </w:rPr>
        <w:t>生态环境分区管控总体管控</w:t>
      </w:r>
      <w:r>
        <w:rPr>
          <w:rFonts w:ascii="Times New Roman" w:hAnsi="Times New Roman" w:eastAsia="仿宋"/>
          <w:b/>
          <w:bCs/>
          <w:sz w:val="28"/>
          <w:szCs w:val="28"/>
        </w:rPr>
        <w:t>要求落实情况</w:t>
      </w:r>
    </w:p>
    <w:tbl>
      <w:tblPr>
        <w:tblStyle w:val="22"/>
        <w:tblW w:w="5015"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0" w:type="dxa"/>
          <w:bottom w:w="0" w:type="dxa"/>
          <w:right w:w="0" w:type="dxa"/>
        </w:tblCellMar>
      </w:tblPr>
      <w:tblGrid>
        <w:gridCol w:w="333"/>
        <w:gridCol w:w="329"/>
        <w:gridCol w:w="338"/>
        <w:gridCol w:w="1017"/>
        <w:gridCol w:w="4337"/>
        <w:gridCol w:w="2889"/>
      </w:tblGrid>
      <w:tr w14:paraId="625F26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tblHeader/>
          <w:jc w:val="center"/>
        </w:trPr>
        <w:tc>
          <w:tcPr>
            <w:tcW w:w="541" w:type="pct"/>
            <w:gridSpan w:val="3"/>
            <w:vAlign w:val="center"/>
          </w:tcPr>
          <w:p w14:paraId="144F45D7">
            <w:pPr>
              <w:pStyle w:val="53"/>
              <w:rPr>
                <w:rFonts w:hint="eastAsia" w:ascii="仿宋" w:hAnsi="仿宋" w:eastAsia="仿宋" w:cs="仿宋"/>
                <w:b/>
                <w:bCs/>
                <w:color w:val="000000" w:themeColor="text1"/>
                <w:sz w:val="21"/>
                <w:szCs w:val="21"/>
              </w:rPr>
            </w:pPr>
            <w:r>
              <w:rPr>
                <w:rFonts w:hint="eastAsia" w:ascii="仿宋" w:hAnsi="仿宋" w:eastAsia="仿宋" w:cs="仿宋"/>
                <w:b/>
                <w:bCs/>
                <w:color w:val="000000" w:themeColor="text1"/>
                <w:sz w:val="21"/>
                <w:szCs w:val="21"/>
              </w:rPr>
              <w:t>管控对象</w:t>
            </w:r>
          </w:p>
        </w:tc>
        <w:tc>
          <w:tcPr>
            <w:tcW w:w="550" w:type="pct"/>
            <w:vAlign w:val="center"/>
          </w:tcPr>
          <w:p w14:paraId="7BE414A9">
            <w:pPr>
              <w:pStyle w:val="53"/>
              <w:rPr>
                <w:rFonts w:hint="eastAsia" w:ascii="仿宋" w:hAnsi="仿宋" w:eastAsia="仿宋" w:cs="仿宋"/>
                <w:b/>
                <w:bCs/>
                <w:color w:val="000000" w:themeColor="text1"/>
                <w:sz w:val="21"/>
                <w:szCs w:val="21"/>
              </w:rPr>
            </w:pPr>
            <w:r>
              <w:rPr>
                <w:rFonts w:hint="eastAsia" w:ascii="仿宋" w:hAnsi="仿宋" w:eastAsia="仿宋" w:cs="仿宋"/>
                <w:b/>
                <w:bCs/>
                <w:color w:val="000000" w:themeColor="text1"/>
                <w:sz w:val="21"/>
                <w:szCs w:val="21"/>
              </w:rPr>
              <w:t>基本内容</w:t>
            </w:r>
          </w:p>
        </w:tc>
        <w:tc>
          <w:tcPr>
            <w:tcW w:w="2345" w:type="pct"/>
            <w:vAlign w:val="center"/>
          </w:tcPr>
          <w:p w14:paraId="69B5D1BA">
            <w:pPr>
              <w:pStyle w:val="53"/>
              <w:rPr>
                <w:rFonts w:hint="eastAsia" w:ascii="仿宋" w:hAnsi="仿宋" w:eastAsia="仿宋" w:cs="仿宋"/>
                <w:b/>
                <w:bCs/>
                <w:color w:val="000000" w:themeColor="text1"/>
                <w:sz w:val="21"/>
                <w:szCs w:val="21"/>
              </w:rPr>
            </w:pPr>
            <w:r>
              <w:rPr>
                <w:rFonts w:hint="eastAsia" w:ascii="仿宋" w:hAnsi="仿宋" w:eastAsia="仿宋" w:cs="仿宋"/>
                <w:b/>
                <w:bCs/>
                <w:color w:val="000000" w:themeColor="text1"/>
                <w:sz w:val="21"/>
                <w:szCs w:val="21"/>
              </w:rPr>
              <w:t>管控要求</w:t>
            </w:r>
          </w:p>
        </w:tc>
        <w:tc>
          <w:tcPr>
            <w:tcW w:w="1562" w:type="pct"/>
            <w:vAlign w:val="center"/>
          </w:tcPr>
          <w:p w14:paraId="169635E5">
            <w:pPr>
              <w:pStyle w:val="53"/>
              <w:rPr>
                <w:rFonts w:hint="default" w:ascii="仿宋" w:hAnsi="仿宋" w:eastAsia="仿宋" w:cs="仿宋"/>
                <w:b/>
                <w:bCs/>
                <w:color w:val="000000" w:themeColor="text1"/>
                <w:sz w:val="21"/>
                <w:szCs w:val="21"/>
                <w:lang w:val="en-US" w:eastAsia="zh-CN"/>
              </w:rPr>
            </w:pPr>
            <w:r>
              <w:rPr>
                <w:rFonts w:hint="eastAsia" w:ascii="仿宋" w:hAnsi="仿宋" w:eastAsia="仿宋" w:cs="仿宋"/>
                <w:b/>
                <w:bCs/>
                <w:color w:val="000000" w:themeColor="text1"/>
                <w:sz w:val="21"/>
                <w:szCs w:val="21"/>
                <w:lang w:val="en-US" w:eastAsia="zh-CN"/>
              </w:rPr>
              <w:t>落实情况</w:t>
            </w:r>
          </w:p>
        </w:tc>
      </w:tr>
      <w:tr w14:paraId="5C1AFE6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restart"/>
            <w:vAlign w:val="center"/>
          </w:tcPr>
          <w:p w14:paraId="3A8705DC">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优先保护单元</w:t>
            </w:r>
          </w:p>
        </w:tc>
        <w:tc>
          <w:tcPr>
            <w:tcW w:w="360" w:type="pct"/>
            <w:gridSpan w:val="2"/>
            <w:vAlign w:val="center"/>
          </w:tcPr>
          <w:p w14:paraId="488D0EDE">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水环境优先保护区</w:t>
            </w:r>
          </w:p>
        </w:tc>
        <w:tc>
          <w:tcPr>
            <w:tcW w:w="550" w:type="pct"/>
            <w:vAlign w:val="center"/>
          </w:tcPr>
          <w:p w14:paraId="3628FF54">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水产种质资源保护区所在水环境优先保护区域</w:t>
            </w:r>
          </w:p>
        </w:tc>
        <w:tc>
          <w:tcPr>
            <w:tcW w:w="2345" w:type="pct"/>
            <w:vAlign w:val="center"/>
          </w:tcPr>
          <w:p w14:paraId="428273B9">
            <w:pPr>
              <w:pStyle w:val="53"/>
              <w:jc w:val="left"/>
              <w:rPr>
                <w:rFonts w:hint="eastAsia" w:ascii="仿宋" w:hAnsi="仿宋" w:eastAsia="仿宋" w:cs="仿宋"/>
                <w:color w:val="auto"/>
                <w:sz w:val="21"/>
                <w:szCs w:val="21"/>
                <w:highlight w:val="none"/>
              </w:rPr>
            </w:pPr>
            <w:r>
              <w:rPr>
                <w:rFonts w:hint="eastAsia" w:ascii="仿宋" w:hAnsi="仿宋" w:eastAsia="仿宋" w:cs="仿宋"/>
                <w:color w:val="000000" w:themeColor="text1"/>
                <w:sz w:val="21"/>
                <w:szCs w:val="21"/>
              </w:rPr>
              <w:t>1、禁止在水产种质资源保护区内新建排污口，</w:t>
            </w:r>
            <w:r>
              <w:rPr>
                <w:rFonts w:hint="eastAsia" w:ascii="仿宋" w:hAnsi="仿宋" w:eastAsia="仿宋" w:cs="仿宋"/>
                <w:color w:val="000000" w:themeColor="text1"/>
                <w:sz w:val="21"/>
                <w:szCs w:val="21"/>
                <w:highlight w:val="none"/>
              </w:rPr>
              <w:t>以及围湖</w:t>
            </w:r>
            <w:r>
              <w:rPr>
                <w:rFonts w:hint="eastAsia" w:ascii="仿宋" w:hAnsi="仿宋" w:eastAsia="仿宋" w:cs="仿宋"/>
                <w:color w:val="auto"/>
                <w:sz w:val="21"/>
                <w:szCs w:val="21"/>
                <w:highlight w:val="none"/>
              </w:rPr>
              <w:t>造田等投资建设项目；可选择性的对原集中或分散的老排污口进行科学、可控、达标的改（扩）建，且不得对水产种质资源保护区水域造成污染。</w:t>
            </w:r>
          </w:p>
          <w:p w14:paraId="05DCB580">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highlight w:val="none"/>
              </w:rPr>
              <w:t>2、在水产种质资源保护区附近新</w:t>
            </w:r>
            <w:r>
              <w:rPr>
                <w:rFonts w:hint="eastAsia" w:ascii="仿宋" w:hAnsi="仿宋" w:eastAsia="仿宋" w:cs="仿宋"/>
                <w:color w:val="000000" w:themeColor="text1"/>
                <w:sz w:val="21"/>
                <w:szCs w:val="21"/>
              </w:rPr>
              <w:t>、改、扩建排污口，应当保证保护区水体不受污染；在水产种质资源保护区内从事修建水利工程、疏浚航道、建闸筑坝、勘探和开采矿产资源、港口建设等工程建设的，或者在水产种质资源保护区外从事可能损害保护区功能的工程建设活动的，应当按照国家有关规定编制建设项目对水产种质资源保护区的影响专题论证报告，并将其纳入环境影响评价报告书。</w:t>
            </w:r>
          </w:p>
        </w:tc>
        <w:tc>
          <w:tcPr>
            <w:tcW w:w="1562" w:type="pct"/>
            <w:vAlign w:val="center"/>
          </w:tcPr>
          <w:p w14:paraId="4C7DE36D">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1、湘潭县第二污水处理厂目前已完成提质改造，改造后的工艺为预处理、A2/O生化处理、深度处理、紫外消毒工艺，出水达到《城镇污水处理厂污染物排放标准》</w:t>
            </w:r>
            <w:r>
              <w:rPr>
                <w:rFonts w:hint="eastAsia" w:ascii="仿宋" w:hAnsi="仿宋" w:eastAsia="仿宋" w:cs="仿宋"/>
                <w:color w:val="000000" w:themeColor="text1"/>
                <w:sz w:val="21"/>
                <w:szCs w:val="21"/>
                <w:lang w:eastAsia="zh-CN"/>
              </w:rPr>
              <w:t>。</w:t>
            </w:r>
            <w:r>
              <w:rPr>
                <w:rFonts w:hint="eastAsia" w:ascii="仿宋" w:hAnsi="仿宋" w:eastAsia="仿宋" w:cs="仿宋"/>
                <w:color w:val="000000" w:themeColor="text1"/>
                <w:sz w:val="21"/>
                <w:szCs w:val="21"/>
              </w:rPr>
              <w:t>（GB18918-2002）中一级标准A标准，再经人工湿地深度处理后溢流进入京竹渠，最终进入涓水。尾水流经3.2km汇入湘江，间接纳污水体湘江为湘江湘潭段野鲤国家级水产种质资源保护区的实验区。现状处理规模2.5万m</w:t>
            </w:r>
            <w:r>
              <w:rPr>
                <w:rFonts w:hint="eastAsia" w:ascii="仿宋" w:hAnsi="仿宋" w:eastAsia="仿宋" w:cs="仿宋"/>
                <w:color w:val="000000" w:themeColor="text1"/>
                <w:sz w:val="21"/>
                <w:szCs w:val="21"/>
                <w:vertAlign w:val="superscript"/>
              </w:rPr>
              <w:t>3</w:t>
            </w:r>
            <w:r>
              <w:rPr>
                <w:rFonts w:hint="eastAsia" w:ascii="仿宋" w:hAnsi="仿宋" w:eastAsia="仿宋" w:cs="仿宋"/>
                <w:color w:val="000000" w:themeColor="text1"/>
                <w:sz w:val="21"/>
                <w:szCs w:val="21"/>
              </w:rPr>
              <w:t>/d，已取得入河排污口设置批复。扩建规模为2.5万m</w:t>
            </w:r>
            <w:r>
              <w:rPr>
                <w:rFonts w:hint="eastAsia" w:ascii="仿宋" w:hAnsi="仿宋" w:eastAsia="仿宋" w:cs="仿宋"/>
                <w:color w:val="000000" w:themeColor="text1"/>
                <w:sz w:val="21"/>
                <w:szCs w:val="21"/>
                <w:vertAlign w:val="superscript"/>
              </w:rPr>
              <w:t>3</w:t>
            </w:r>
            <w:r>
              <w:rPr>
                <w:rFonts w:hint="eastAsia" w:ascii="仿宋" w:hAnsi="仿宋" w:eastAsia="仿宋" w:cs="仿宋"/>
                <w:color w:val="000000" w:themeColor="text1"/>
                <w:sz w:val="21"/>
                <w:szCs w:val="21"/>
              </w:rPr>
              <w:t>/d，已取得环评批复，目前正在建设过程中。</w:t>
            </w:r>
          </w:p>
          <w:p w14:paraId="014ED9E0">
            <w:pPr>
              <w:pStyle w:val="53"/>
              <w:jc w:val="left"/>
              <w:rPr>
                <w:rFonts w:hint="eastAsia" w:ascii="仿宋" w:hAnsi="仿宋" w:eastAsia="仿宋" w:cs="仿宋"/>
                <w:color w:val="000000" w:themeColor="text1"/>
                <w:sz w:val="21"/>
                <w:szCs w:val="21"/>
                <w:lang w:eastAsia="zh-CN"/>
              </w:rPr>
            </w:pPr>
            <w:r>
              <w:rPr>
                <w:rFonts w:hint="eastAsia" w:ascii="仿宋" w:hAnsi="仿宋" w:eastAsia="仿宋" w:cs="仿宋"/>
                <w:color w:val="000000" w:themeColor="text1"/>
                <w:sz w:val="21"/>
                <w:szCs w:val="21"/>
              </w:rPr>
              <w:t>2、湘潭县第一污水处理厂处理出水达到《城镇污水处理厂污染物排放标准》（GB18918-2002）中一级标准A标准后排入湘江，排污口位于湘江湘潭段野鲤国家级水产种质资源保护区的实验区。现状处理规模为5万m</w:t>
            </w:r>
            <w:r>
              <w:rPr>
                <w:rFonts w:hint="eastAsia" w:ascii="仿宋" w:hAnsi="仿宋" w:eastAsia="仿宋" w:cs="仿宋"/>
                <w:color w:val="000000" w:themeColor="text1"/>
                <w:sz w:val="21"/>
                <w:szCs w:val="21"/>
                <w:vertAlign w:val="superscript"/>
              </w:rPr>
              <w:t>3</w:t>
            </w:r>
            <w:r>
              <w:rPr>
                <w:rFonts w:hint="eastAsia" w:ascii="仿宋" w:hAnsi="仿宋" w:eastAsia="仿宋" w:cs="仿宋"/>
                <w:color w:val="000000" w:themeColor="text1"/>
                <w:sz w:val="21"/>
                <w:szCs w:val="21"/>
              </w:rPr>
              <w:t>/d，未取得入河排污口设置批复。（湘潭县第一污水处理厂依托邯郸港排污口，设立于1992年，建设之初没有要求办理入河排污口论证审批手续）</w:t>
            </w:r>
            <w:r>
              <w:rPr>
                <w:rFonts w:hint="eastAsia" w:ascii="仿宋" w:hAnsi="仿宋" w:eastAsia="仿宋" w:cs="仿宋"/>
                <w:color w:val="000000" w:themeColor="text1"/>
                <w:sz w:val="21"/>
                <w:szCs w:val="21"/>
                <w:lang w:eastAsia="zh-CN"/>
              </w:rPr>
              <w:t>。</w:t>
            </w:r>
          </w:p>
        </w:tc>
      </w:tr>
      <w:tr w14:paraId="4C03B8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6FA04943">
            <w:pPr>
              <w:pStyle w:val="53"/>
              <w:rPr>
                <w:rFonts w:hint="eastAsia" w:ascii="仿宋" w:hAnsi="仿宋" w:eastAsia="仿宋" w:cs="仿宋"/>
                <w:color w:val="000000" w:themeColor="text1"/>
                <w:sz w:val="21"/>
                <w:szCs w:val="21"/>
              </w:rPr>
            </w:pPr>
          </w:p>
        </w:tc>
        <w:tc>
          <w:tcPr>
            <w:tcW w:w="360" w:type="pct"/>
            <w:gridSpan w:val="2"/>
            <w:vAlign w:val="center"/>
          </w:tcPr>
          <w:p w14:paraId="19B697C0">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农用地优先保护区</w:t>
            </w:r>
          </w:p>
        </w:tc>
        <w:tc>
          <w:tcPr>
            <w:tcW w:w="550" w:type="pct"/>
            <w:vAlign w:val="center"/>
          </w:tcPr>
          <w:p w14:paraId="3CDE31EE">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永久基本农田区域</w:t>
            </w:r>
          </w:p>
        </w:tc>
        <w:tc>
          <w:tcPr>
            <w:tcW w:w="2345" w:type="pct"/>
            <w:vAlign w:val="center"/>
          </w:tcPr>
          <w:p w14:paraId="4D5653E4">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禁止任何单位和个人在永久基本农田保护区内建密、建房、建坟、挖砂、采石、采矿、取土、堆放固体废弃物或者进行其他破坏永久基本农田的活动。鼓励农业生产者对其经营的永久基本农田施用有机肥料，合理施用化肥和农药。向永久基本农田保护区提供肥料和作为肥料的城市垃圾、污泥的，应当符合国家有关标准。</w:t>
            </w:r>
          </w:p>
          <w:p w14:paraId="343F7E27">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禁止向农用地排放重金属或者其他有毒有害物质含量超标的污水、污泥，以及可能造成土壤污染的清淤底泥、尾矿、矿渣等。对安全利用类农用地地块以及周边地区采取环境准入限制，严格控制新建、改建、扩建可能造成农用地土壤污染的项目。</w:t>
            </w:r>
          </w:p>
          <w:p w14:paraId="189BD89E">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基本农田保护区经依法划定后，任何单位和个人不得改变或者占用。国家能源、交通、水利、军事设施等重点建设项目选址确实无法避开基本农田保护区，需要占用基本农田，涉及农用地转用或者征收土地的，必须经国务院批准。永久基本农田范围内矿产资源勘查开发项目应符合《自然资源部农业农村部关于加强和改进永久基本农田保护工作的通知》有关规定。</w:t>
            </w:r>
          </w:p>
          <w:p w14:paraId="50512ABE">
            <w:pPr>
              <w:pStyle w:val="53"/>
              <w:jc w:val="left"/>
              <w:rPr>
                <w:rFonts w:hint="eastAsia" w:ascii="仿宋" w:hAnsi="仿宋" w:eastAsia="仿宋" w:cs="仿宋"/>
                <w:color w:val="auto"/>
                <w:sz w:val="21"/>
                <w:szCs w:val="21"/>
                <w:highlight w:val="none"/>
              </w:rPr>
            </w:pPr>
            <w:r>
              <w:rPr>
                <w:rFonts w:hint="eastAsia" w:ascii="仿宋" w:hAnsi="仿宋" w:eastAsia="仿宋" w:cs="仿宋"/>
                <w:color w:val="000000" w:themeColor="text1"/>
                <w:sz w:val="21"/>
                <w:szCs w:val="21"/>
              </w:rPr>
              <w:t>4、严格控制在优先保护类耕地集中区域新、改、扩建增加重金属污染排放的项目现有相关企</w:t>
            </w:r>
            <w:r>
              <w:rPr>
                <w:rFonts w:hint="eastAsia" w:ascii="仿宋" w:hAnsi="仿宋" w:eastAsia="仿宋" w:cs="仿宋"/>
                <w:color w:val="auto"/>
                <w:sz w:val="21"/>
                <w:szCs w:val="21"/>
                <w:highlight w:val="none"/>
              </w:rPr>
              <w:t>业要采用新技术、新工艺，加快提标升级改造步伐。</w:t>
            </w:r>
          </w:p>
          <w:p w14:paraId="3183D80B">
            <w:pPr>
              <w:pStyle w:val="53"/>
              <w:jc w:val="left"/>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w:t>
            </w:r>
            <w:r>
              <w:rPr>
                <w:rFonts w:hint="eastAsia" w:ascii="仿宋" w:hAnsi="仿宋" w:eastAsia="仿宋" w:cs="仿宋"/>
                <w:color w:val="000000" w:themeColor="text1"/>
                <w:sz w:val="21"/>
                <w:szCs w:val="21"/>
              </w:rPr>
              <w:t>、</w:t>
            </w:r>
            <w:r>
              <w:rPr>
                <w:rFonts w:hint="eastAsia" w:ascii="仿宋" w:hAnsi="仿宋" w:eastAsia="仿宋" w:cs="仿宋"/>
                <w:color w:val="auto"/>
                <w:sz w:val="21"/>
                <w:szCs w:val="21"/>
                <w:highlight w:val="none"/>
              </w:rPr>
              <w:t>控制农业面源污染。实施化肥农药减量增效行动和农膜回收行动。</w:t>
            </w:r>
          </w:p>
          <w:p w14:paraId="76541408">
            <w:pPr>
              <w:pStyle w:val="53"/>
              <w:jc w:val="left"/>
              <w:rPr>
                <w:rFonts w:hint="eastAsia" w:ascii="仿宋" w:hAnsi="仿宋" w:eastAsia="仿宋" w:cs="仿宋"/>
                <w:color w:val="000000" w:themeColor="text1"/>
                <w:sz w:val="21"/>
                <w:szCs w:val="21"/>
              </w:rPr>
            </w:pPr>
            <w:r>
              <w:rPr>
                <w:rFonts w:hint="eastAsia" w:ascii="仿宋" w:hAnsi="仿宋" w:eastAsia="仿宋" w:cs="仿宋"/>
                <w:color w:val="auto"/>
                <w:sz w:val="21"/>
                <w:szCs w:val="21"/>
                <w:highlight w:val="none"/>
              </w:rPr>
              <w:t>6</w:t>
            </w:r>
            <w:r>
              <w:rPr>
                <w:rFonts w:hint="eastAsia" w:ascii="仿宋" w:hAnsi="仿宋" w:eastAsia="仿宋" w:cs="仿宋"/>
                <w:color w:val="000000" w:themeColor="text1"/>
                <w:sz w:val="21"/>
                <w:szCs w:val="21"/>
              </w:rPr>
              <w:t>、</w:t>
            </w:r>
            <w:r>
              <w:rPr>
                <w:rFonts w:hint="eastAsia" w:ascii="仿宋" w:hAnsi="仿宋" w:eastAsia="仿宋" w:cs="仿宋"/>
                <w:color w:val="auto"/>
                <w:sz w:val="21"/>
                <w:szCs w:val="21"/>
                <w:highlight w:val="none"/>
              </w:rPr>
              <w:t>依法落实耕地利用优先序，实施耕地种植用途管控，永久基本农田不得转为林地、草地、园地等其他农用地及农业设施建设用地，严格控制一般耕地转为林地、草地、园地等其他农用地。利用卫星遥感、铁塔视频、大数据等信息化手段，监测耕地种植用途变化动态，开展日常巡查和核查，对耕地种植用途改变做到早发现、早制止，</w:t>
            </w:r>
            <w:r>
              <w:rPr>
                <w:rFonts w:hint="eastAsia" w:ascii="仿宋" w:hAnsi="仿宋" w:eastAsia="仿宋" w:cs="仿宋"/>
                <w:color w:val="auto"/>
                <w:sz w:val="21"/>
                <w:szCs w:val="21"/>
                <w:highlight w:val="none"/>
                <w:lang w:val="en-US" w:eastAsia="zh-CN"/>
              </w:rPr>
              <w:t>严格防止耕地</w:t>
            </w:r>
            <w:r>
              <w:rPr>
                <w:rFonts w:hint="eastAsia" w:ascii="仿宋" w:hAnsi="仿宋" w:eastAsia="仿宋" w:cs="仿宋"/>
                <w:color w:val="auto"/>
                <w:sz w:val="21"/>
                <w:szCs w:val="21"/>
                <w:highlight w:val="none"/>
              </w:rPr>
              <w:t>“非粮化”。</w:t>
            </w:r>
          </w:p>
        </w:tc>
        <w:tc>
          <w:tcPr>
            <w:tcW w:w="1562" w:type="pct"/>
            <w:vAlign w:val="center"/>
          </w:tcPr>
          <w:p w14:paraId="146709EC">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1、园区规划不涉及基本农田，本次扩区规划范围紧邻基本农田。园区企业禁止向农用地排放重金属或者其他有毒有害物质含量超标的污水、固废。</w:t>
            </w:r>
          </w:p>
          <w:p w14:paraId="581E9E76">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2、对于园区规划边界紧临的基本农田，园区开发严格执行《基本农田保持条例》的管控要求。</w:t>
            </w:r>
          </w:p>
        </w:tc>
      </w:tr>
      <w:tr w14:paraId="544B5EB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restart"/>
            <w:vAlign w:val="center"/>
          </w:tcPr>
          <w:p w14:paraId="084ACC74">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重点管控单元</w:t>
            </w:r>
          </w:p>
        </w:tc>
        <w:tc>
          <w:tcPr>
            <w:tcW w:w="178" w:type="pct"/>
            <w:vMerge w:val="restart"/>
            <w:vAlign w:val="center"/>
          </w:tcPr>
          <w:p w14:paraId="662EB898">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大气环境重点管控区</w:t>
            </w:r>
          </w:p>
        </w:tc>
        <w:tc>
          <w:tcPr>
            <w:tcW w:w="182" w:type="pct"/>
            <w:vAlign w:val="center"/>
          </w:tcPr>
          <w:p w14:paraId="034C6F8B">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受体敏感区</w:t>
            </w:r>
          </w:p>
        </w:tc>
        <w:tc>
          <w:tcPr>
            <w:tcW w:w="550" w:type="pct"/>
            <w:vAlign w:val="center"/>
          </w:tcPr>
          <w:p w14:paraId="084EF0C4">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城镇中心及集中居住、医疗、教育等区域</w:t>
            </w:r>
          </w:p>
        </w:tc>
        <w:tc>
          <w:tcPr>
            <w:tcW w:w="2345" w:type="pct"/>
            <w:vAlign w:val="center"/>
          </w:tcPr>
          <w:p w14:paraId="660A0E12">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1、禁止在人口集中地区和其他依法需要特殊保护的区域内焚烧沥青、油毡、橡胶、塑料、皮革、垃圾以及其他产生有毒有害烟尘和恶臭气体的物质。</w:t>
            </w:r>
          </w:p>
          <w:p w14:paraId="2987200D">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2、鼓励城市建成区实行集中供热。在集中供热管网覆盖区域内，禁止新建、改建、扩建分散燃煤锅炉，集中供热管网覆盖前已建成使用的分散燃煤锅炉应当限期停止使用。</w:t>
            </w:r>
          </w:p>
          <w:p w14:paraId="6AD34921">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3、在大气污染重点区域城市建成区内禁止新建、扩建钢铁、水泥、有色金属、石油、化工等重污染企业以及新增产能项目。</w:t>
            </w:r>
          </w:p>
        </w:tc>
        <w:tc>
          <w:tcPr>
            <w:tcW w:w="1562" w:type="pct"/>
            <w:vAlign w:val="center"/>
          </w:tcPr>
          <w:p w14:paraId="602DE6EA">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1、天易经开区发展先进装备制造、食品医药、新材料产业。未在人口集中地区和其他依法需要特殊保护的区域内焚烧沥青、油毡、橡胶、塑料、皮革、垃圾以及其他产生有毒有害烟尘和恶臭气体的物质。</w:t>
            </w:r>
          </w:p>
          <w:p w14:paraId="025DA14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园区引入湘潭聚森清洁能源供热有限公司作为集中供热公司，项目已建成投入运行，供热管线目前建设长度约10km，覆盖的企业包括伍子醉槟郎、胖哥槟郎、小龙王槟郎、珠江啤酒、宏兴隆食品、湖南金风食品、鸿益食品厂、湖南食掌柜农业科技有限公司、湖南福熙食品有限公司等。</w:t>
            </w:r>
          </w:p>
          <w:p w14:paraId="7AC95DDF">
            <w:pPr>
              <w:pStyle w:val="53"/>
              <w:jc w:val="left"/>
              <w:rPr>
                <w:rFonts w:hint="eastAsia" w:ascii="仿宋" w:hAnsi="仿宋" w:eastAsia="仿宋" w:cs="仿宋"/>
                <w:color w:val="000000" w:themeColor="text1"/>
                <w:sz w:val="21"/>
                <w:szCs w:val="21"/>
                <w:lang w:val="en-US" w:eastAsia="zh-CN"/>
              </w:rPr>
            </w:pPr>
            <w:r>
              <w:rPr>
                <w:rFonts w:hint="eastAsia" w:ascii="仿宋" w:hAnsi="仿宋" w:eastAsia="仿宋" w:cs="仿宋"/>
                <w:color w:val="000000" w:themeColor="text1"/>
                <w:sz w:val="21"/>
                <w:szCs w:val="21"/>
                <w:lang w:val="en-US" w:eastAsia="zh-CN"/>
              </w:rPr>
              <w:t>3、</w:t>
            </w:r>
            <w:r>
              <w:rPr>
                <w:rFonts w:hint="eastAsia" w:ascii="仿宋" w:hAnsi="仿宋" w:eastAsia="仿宋" w:cs="仿宋"/>
                <w:color w:val="000000" w:themeColor="text1"/>
                <w:sz w:val="21"/>
                <w:szCs w:val="21"/>
              </w:rPr>
              <w:t>在大气污染重点区域建成区内禁止新建、扩建重污染企业</w:t>
            </w:r>
            <w:r>
              <w:rPr>
                <w:rFonts w:hint="eastAsia" w:ascii="仿宋" w:hAnsi="仿宋" w:eastAsia="仿宋" w:cs="仿宋"/>
                <w:color w:val="000000" w:themeColor="text1"/>
                <w:sz w:val="21"/>
                <w:szCs w:val="21"/>
                <w:lang w:eastAsia="zh-CN"/>
              </w:rPr>
              <w:t>。</w:t>
            </w:r>
          </w:p>
        </w:tc>
      </w:tr>
      <w:tr w14:paraId="3215BC0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02F57AF2">
            <w:pPr>
              <w:pStyle w:val="53"/>
              <w:rPr>
                <w:rFonts w:hint="eastAsia" w:ascii="仿宋" w:hAnsi="仿宋" w:eastAsia="仿宋" w:cs="仿宋"/>
                <w:color w:val="000000" w:themeColor="text1"/>
                <w:sz w:val="21"/>
                <w:szCs w:val="21"/>
              </w:rPr>
            </w:pPr>
          </w:p>
        </w:tc>
        <w:tc>
          <w:tcPr>
            <w:tcW w:w="178" w:type="pct"/>
            <w:vMerge w:val="continue"/>
            <w:vAlign w:val="center"/>
          </w:tcPr>
          <w:p w14:paraId="745DF9BB">
            <w:pPr>
              <w:pStyle w:val="53"/>
              <w:rPr>
                <w:rFonts w:hint="eastAsia" w:ascii="仿宋" w:hAnsi="仿宋" w:eastAsia="仿宋" w:cs="仿宋"/>
                <w:color w:val="000000" w:themeColor="text1"/>
                <w:sz w:val="21"/>
                <w:szCs w:val="21"/>
              </w:rPr>
            </w:pPr>
          </w:p>
        </w:tc>
        <w:tc>
          <w:tcPr>
            <w:tcW w:w="182" w:type="pct"/>
            <w:vAlign w:val="center"/>
          </w:tcPr>
          <w:p w14:paraId="25ED34ED">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高排放区</w:t>
            </w:r>
          </w:p>
        </w:tc>
        <w:tc>
          <w:tcPr>
            <w:tcW w:w="550" w:type="pct"/>
            <w:vAlign w:val="center"/>
          </w:tcPr>
          <w:p w14:paraId="5FFCF57B">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环境空气二类功能区中的工业集聚区域</w:t>
            </w:r>
          </w:p>
        </w:tc>
        <w:tc>
          <w:tcPr>
            <w:tcW w:w="2345" w:type="pct"/>
            <w:vAlign w:val="center"/>
          </w:tcPr>
          <w:p w14:paraId="3A15264B">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1、严格落实大气污染物达标排放、环境影响评价、总量控制、环保设施“三同时”、在线监测、排污许可等环保制度。</w:t>
            </w:r>
          </w:p>
          <w:p w14:paraId="54944DC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2、加强重污染天气应急响应，修订完善并持续更新重污染天气应急预案，细化应急减排措施，实施应急减排清单化管理。督促工业企业按照“一厂一案”要求，配套制定具体的应急响应操作方案。</w:t>
            </w:r>
          </w:p>
          <w:p w14:paraId="3A5956C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加强新建、扩建钢铁、水泥、平板玻璃、电解铝等高耗能高排放行业项目准入管理，严格落实污染物排放区域削减要求和减量替代办法，依法依规淘汰落后产能和化解过剩产能。以工业涂装、石化、化工、包装印刷、油品储运销等行业为重点，实施企业 VOCs 原料替代、排放全过程控制。按照“分业施策、一行一策”的原则，加大低 VOCs 含量原辅材料的推广使用力度，从源头减少 VOCs 产生。</w:t>
            </w:r>
          </w:p>
          <w:p w14:paraId="64795CF8">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在化工、印染、包装印刷、涂装、家具制造等行业逐步推进低挥发性有机物含量原料和产品的使用。钢铁、水泥、有色金属、石油、化工等行业中的大气重污染工业项目应当按照国家和省有关规定开展强制性清洁生产审核，实施清洁生产技术改造。</w:t>
            </w:r>
          </w:p>
        </w:tc>
        <w:tc>
          <w:tcPr>
            <w:tcW w:w="1562" w:type="pct"/>
            <w:vAlign w:val="center"/>
          </w:tcPr>
          <w:p w14:paraId="3D6B1EA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1、入园企业要求根据相关管理条例要求办理环境影响评价、环保设施“三同时”、排污许可等管理手续，污染物落实总量控制、污染物达标排放，重点污染源企业根据要求落实在线监测要求。</w:t>
            </w:r>
          </w:p>
          <w:p w14:paraId="4BC807FC">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大气污染防治特护期园区加强涉气工业企业环境监管，加强“散乱污”企业整治，加强环境监测，积极应对重污染天气，统一应急减排措施，园区编制应急减排项目清单，制定合理的工业源减排措施，园区重点污染源企业制订重污染天气减排“一厂一策”实施方案。</w:t>
            </w:r>
          </w:p>
          <w:p w14:paraId="3D3C906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严格环境准入，实施环评总量前置，新、改、扩建项目二氧化硫、氮氧化物污染物须实行倍量削减替代。园区严格限制、包装印刷、工业涂装、家具制造等高VOCs排放建设项目。实行区域内VOCs排放等量或倍量削减替代。</w:t>
            </w:r>
          </w:p>
          <w:p w14:paraId="1580B8BE">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4、园区内的包装印刷、涂装、家具制造等行业逐步推进低挥发性有机物含量原料和产品的使用。</w:t>
            </w:r>
          </w:p>
        </w:tc>
      </w:tr>
      <w:tr w14:paraId="1AEF970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017C9C04">
            <w:pPr>
              <w:pStyle w:val="53"/>
              <w:rPr>
                <w:rFonts w:hint="eastAsia" w:ascii="仿宋" w:hAnsi="仿宋" w:eastAsia="仿宋" w:cs="仿宋"/>
                <w:color w:val="000000" w:themeColor="text1"/>
                <w:sz w:val="21"/>
                <w:szCs w:val="21"/>
              </w:rPr>
            </w:pPr>
          </w:p>
        </w:tc>
        <w:tc>
          <w:tcPr>
            <w:tcW w:w="360" w:type="pct"/>
            <w:gridSpan w:val="2"/>
            <w:vAlign w:val="center"/>
          </w:tcPr>
          <w:p w14:paraId="3E4A8793">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水环境重点管控区</w:t>
            </w:r>
          </w:p>
        </w:tc>
        <w:tc>
          <w:tcPr>
            <w:tcW w:w="550" w:type="pct"/>
            <w:vAlign w:val="center"/>
          </w:tcPr>
          <w:p w14:paraId="61FC40DA">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省级以上产业园区所属水环境控制区域</w:t>
            </w:r>
          </w:p>
        </w:tc>
        <w:tc>
          <w:tcPr>
            <w:tcW w:w="2345" w:type="pct"/>
            <w:vAlign w:val="center"/>
          </w:tcPr>
          <w:p w14:paraId="7F0F3945">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排放工业废水的企业应当采取有效措施，收集和处理产生的全部废水，防止污染环境。含有毒有害水污染物的工业废水应当分类收集和处理，不得稀释排放。向污水集中处理设施排放工业废水的，应当按照国家有关规定进行预处理，达到集中处理设施处理工艺要求后方可排放。</w:t>
            </w:r>
          </w:p>
          <w:p w14:paraId="5F9240D2">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建设项目所在水环境控制单元或断面总磷超标的，实施总磷排放量2倍或以上削减替代。所在水环境控制单元或断面总磷达标的，实施总磷排放量等量或以上削减替代。替代量应来源于项目同一水环境控制单元或断面上游拟实施关停、升级改造的工业企业，不得来源于农业源、城镇污水处理厂或已列入流域环境质量改善计划的工业企业。相应的减排措施应确保在项目投产前完成。</w:t>
            </w:r>
          </w:p>
          <w:p w14:paraId="20AA865E">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3、建立健全湘江流域重点水污染物排放总量控制、排污许可、水污染物排放监测和水环境质量监测等水环境保护制度。</w:t>
            </w:r>
          </w:p>
          <w:p w14:paraId="60BF319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4、制定造纸、焦化、氮肥、有色金属、印染、农副食品加工、原料药制造、制革、农药、电镀等行业专项治理方案，实施清洁化改造，新建、改建、扩建上述行业建设项目实行主要污染物排放等量或减量置换。</w:t>
            </w:r>
          </w:p>
        </w:tc>
        <w:tc>
          <w:tcPr>
            <w:tcW w:w="1562" w:type="pct"/>
            <w:vAlign w:val="center"/>
          </w:tcPr>
          <w:p w14:paraId="14370DB9">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湘潭县第一污水处理厂处理出水达到《城镇污水处理厂污染物排放标准》（GB18918-2002）中一级标准A标准后排入湘江；湘潭县第二污水处理厂出水主要指标达到《湖南省城镇污水处理厂主要水污染物排放标准》二级标准，其他指标达到《城镇污水处理厂污染物排放标准》（GB18918-2002）中一级标准A标准，再经人工湿地深度处理后溢流进入京竹渠，最终进入涓水；吴家巷工业园建设一个污水处理站，</w:t>
            </w:r>
            <w:r>
              <w:rPr>
                <w:rFonts w:hint="eastAsia" w:ascii="仿宋" w:hAnsi="仿宋" w:eastAsia="仿宋" w:cs="仿宋"/>
                <w:color w:val="000000" w:themeColor="text1"/>
                <w:sz w:val="21"/>
                <w:szCs w:val="21"/>
                <w:lang w:val="en-US" w:eastAsia="zh-CN"/>
              </w:rPr>
              <w:t>两</w:t>
            </w:r>
            <w:r>
              <w:rPr>
                <w:rFonts w:hint="eastAsia" w:ascii="仿宋" w:hAnsi="仿宋" w:eastAsia="仿宋" w:cs="仿宋"/>
                <w:color w:val="000000" w:themeColor="text1"/>
                <w:sz w:val="21"/>
                <w:szCs w:val="21"/>
              </w:rPr>
              <w:t>家涉重金属废水经污水处理站处理后达到《铅、锌工业污染物排放标准》（GB25466-2010）表3标准后通过专用管道输送至康大工贸循环利用，不外排。</w:t>
            </w:r>
          </w:p>
          <w:p w14:paraId="5E476336">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2、根据现状监测和收集监测数据可知，总磷等满足《地表水环境质量标准》（GB3838-2002）Ⅲ类水质标准。</w:t>
            </w:r>
          </w:p>
          <w:p w14:paraId="1543655A">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3、园区建立健全重点水污染物排放总量控制、排污许可、水污染物排放监测和水环境质量监测等水环境保护制度。</w:t>
            </w:r>
          </w:p>
          <w:p w14:paraId="59A320B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4、园区内的农副食品加工、有色金属行业实施专项治理方案，实施清洁化改造。</w:t>
            </w:r>
          </w:p>
        </w:tc>
      </w:tr>
      <w:tr w14:paraId="3C83B84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127FAAEA">
            <w:pPr>
              <w:pStyle w:val="53"/>
              <w:rPr>
                <w:rFonts w:hint="eastAsia" w:ascii="仿宋" w:hAnsi="仿宋" w:eastAsia="仿宋" w:cs="仿宋"/>
                <w:color w:val="000000" w:themeColor="text1"/>
                <w:sz w:val="21"/>
                <w:szCs w:val="21"/>
              </w:rPr>
            </w:pPr>
          </w:p>
        </w:tc>
        <w:tc>
          <w:tcPr>
            <w:tcW w:w="360" w:type="pct"/>
            <w:gridSpan w:val="2"/>
            <w:vAlign w:val="center"/>
          </w:tcPr>
          <w:p w14:paraId="496F55A1">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土壤环境风险重点管控区</w:t>
            </w:r>
          </w:p>
        </w:tc>
        <w:tc>
          <w:tcPr>
            <w:tcW w:w="550" w:type="pct"/>
            <w:vAlign w:val="center"/>
          </w:tcPr>
          <w:p w14:paraId="79EA8463">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建设用地污染风险重点管控区，含重金属污染防治重点区域及疑似污染地块</w:t>
            </w:r>
          </w:p>
        </w:tc>
        <w:tc>
          <w:tcPr>
            <w:tcW w:w="2345" w:type="pct"/>
            <w:vAlign w:val="center"/>
          </w:tcPr>
          <w:p w14:paraId="6B086BB1">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1、严格执行相关行业企业布局选址要求，禁止在居民区和学校、医院、疗养院、养老院等单位周边新建、改建、扩建可能造成土壤污染的建设项目。</w:t>
            </w:r>
          </w:p>
          <w:p w14:paraId="353D41E0">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2、建立建设用地土壤污染风险管控和修复名录，列入名录且未完成治理修复的地块不得作为住宅、公共管理与公共服务用地。</w:t>
            </w:r>
          </w:p>
          <w:p w14:paraId="3B7E8F5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3、未达到土壤污染风险评估报告确定的风险管控、修复目标的建设用地地块，禁止开工建设任何与风险管控、修复无关的项目。</w:t>
            </w:r>
          </w:p>
          <w:p w14:paraId="7FB48964">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加强涉重金属行业污染防控。严格执行重金属污染物排放标准并落实相关总量控制指标，加大监督检查力度，对整改后仍不达标的企业，依法责令其停业、关闭，并将企业名单向社会公开。继续淘汰涉重金属重点行业落后产能，完善重金属相关行业准入条件，禁止新建落后产能或产能严重过剩行业的建设项目。</w:t>
            </w:r>
          </w:p>
          <w:p w14:paraId="6E9EE492">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5、新、改、扩建涉重金属重点行业建设项目必须遵循重点重金属污染物排放“减量置换”或“等量替换”的原则，应在省内有明确具体的重金属污染物排放总量来源。</w:t>
            </w:r>
          </w:p>
          <w:p w14:paraId="171A2CFC">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6、针对重金属污染防治重点区域，实施“目标导向”的重点区域分类管理。深化“一区一策”、分区指导原则，实施差异化目标管理，深入推进区域环境综合整治。</w:t>
            </w:r>
          </w:p>
        </w:tc>
        <w:tc>
          <w:tcPr>
            <w:tcW w:w="1562" w:type="pct"/>
            <w:vAlign w:val="center"/>
          </w:tcPr>
          <w:p w14:paraId="384A41BE">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1、入园企业严格执行行业企业布局选址要求，禁止在居民区和学校等单位周边新建、改建、扩建可能造成土壤污染的建设项目。</w:t>
            </w:r>
          </w:p>
          <w:p w14:paraId="52C671E5">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园区建立建设用地土壤污染风险管控和修复名录，列入名录且未完成治理修复的地块不得作为住宅、公共管理与公共服务用地。未达到土壤污染风险评估报告确定的风险管控、修复目标的建设用地地块，禁止开工建设任何与风险管控、修复无关的项目。</w:t>
            </w:r>
          </w:p>
          <w:p w14:paraId="5E348B1D">
            <w:pPr>
              <w:pStyle w:val="53"/>
              <w:jc w:val="left"/>
              <w:rPr>
                <w:rFonts w:hint="default" w:ascii="仿宋" w:hAnsi="仿宋" w:eastAsia="仿宋" w:cs="仿宋"/>
                <w:color w:val="000000" w:themeColor="text1"/>
                <w:sz w:val="21"/>
                <w:szCs w:val="21"/>
                <w:lang w:val="en-US" w:eastAsia="zh-CN"/>
              </w:rPr>
            </w:pPr>
            <w:r>
              <w:rPr>
                <w:rFonts w:hint="eastAsia" w:ascii="仿宋" w:hAnsi="仿宋" w:eastAsia="仿宋" w:cs="仿宋"/>
                <w:color w:val="000000" w:themeColor="text1"/>
                <w:sz w:val="21"/>
                <w:szCs w:val="21"/>
                <w:lang w:val="en-US" w:eastAsia="zh-CN"/>
              </w:rPr>
              <w:t>3、禁止开工建设任何与风险管控、修复无关的项目。</w:t>
            </w:r>
          </w:p>
          <w:p w14:paraId="3F11F311">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4、园区加强涉及重金属排放企业的污染防控，严格执行重金属污染物排放标准落实相关总量控制指标，加大监督检查力度，对整改后仍不达标的企业，依法责令其停业、关闭，并将企业名单向社会公开。继续淘汰涉重金属重点行业落后产能，完善重金属相关行业准入条件，禁止新建落后产能或产能严重过剩行业的建设项目。</w:t>
            </w:r>
          </w:p>
          <w:p w14:paraId="599FDB5B">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5、园区新、改、扩建涉重金属重点行业建设项目必须遵循重点重金属污染物排放“减量置换”或“等量替换”的原则，应在省内有明确具体的重金属污染物排放总量来源。</w:t>
            </w:r>
          </w:p>
          <w:p w14:paraId="10D5AAC6">
            <w:pPr>
              <w:pStyle w:val="53"/>
              <w:jc w:val="left"/>
              <w:rPr>
                <w:rFonts w:hint="eastAsia" w:ascii="仿宋" w:hAnsi="仿宋" w:eastAsia="仿宋" w:cs="仿宋"/>
                <w:color w:val="000000" w:themeColor="text1"/>
                <w:sz w:val="21"/>
                <w:szCs w:val="21"/>
                <w:lang w:val="en-US" w:eastAsia="zh-CN"/>
              </w:rPr>
            </w:pPr>
            <w:r>
              <w:rPr>
                <w:rFonts w:hint="eastAsia" w:ascii="仿宋" w:hAnsi="仿宋" w:eastAsia="仿宋" w:cs="仿宋"/>
                <w:color w:val="000000" w:themeColor="text1"/>
                <w:sz w:val="21"/>
                <w:szCs w:val="21"/>
                <w:lang w:val="en-US" w:eastAsia="zh-CN"/>
              </w:rPr>
              <w:t>6、</w:t>
            </w:r>
            <w:r>
              <w:rPr>
                <w:rFonts w:hint="eastAsia" w:ascii="仿宋" w:hAnsi="仿宋" w:eastAsia="仿宋" w:cs="仿宋"/>
                <w:color w:val="000000" w:themeColor="text1"/>
                <w:sz w:val="21"/>
                <w:szCs w:val="21"/>
              </w:rPr>
              <w:t>针对重金属污染防治重点区域，深入推进区域环境综合整治</w:t>
            </w:r>
            <w:r>
              <w:rPr>
                <w:rFonts w:hint="eastAsia" w:ascii="仿宋" w:hAnsi="仿宋" w:eastAsia="仿宋" w:cs="仿宋"/>
                <w:color w:val="000000" w:themeColor="text1"/>
                <w:sz w:val="21"/>
                <w:szCs w:val="21"/>
                <w:lang w:eastAsia="zh-CN"/>
              </w:rPr>
              <w:t>。</w:t>
            </w:r>
          </w:p>
        </w:tc>
      </w:tr>
      <w:tr w14:paraId="02B4C742">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340" w:hRule="atLeast"/>
          <w:jc w:val="center"/>
        </w:trPr>
        <w:tc>
          <w:tcPr>
            <w:tcW w:w="180" w:type="pct"/>
            <w:vMerge w:val="continue"/>
            <w:vAlign w:val="center"/>
          </w:tcPr>
          <w:p w14:paraId="675E50AA">
            <w:pPr>
              <w:pStyle w:val="53"/>
              <w:rPr>
                <w:rFonts w:hint="eastAsia" w:ascii="仿宋" w:hAnsi="仿宋" w:eastAsia="仿宋" w:cs="仿宋"/>
                <w:color w:val="000000" w:themeColor="text1"/>
                <w:sz w:val="21"/>
                <w:szCs w:val="21"/>
              </w:rPr>
            </w:pPr>
          </w:p>
        </w:tc>
        <w:tc>
          <w:tcPr>
            <w:tcW w:w="360" w:type="pct"/>
            <w:gridSpan w:val="2"/>
            <w:vAlign w:val="center"/>
          </w:tcPr>
          <w:p w14:paraId="187A30FF">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能源利用重点管控区</w:t>
            </w:r>
          </w:p>
        </w:tc>
        <w:tc>
          <w:tcPr>
            <w:tcW w:w="550" w:type="pct"/>
            <w:vAlign w:val="center"/>
          </w:tcPr>
          <w:p w14:paraId="2AEFE248">
            <w:pPr>
              <w:pStyle w:val="53"/>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各城市建成区划定的高污染燃料禁燃区</w:t>
            </w:r>
          </w:p>
        </w:tc>
        <w:tc>
          <w:tcPr>
            <w:tcW w:w="2345" w:type="pct"/>
            <w:vAlign w:val="center"/>
          </w:tcPr>
          <w:p w14:paraId="67C4725C">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1、在禁燃区内，禁止销售、燃用高污染燃料；禁止新建、扩建燃用高污染燃料的设施，已建成的，应当在城市人民政府规定的期限内改用天然气、页岩气、液化石油气、电或者其他清洁能源。</w:t>
            </w:r>
          </w:p>
          <w:p w14:paraId="6E6C1D73">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2、强化禁燃区管控，推进散煤替代。优化调整高污染禁燃区范围，严厉查处禁燃区内煤炭燃用行为。</w:t>
            </w:r>
          </w:p>
        </w:tc>
        <w:tc>
          <w:tcPr>
            <w:tcW w:w="1562" w:type="pct"/>
            <w:vAlign w:val="center"/>
          </w:tcPr>
          <w:p w14:paraId="31B62D3F">
            <w:pPr>
              <w:pStyle w:val="53"/>
              <w:jc w:val="left"/>
              <w:rPr>
                <w:rFonts w:hint="eastAsia" w:ascii="仿宋" w:hAnsi="仿宋" w:eastAsia="仿宋" w:cs="仿宋"/>
                <w:color w:val="000000" w:themeColor="text1"/>
                <w:sz w:val="21"/>
                <w:szCs w:val="21"/>
              </w:rPr>
            </w:pPr>
            <w:r>
              <w:rPr>
                <w:rFonts w:hint="eastAsia" w:ascii="仿宋" w:hAnsi="仿宋" w:eastAsia="仿宋" w:cs="仿宋"/>
                <w:color w:val="000000" w:themeColor="text1"/>
                <w:sz w:val="21"/>
                <w:szCs w:val="21"/>
              </w:rPr>
              <w:t>园区目前已淘汰燃煤锅炉，使用天然气、生物质等清洁能源。</w:t>
            </w:r>
          </w:p>
        </w:tc>
      </w:tr>
    </w:tbl>
    <w:p w14:paraId="28DF1958">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3" w:firstLineChars="200"/>
        <w:jc w:val="both"/>
        <w:textAlignment w:val="auto"/>
        <w:outlineLvl w:val="1"/>
        <w:rPr>
          <w:rFonts w:hint="eastAsia" w:ascii="楷体" w:hAnsi="楷体" w:eastAsia="楷体" w:cs="楷体"/>
          <w:b/>
          <w:bCs/>
          <w:szCs w:val="32"/>
        </w:rPr>
      </w:pPr>
      <w:bookmarkStart w:id="21" w:name="_Toc221"/>
      <w:bookmarkStart w:id="22" w:name="_Toc19000"/>
      <w:r>
        <w:rPr>
          <w:rFonts w:hint="eastAsia" w:ascii="楷体" w:hAnsi="楷体" w:eastAsia="楷体" w:cs="楷体"/>
          <w:b/>
          <w:bCs/>
          <w:szCs w:val="32"/>
        </w:rPr>
        <w:t>（三）水环境管理</w:t>
      </w:r>
      <w:bookmarkEnd w:id="21"/>
      <w:bookmarkEnd w:id="22"/>
    </w:p>
    <w:p w14:paraId="4B653C57">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3" w:firstLineChars="200"/>
        <w:jc w:val="both"/>
        <w:textAlignment w:val="auto"/>
        <w:rPr>
          <w:rFonts w:ascii="Times New Roman" w:hAnsi="Times New Roman" w:eastAsia="仿宋"/>
          <w:b/>
          <w:bCs/>
          <w:szCs w:val="32"/>
        </w:rPr>
      </w:pPr>
      <w:r>
        <w:rPr>
          <w:rFonts w:ascii="Times New Roman" w:hAnsi="Times New Roman" w:eastAsia="仿宋"/>
          <w:b/>
          <w:bCs/>
          <w:szCs w:val="32"/>
        </w:rPr>
        <w:t>1、污水处理设施建设情况</w:t>
      </w:r>
    </w:p>
    <w:p w14:paraId="22B6DE39">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园区依托城镇污水处理厂2个，园区污水管网覆盖率为100%，依托的城镇污水处理厂名称为湘潭县顺业污水处理厂（湘潭县第一污水处理厂）、湘潭县北控天意水质净化有限公司（湘潭县第二污水处理厂），另园区建设吴家巷工业园污水处理站。</w:t>
      </w:r>
    </w:p>
    <w:p w14:paraId="271F8AF0">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（1）湘潭县顺业污水处理厂总设计规模为日处理污水5万m</w:t>
      </w:r>
      <w:r>
        <w:rPr>
          <w:rFonts w:hint="eastAsia" w:ascii="仿宋" w:hAnsi="仿宋" w:eastAsia="仿宋" w:cs="仿宋"/>
          <w:sz w:val="30"/>
          <w:szCs w:val="30"/>
          <w:vertAlign w:val="superscript"/>
        </w:rPr>
        <w:t>3</w:t>
      </w:r>
      <w:r>
        <w:rPr>
          <w:rFonts w:hint="eastAsia" w:ascii="仿宋" w:hAnsi="仿宋" w:eastAsia="仿宋" w:cs="仿宋"/>
          <w:sz w:val="30"/>
          <w:szCs w:val="30"/>
        </w:rPr>
        <w:t>，分两期建设，一期采用改良型卡努赛尔2000型氧化沟污水处理工艺；二期采用微曝氧化沟的处理工艺。一期工程于2009年10月通过市环保局组织的环保竣工验收；二期工程于2013年6月动工建设，并于2014年1月23日开始试运行，7月6日组织进行竣工验收，8月15日通过环保验收，12月1日进入正式运营。实际日处理水量5.35万m</w:t>
      </w:r>
      <w:r>
        <w:rPr>
          <w:rFonts w:hint="eastAsia" w:ascii="仿宋" w:hAnsi="仿宋" w:eastAsia="仿宋" w:cs="仿宋"/>
          <w:sz w:val="30"/>
          <w:szCs w:val="30"/>
          <w:vertAlign w:val="superscript"/>
        </w:rPr>
        <w:t>3</w:t>
      </w:r>
      <w:r>
        <w:rPr>
          <w:rFonts w:hint="eastAsia" w:ascii="仿宋" w:hAnsi="仿宋" w:eastAsia="仿宋" w:cs="仿宋"/>
          <w:sz w:val="30"/>
          <w:szCs w:val="30"/>
        </w:rPr>
        <w:t>/d，负荷率107%。在线监测达标率100%，园区范围内雨水管网覆盖率100%。</w:t>
      </w:r>
    </w:p>
    <w:p w14:paraId="25F2ED07">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00" w:firstLineChars="200"/>
        <w:jc w:val="both"/>
        <w:textAlignment w:val="auto"/>
        <w:rPr>
          <w:rFonts w:hint="eastAsia" w:ascii="仿宋" w:hAnsi="仿宋" w:eastAsia="仿宋" w:cs="仿宋"/>
          <w:sz w:val="30"/>
          <w:szCs w:val="30"/>
          <w:highlight w:val="yellow"/>
        </w:rPr>
      </w:pPr>
      <w:r>
        <w:rPr>
          <w:rFonts w:hint="eastAsia" w:ascii="仿宋" w:hAnsi="仿宋" w:eastAsia="仿宋" w:cs="仿宋"/>
          <w:sz w:val="30"/>
          <w:szCs w:val="30"/>
        </w:rPr>
        <w:t>（2）湘潭县北控天意水质净化有限公司（湘潭县第二污水处理厂）总设计规模为5.0万m</w:t>
      </w:r>
      <w:r>
        <w:rPr>
          <w:rFonts w:hint="eastAsia" w:ascii="仿宋" w:hAnsi="仿宋" w:eastAsia="仿宋" w:cs="仿宋"/>
          <w:sz w:val="30"/>
          <w:szCs w:val="30"/>
          <w:vertAlign w:val="superscript"/>
        </w:rPr>
        <w:t>3</w:t>
      </w:r>
      <w:r>
        <w:rPr>
          <w:rFonts w:hint="eastAsia" w:ascii="仿宋" w:hAnsi="仿宋" w:eastAsia="仿宋" w:cs="仿宋"/>
          <w:sz w:val="30"/>
          <w:szCs w:val="30"/>
        </w:rPr>
        <w:t>/d，分两期建设，一期工程设计规模为2.5万m</w:t>
      </w:r>
      <w:r>
        <w:rPr>
          <w:rFonts w:hint="eastAsia" w:ascii="仿宋" w:hAnsi="仿宋" w:eastAsia="仿宋" w:cs="仿宋"/>
          <w:sz w:val="30"/>
          <w:szCs w:val="30"/>
          <w:vertAlign w:val="superscript"/>
        </w:rPr>
        <w:t>3</w:t>
      </w:r>
      <w:r>
        <w:rPr>
          <w:rFonts w:hint="eastAsia" w:ascii="仿宋" w:hAnsi="仿宋" w:eastAsia="仿宋" w:cs="仿宋"/>
          <w:sz w:val="30"/>
          <w:szCs w:val="30"/>
        </w:rPr>
        <w:t>/d，远期新增设计规模为2.5万m</w:t>
      </w:r>
      <w:r>
        <w:rPr>
          <w:rFonts w:hint="eastAsia" w:ascii="仿宋" w:hAnsi="仿宋" w:eastAsia="仿宋" w:cs="仿宋"/>
          <w:sz w:val="30"/>
          <w:szCs w:val="30"/>
          <w:vertAlign w:val="superscript"/>
        </w:rPr>
        <w:t>3</w:t>
      </w:r>
      <w:r>
        <w:rPr>
          <w:rFonts w:hint="eastAsia" w:ascii="仿宋" w:hAnsi="仿宋" w:eastAsia="仿宋" w:cs="仿宋"/>
          <w:sz w:val="30"/>
          <w:szCs w:val="30"/>
        </w:rPr>
        <w:t>/d。2019年1-10月份，日均处理水量0.8943万m</w:t>
      </w:r>
      <w:r>
        <w:rPr>
          <w:rFonts w:hint="eastAsia" w:ascii="仿宋" w:hAnsi="仿宋" w:eastAsia="仿宋" w:cs="仿宋"/>
          <w:sz w:val="30"/>
          <w:szCs w:val="30"/>
          <w:vertAlign w:val="superscript"/>
        </w:rPr>
        <w:t>3</w:t>
      </w:r>
      <w:r>
        <w:rPr>
          <w:rFonts w:hint="eastAsia" w:ascii="仿宋" w:hAnsi="仿宋" w:eastAsia="仿宋" w:cs="仿宋"/>
          <w:sz w:val="30"/>
          <w:szCs w:val="30"/>
        </w:rPr>
        <w:t>，湘潭一污至二污调水工程6月份投入试运行，经过了设备调试等，11月2日开始24小时投入运行，日调水量约1.4万m</w:t>
      </w:r>
      <w:r>
        <w:rPr>
          <w:rFonts w:hint="eastAsia" w:ascii="仿宋" w:hAnsi="仿宋" w:eastAsia="仿宋" w:cs="仿宋"/>
          <w:sz w:val="30"/>
          <w:szCs w:val="30"/>
          <w:vertAlign w:val="superscript"/>
        </w:rPr>
        <w:t>3</w:t>
      </w:r>
      <w:r>
        <w:rPr>
          <w:rFonts w:hint="eastAsia" w:ascii="仿宋" w:hAnsi="仿宋" w:eastAsia="仿宋" w:cs="仿宋"/>
          <w:sz w:val="30"/>
          <w:szCs w:val="30"/>
        </w:rPr>
        <w:t>/日，实际日处理水量合计1.995万m</w:t>
      </w:r>
      <w:r>
        <w:rPr>
          <w:rFonts w:hint="eastAsia" w:ascii="仿宋" w:hAnsi="仿宋" w:eastAsia="仿宋" w:cs="仿宋"/>
          <w:sz w:val="30"/>
          <w:szCs w:val="30"/>
          <w:vertAlign w:val="superscript"/>
        </w:rPr>
        <w:t>3</w:t>
      </w:r>
      <w:r>
        <w:rPr>
          <w:rFonts w:hint="eastAsia" w:ascii="仿宋" w:hAnsi="仿宋" w:eastAsia="仿宋" w:cs="仿宋"/>
          <w:sz w:val="30"/>
          <w:szCs w:val="30"/>
        </w:rPr>
        <w:t>/d，负荷率79.8%。</w:t>
      </w:r>
    </w:p>
    <w:p w14:paraId="5C6890D4">
      <w:pPr>
        <w:keepNext w:val="0"/>
        <w:keepLines w:val="0"/>
        <w:pageBreakBefore w:val="0"/>
        <w:widowControl w:val="0"/>
        <w:kinsoku/>
        <w:wordWrap/>
        <w:overflowPunct w:val="0"/>
        <w:topLinePunct w:val="0"/>
        <w:autoSpaceDE/>
        <w:autoSpaceDN/>
        <w:bidi w:val="0"/>
        <w:adjustRightInd w:val="0"/>
        <w:spacing w:line="560" w:lineRule="exact"/>
        <w:ind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一期、二期工程生化处理采用A/A/O工艺，深度处理采用高效沉淀池+反硝化滤池工艺，处理后出水采用紫外线消毒后，排入人工湿地，通过植被的吸引，实现进一步净化，经京竹闸排入涓水。污泥处理采用板框压滤，经脱水至60%后外运作进一步处置。2019年6月1日，一污至二污调水工程投入使用，7月12日湘潭县北控天意水质净化有限公司一期工程通过了项目竣工环境保护“三同时”验收。在线监测达标率100%，园区雨水管网覆盖率100%。</w:t>
      </w:r>
    </w:p>
    <w:p w14:paraId="3AB90D23">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00" w:firstLineChars="200"/>
        <w:jc w:val="both"/>
        <w:textAlignment w:val="auto"/>
        <w:rPr>
          <w:rFonts w:hint="eastAsia" w:ascii="仿宋" w:hAnsi="仿宋" w:eastAsia="仿宋" w:cs="仿宋"/>
          <w:sz w:val="30"/>
          <w:szCs w:val="30"/>
          <w:highlight w:val="yellow"/>
        </w:rPr>
      </w:pPr>
      <w:r>
        <w:rPr>
          <w:rFonts w:hint="eastAsia" w:ascii="仿宋" w:hAnsi="仿宋" w:eastAsia="仿宋" w:cs="仿宋"/>
          <w:sz w:val="30"/>
          <w:szCs w:val="30"/>
        </w:rPr>
        <w:t>（3）吴家巷工业园污水处理站主要处理湘潭县吴家巷工业园中湖南信诺颜料科技有限公司、湘潭县楚润碲业有限公司产生的涉重废水、废液。处理后的废水通过专用管道输送至湘潭县康大工贸有限公司作冲渣水循环用水，不外排。吴家巷工业园污水处理站设计处理规模230m³/d，实际处理规模35.62m³/d，污水处理工艺为絮凝沉淀+过滤工艺，在线监测达标率100%，园区雨水管网覆盖率100%。</w:t>
      </w:r>
    </w:p>
    <w:p w14:paraId="7F9CDAA3">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3" w:firstLineChars="200"/>
        <w:jc w:val="both"/>
        <w:textAlignment w:val="auto"/>
        <w:rPr>
          <w:rFonts w:ascii="Times New Roman" w:hAnsi="Times New Roman" w:eastAsia="仿宋"/>
          <w:b/>
          <w:bCs/>
          <w:szCs w:val="32"/>
        </w:rPr>
      </w:pPr>
      <w:r>
        <w:rPr>
          <w:rFonts w:ascii="Times New Roman" w:hAnsi="Times New Roman" w:eastAsia="仿宋"/>
          <w:b/>
          <w:bCs/>
          <w:szCs w:val="32"/>
        </w:rPr>
        <w:t>2、园区工业废水污染物排放情况</w:t>
      </w:r>
    </w:p>
    <w:p w14:paraId="5F73116E">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园区内涉及工业废水外排企业数量</w:t>
      </w:r>
      <w:r>
        <w:rPr>
          <w:rFonts w:hint="eastAsia" w:ascii="仿宋" w:hAnsi="仿宋" w:eastAsia="仿宋" w:cs="仿宋"/>
          <w:sz w:val="30"/>
          <w:szCs w:val="30"/>
          <w:u w:val="single"/>
        </w:rPr>
        <w:t>2</w:t>
      </w:r>
      <w:r>
        <w:rPr>
          <w:rFonts w:hint="eastAsia" w:ascii="仿宋" w:hAnsi="仿宋" w:eastAsia="仿宋" w:cs="仿宋"/>
          <w:sz w:val="30"/>
          <w:szCs w:val="30"/>
          <w:u w:val="single"/>
          <w:lang w:val="en-US" w:eastAsia="zh-CN"/>
        </w:rPr>
        <w:t>6</w:t>
      </w:r>
      <w:r>
        <w:rPr>
          <w:rFonts w:hint="eastAsia" w:ascii="仿宋" w:hAnsi="仿宋" w:eastAsia="仿宋" w:cs="仿宋"/>
          <w:sz w:val="30"/>
          <w:szCs w:val="30"/>
        </w:rPr>
        <w:t>个，工业废水总排放量</w:t>
      </w:r>
      <w:r>
        <w:rPr>
          <w:rFonts w:hint="eastAsia" w:ascii="仿宋" w:hAnsi="仿宋" w:eastAsia="仿宋" w:cs="仿宋"/>
          <w:sz w:val="30"/>
          <w:szCs w:val="30"/>
          <w:u w:val="single"/>
        </w:rPr>
        <w:t>30</w:t>
      </w:r>
      <w:r>
        <w:rPr>
          <w:rFonts w:hint="eastAsia" w:ascii="仿宋" w:hAnsi="仿宋" w:eastAsia="仿宋" w:cs="仿宋"/>
          <w:sz w:val="30"/>
          <w:szCs w:val="30"/>
          <w:u w:val="single"/>
          <w:lang w:val="en-US" w:eastAsia="zh-CN"/>
        </w:rPr>
        <w:t>83</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41</w:t>
      </w:r>
      <w:r>
        <w:rPr>
          <w:rFonts w:hint="eastAsia" w:ascii="仿宋" w:hAnsi="仿宋" w:eastAsia="仿宋" w:cs="仿宋"/>
          <w:sz w:val="30"/>
          <w:szCs w:val="30"/>
        </w:rPr>
        <w:t>m³/d，外排污水纳管企业数量</w:t>
      </w:r>
      <w:r>
        <w:rPr>
          <w:rFonts w:hint="eastAsia" w:ascii="仿宋" w:hAnsi="仿宋" w:eastAsia="仿宋" w:cs="仿宋"/>
          <w:sz w:val="30"/>
          <w:szCs w:val="30"/>
          <w:u w:val="single"/>
        </w:rPr>
        <w:t>2</w:t>
      </w:r>
      <w:r>
        <w:rPr>
          <w:rFonts w:hint="eastAsia" w:ascii="仿宋" w:hAnsi="仿宋" w:eastAsia="仿宋" w:cs="仿宋"/>
          <w:sz w:val="30"/>
          <w:szCs w:val="30"/>
          <w:u w:val="single"/>
          <w:lang w:val="en-US" w:eastAsia="zh-CN"/>
        </w:rPr>
        <w:t>6</w:t>
      </w:r>
      <w:r>
        <w:rPr>
          <w:rFonts w:hint="eastAsia" w:ascii="仿宋" w:hAnsi="仿宋" w:eastAsia="仿宋" w:cs="仿宋"/>
          <w:sz w:val="30"/>
          <w:szCs w:val="30"/>
        </w:rPr>
        <w:t>个，污水集中处理比例</w:t>
      </w:r>
      <w:r>
        <w:rPr>
          <w:rFonts w:hint="eastAsia" w:ascii="仿宋" w:hAnsi="仿宋" w:eastAsia="仿宋" w:cs="仿宋"/>
          <w:sz w:val="30"/>
          <w:szCs w:val="30"/>
          <w:u w:val="single"/>
        </w:rPr>
        <w:t>100%</w:t>
      </w:r>
      <w:r>
        <w:rPr>
          <w:rFonts w:hint="eastAsia" w:ascii="仿宋" w:hAnsi="仿宋" w:eastAsia="仿宋" w:cs="仿宋"/>
          <w:sz w:val="30"/>
          <w:szCs w:val="30"/>
        </w:rPr>
        <w:t>（按外排水量计）。</w:t>
      </w:r>
    </w:p>
    <w:p w14:paraId="77F5A4EB">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园区年度水污染物总排放量：化学需氧量</w:t>
      </w:r>
      <w:r>
        <w:rPr>
          <w:rFonts w:hint="eastAsia" w:ascii="仿宋" w:hAnsi="仿宋" w:eastAsia="仿宋" w:cs="仿宋"/>
          <w:sz w:val="30"/>
          <w:szCs w:val="30"/>
          <w:u w:val="single"/>
        </w:rPr>
        <w:t>8</w:t>
      </w:r>
      <w:r>
        <w:rPr>
          <w:rFonts w:hint="eastAsia" w:ascii="仿宋" w:hAnsi="仿宋" w:eastAsia="仿宋" w:cs="仿宋"/>
          <w:sz w:val="30"/>
          <w:szCs w:val="30"/>
          <w:u w:val="single"/>
          <w:lang w:val="en-US" w:eastAsia="zh-CN"/>
        </w:rPr>
        <w:t>5</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32</w:t>
      </w:r>
      <w:r>
        <w:rPr>
          <w:rFonts w:hint="eastAsia" w:ascii="仿宋" w:hAnsi="仿宋" w:eastAsia="仿宋" w:cs="仿宋"/>
          <w:sz w:val="30"/>
          <w:szCs w:val="30"/>
        </w:rPr>
        <w:t>t/a，氨氮</w:t>
      </w:r>
      <w:r>
        <w:rPr>
          <w:rFonts w:hint="eastAsia" w:ascii="仿宋" w:hAnsi="仿宋" w:eastAsia="仿宋" w:cs="仿宋"/>
          <w:sz w:val="30"/>
          <w:szCs w:val="30"/>
          <w:u w:val="single"/>
          <w:lang w:val="en-US" w:eastAsia="zh-CN"/>
        </w:rPr>
        <w:t>4.02</w:t>
      </w:r>
      <w:r>
        <w:rPr>
          <w:rFonts w:hint="eastAsia" w:ascii="仿宋" w:hAnsi="仿宋" w:eastAsia="仿宋" w:cs="仿宋"/>
          <w:sz w:val="30"/>
          <w:szCs w:val="30"/>
        </w:rPr>
        <w:t>t/a，其他因子（重金属等）</w:t>
      </w:r>
      <w:r>
        <w:rPr>
          <w:rFonts w:hint="eastAsia" w:ascii="仿宋" w:hAnsi="仿宋" w:eastAsia="仿宋" w:cs="仿宋"/>
          <w:sz w:val="30"/>
          <w:szCs w:val="30"/>
          <w:u w:val="single"/>
          <w:lang w:val="en-US" w:eastAsia="zh-CN"/>
        </w:rPr>
        <w:t>/</w:t>
      </w:r>
      <w:r>
        <w:rPr>
          <w:rFonts w:hint="eastAsia" w:ascii="仿宋" w:hAnsi="仿宋" w:eastAsia="仿宋" w:cs="仿宋"/>
          <w:sz w:val="30"/>
          <w:szCs w:val="30"/>
        </w:rPr>
        <w:t>t/a。</w:t>
      </w:r>
    </w:p>
    <w:p w14:paraId="708D9297">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重点企业在线监控设施具体情况见表4。</w:t>
      </w:r>
    </w:p>
    <w:p w14:paraId="42191D83">
      <w:pPr>
        <w:pStyle w:val="33"/>
        <w:snapToGrid/>
        <w:rPr>
          <w:rFonts w:eastAsia="仿宋" w:cs="Times New Roman"/>
        </w:rPr>
      </w:pPr>
      <w:r>
        <w:rPr>
          <w:rFonts w:eastAsia="仿宋" w:cs="Times New Roman"/>
        </w:rPr>
        <w:t>表4  废水污染源在线监控安装情况一览表</w:t>
      </w:r>
    </w:p>
    <w:tbl>
      <w:tblPr>
        <w:tblStyle w:val="22"/>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254"/>
        <w:gridCol w:w="1137"/>
        <w:gridCol w:w="627"/>
        <w:gridCol w:w="1406"/>
        <w:gridCol w:w="1086"/>
        <w:gridCol w:w="2017"/>
        <w:gridCol w:w="1564"/>
        <w:gridCol w:w="1118"/>
      </w:tblGrid>
      <w:tr w14:paraId="68F605E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blHeader/>
        </w:trPr>
        <w:tc>
          <w:tcPr>
            <w:tcW w:w="137" w:type="pct"/>
            <w:tcBorders>
              <w:tl2br w:val="nil"/>
              <w:tr2bl w:val="nil"/>
            </w:tcBorders>
            <w:shd w:val="clear" w:color="auto" w:fill="auto"/>
            <w:tcMar>
              <w:top w:w="15" w:type="dxa"/>
              <w:left w:w="15" w:type="dxa"/>
              <w:right w:w="15" w:type="dxa"/>
            </w:tcMar>
            <w:vAlign w:val="center"/>
          </w:tcPr>
          <w:p w14:paraId="2B8C9EC1">
            <w:pPr>
              <w:pStyle w:val="29"/>
              <w:tabs>
                <w:tab w:val="left" w:pos="1315"/>
                <w:tab w:val="left" w:pos="2565"/>
              </w:tabs>
              <w:snapToGrid w:val="0"/>
              <w:rPr>
                <w:rFonts w:eastAsia="仿宋" w:cs="Times New Roman"/>
                <w:b/>
                <w:bCs/>
              </w:rPr>
            </w:pPr>
            <w:r>
              <w:rPr>
                <w:rFonts w:eastAsia="仿宋" w:cs="Times New Roman"/>
                <w:b/>
                <w:bCs/>
              </w:rPr>
              <w:t>序号</w:t>
            </w:r>
          </w:p>
        </w:tc>
        <w:tc>
          <w:tcPr>
            <w:tcW w:w="617" w:type="pct"/>
            <w:tcBorders>
              <w:tl2br w:val="nil"/>
              <w:tr2bl w:val="nil"/>
            </w:tcBorders>
            <w:shd w:val="clear" w:color="auto" w:fill="auto"/>
            <w:tcMar>
              <w:top w:w="15" w:type="dxa"/>
              <w:left w:w="15" w:type="dxa"/>
              <w:right w:w="15" w:type="dxa"/>
            </w:tcMar>
            <w:vAlign w:val="center"/>
          </w:tcPr>
          <w:p w14:paraId="705FC9C5">
            <w:pPr>
              <w:pStyle w:val="29"/>
              <w:tabs>
                <w:tab w:val="left" w:pos="1315"/>
                <w:tab w:val="left" w:pos="2565"/>
              </w:tabs>
              <w:snapToGrid w:val="0"/>
              <w:rPr>
                <w:rFonts w:eastAsia="仿宋" w:cs="Times New Roman"/>
                <w:b/>
                <w:bCs/>
              </w:rPr>
            </w:pPr>
            <w:r>
              <w:rPr>
                <w:rFonts w:eastAsia="仿宋" w:cs="Times New Roman"/>
                <w:b/>
                <w:bCs/>
              </w:rPr>
              <w:t>企业名称</w:t>
            </w:r>
          </w:p>
        </w:tc>
        <w:tc>
          <w:tcPr>
            <w:tcW w:w="340" w:type="pct"/>
            <w:tcBorders>
              <w:tl2br w:val="nil"/>
              <w:tr2bl w:val="nil"/>
            </w:tcBorders>
            <w:shd w:val="clear" w:color="auto" w:fill="auto"/>
            <w:tcMar>
              <w:top w:w="15" w:type="dxa"/>
              <w:left w:w="15" w:type="dxa"/>
              <w:right w:w="15" w:type="dxa"/>
            </w:tcMar>
            <w:vAlign w:val="center"/>
          </w:tcPr>
          <w:p w14:paraId="28AFBFCD">
            <w:pPr>
              <w:pStyle w:val="29"/>
              <w:tabs>
                <w:tab w:val="left" w:pos="1315"/>
                <w:tab w:val="left" w:pos="2565"/>
              </w:tabs>
              <w:snapToGrid w:val="0"/>
              <w:rPr>
                <w:rFonts w:eastAsia="仿宋" w:cs="Times New Roman"/>
                <w:b/>
                <w:bCs/>
              </w:rPr>
            </w:pPr>
            <w:r>
              <w:rPr>
                <w:rFonts w:eastAsia="仿宋" w:cs="Times New Roman"/>
                <w:b/>
                <w:bCs/>
              </w:rPr>
              <w:t>点位</w:t>
            </w:r>
          </w:p>
        </w:tc>
        <w:tc>
          <w:tcPr>
            <w:tcW w:w="763" w:type="pct"/>
            <w:tcBorders>
              <w:tl2br w:val="nil"/>
              <w:tr2bl w:val="nil"/>
            </w:tcBorders>
            <w:shd w:val="clear" w:color="auto" w:fill="auto"/>
            <w:tcMar>
              <w:top w:w="15" w:type="dxa"/>
              <w:left w:w="15" w:type="dxa"/>
              <w:right w:w="15" w:type="dxa"/>
            </w:tcMar>
            <w:vAlign w:val="center"/>
          </w:tcPr>
          <w:p w14:paraId="41C37909">
            <w:pPr>
              <w:pStyle w:val="29"/>
              <w:tabs>
                <w:tab w:val="left" w:pos="1315"/>
                <w:tab w:val="left" w:pos="2565"/>
              </w:tabs>
              <w:snapToGrid w:val="0"/>
              <w:rPr>
                <w:rFonts w:eastAsia="仿宋" w:cs="Times New Roman"/>
                <w:b/>
                <w:bCs/>
              </w:rPr>
            </w:pPr>
            <w:r>
              <w:rPr>
                <w:rFonts w:eastAsia="仿宋" w:cs="Times New Roman"/>
                <w:b/>
                <w:bCs/>
              </w:rPr>
              <w:t>项目</w:t>
            </w:r>
          </w:p>
        </w:tc>
        <w:tc>
          <w:tcPr>
            <w:tcW w:w="589" w:type="pct"/>
            <w:tcBorders>
              <w:tl2br w:val="nil"/>
              <w:tr2bl w:val="nil"/>
            </w:tcBorders>
            <w:shd w:val="clear" w:color="auto" w:fill="auto"/>
            <w:tcMar>
              <w:top w:w="15" w:type="dxa"/>
              <w:left w:w="15" w:type="dxa"/>
              <w:right w:w="15" w:type="dxa"/>
            </w:tcMar>
            <w:vAlign w:val="center"/>
          </w:tcPr>
          <w:p w14:paraId="2007AAED">
            <w:pPr>
              <w:pStyle w:val="29"/>
              <w:tabs>
                <w:tab w:val="left" w:pos="1315"/>
                <w:tab w:val="left" w:pos="2565"/>
              </w:tabs>
              <w:snapToGrid w:val="0"/>
              <w:rPr>
                <w:rFonts w:eastAsia="仿宋" w:cs="Times New Roman"/>
                <w:b/>
                <w:bCs/>
              </w:rPr>
            </w:pPr>
            <w:r>
              <w:rPr>
                <w:rFonts w:eastAsia="仿宋" w:cs="Times New Roman"/>
                <w:b/>
                <w:bCs/>
              </w:rPr>
              <w:t>是否联网验收</w:t>
            </w:r>
          </w:p>
        </w:tc>
        <w:tc>
          <w:tcPr>
            <w:tcW w:w="1094" w:type="pct"/>
            <w:tcBorders>
              <w:tl2br w:val="nil"/>
              <w:tr2bl w:val="nil"/>
            </w:tcBorders>
            <w:shd w:val="clear" w:color="auto" w:fill="auto"/>
            <w:tcMar>
              <w:top w:w="15" w:type="dxa"/>
              <w:left w:w="15" w:type="dxa"/>
              <w:right w:w="15" w:type="dxa"/>
            </w:tcMar>
            <w:vAlign w:val="center"/>
          </w:tcPr>
          <w:p w14:paraId="62E20BC5">
            <w:pPr>
              <w:pStyle w:val="29"/>
              <w:tabs>
                <w:tab w:val="left" w:pos="1315"/>
                <w:tab w:val="left" w:pos="2565"/>
              </w:tabs>
              <w:snapToGrid w:val="0"/>
              <w:rPr>
                <w:rFonts w:eastAsia="仿宋" w:cs="Times New Roman"/>
                <w:b/>
                <w:bCs/>
              </w:rPr>
            </w:pPr>
            <w:r>
              <w:rPr>
                <w:rFonts w:eastAsia="仿宋" w:cs="Times New Roman"/>
                <w:b/>
                <w:bCs/>
              </w:rPr>
              <w:t>监控平台名称</w:t>
            </w:r>
          </w:p>
        </w:tc>
        <w:tc>
          <w:tcPr>
            <w:tcW w:w="849" w:type="pct"/>
            <w:tcBorders>
              <w:tl2br w:val="nil"/>
              <w:tr2bl w:val="nil"/>
            </w:tcBorders>
            <w:shd w:val="clear" w:color="auto" w:fill="auto"/>
            <w:tcMar>
              <w:top w:w="15" w:type="dxa"/>
              <w:left w:w="15" w:type="dxa"/>
              <w:right w:w="15" w:type="dxa"/>
            </w:tcMar>
            <w:vAlign w:val="center"/>
          </w:tcPr>
          <w:p w14:paraId="27F60331">
            <w:pPr>
              <w:pStyle w:val="29"/>
              <w:tabs>
                <w:tab w:val="left" w:pos="1315"/>
                <w:tab w:val="left" w:pos="2565"/>
              </w:tabs>
              <w:snapToGrid w:val="0"/>
              <w:rPr>
                <w:rFonts w:eastAsia="仿宋" w:cs="Times New Roman"/>
                <w:b/>
                <w:bCs/>
              </w:rPr>
            </w:pPr>
            <w:r>
              <w:rPr>
                <w:rFonts w:eastAsia="仿宋" w:cs="Times New Roman"/>
                <w:b/>
                <w:bCs/>
              </w:rPr>
              <w:t>运营公司</w:t>
            </w:r>
          </w:p>
        </w:tc>
        <w:tc>
          <w:tcPr>
            <w:tcW w:w="607" w:type="pct"/>
            <w:tcBorders>
              <w:tl2br w:val="nil"/>
              <w:tr2bl w:val="nil"/>
            </w:tcBorders>
            <w:shd w:val="clear" w:color="auto" w:fill="auto"/>
            <w:tcMar>
              <w:top w:w="15" w:type="dxa"/>
              <w:left w:w="15" w:type="dxa"/>
              <w:right w:w="15" w:type="dxa"/>
            </w:tcMar>
            <w:vAlign w:val="center"/>
          </w:tcPr>
          <w:p w14:paraId="519C17B7">
            <w:pPr>
              <w:pStyle w:val="29"/>
              <w:tabs>
                <w:tab w:val="left" w:pos="1315"/>
                <w:tab w:val="left" w:pos="2565"/>
              </w:tabs>
              <w:snapToGrid w:val="0"/>
              <w:rPr>
                <w:rFonts w:eastAsia="仿宋" w:cs="Times New Roman"/>
                <w:b/>
                <w:bCs/>
              </w:rPr>
            </w:pPr>
            <w:r>
              <w:rPr>
                <w:rFonts w:eastAsia="仿宋" w:cs="Times New Roman"/>
                <w:b/>
                <w:bCs/>
              </w:rPr>
              <w:t>达标情况</w:t>
            </w:r>
          </w:p>
        </w:tc>
      </w:tr>
      <w:tr w14:paraId="239672A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292A1610">
            <w:pPr>
              <w:pStyle w:val="48"/>
              <w:rPr>
                <w:rFonts w:eastAsia="仿宋" w:cs="Times New Roman"/>
              </w:rPr>
            </w:pPr>
            <w:r>
              <w:rPr>
                <w:rFonts w:eastAsia="仿宋" w:cs="Times New Roman"/>
              </w:rPr>
              <w:t>1</w:t>
            </w:r>
          </w:p>
        </w:tc>
        <w:tc>
          <w:tcPr>
            <w:tcW w:w="617" w:type="pct"/>
            <w:tcBorders>
              <w:tl2br w:val="nil"/>
              <w:tr2bl w:val="nil"/>
            </w:tcBorders>
            <w:shd w:val="clear" w:color="auto" w:fill="auto"/>
            <w:tcMar>
              <w:top w:w="15" w:type="dxa"/>
              <w:left w:w="15" w:type="dxa"/>
              <w:right w:w="15" w:type="dxa"/>
            </w:tcMar>
            <w:vAlign w:val="center"/>
          </w:tcPr>
          <w:p w14:paraId="46D0FA5E">
            <w:pPr>
              <w:pStyle w:val="48"/>
              <w:rPr>
                <w:rFonts w:hint="eastAsia" w:ascii="仿宋" w:hAnsi="仿宋" w:eastAsia="仿宋" w:cs="仿宋"/>
                <w:sz w:val="21"/>
                <w:szCs w:val="21"/>
              </w:rPr>
            </w:pPr>
            <w:r>
              <w:rPr>
                <w:rFonts w:hint="eastAsia" w:ascii="仿宋" w:hAnsi="仿宋" w:eastAsia="仿宋" w:cs="仿宋"/>
                <w:sz w:val="21"/>
                <w:szCs w:val="21"/>
              </w:rPr>
              <w:t>湖南珠江啤酒有限公司</w:t>
            </w:r>
          </w:p>
        </w:tc>
        <w:tc>
          <w:tcPr>
            <w:tcW w:w="340" w:type="pct"/>
            <w:tcBorders>
              <w:tl2br w:val="nil"/>
              <w:tr2bl w:val="nil"/>
            </w:tcBorders>
            <w:shd w:val="clear" w:color="auto" w:fill="auto"/>
            <w:tcMar>
              <w:top w:w="15" w:type="dxa"/>
              <w:left w:w="15" w:type="dxa"/>
              <w:right w:w="15" w:type="dxa"/>
            </w:tcMar>
            <w:vAlign w:val="center"/>
          </w:tcPr>
          <w:p w14:paraId="03F5D237">
            <w:pPr>
              <w:pStyle w:val="48"/>
              <w:rPr>
                <w:rFonts w:hint="eastAsia" w:ascii="仿宋" w:hAnsi="仿宋" w:eastAsia="仿宋" w:cs="仿宋"/>
                <w:sz w:val="21"/>
                <w:szCs w:val="21"/>
              </w:rPr>
            </w:pPr>
            <w:r>
              <w:rPr>
                <w:rFonts w:hint="eastAsia" w:ascii="仿宋" w:hAnsi="仿宋" w:eastAsia="仿宋" w:cs="仿宋"/>
                <w:sz w:val="21"/>
                <w:szCs w:val="21"/>
              </w:rPr>
              <w:t>总排口</w:t>
            </w:r>
          </w:p>
        </w:tc>
        <w:tc>
          <w:tcPr>
            <w:tcW w:w="763" w:type="pct"/>
            <w:tcBorders>
              <w:tl2br w:val="nil"/>
              <w:tr2bl w:val="nil"/>
            </w:tcBorders>
            <w:shd w:val="clear" w:color="auto" w:fill="auto"/>
            <w:tcMar>
              <w:top w:w="15" w:type="dxa"/>
              <w:left w:w="15" w:type="dxa"/>
              <w:right w:w="15" w:type="dxa"/>
            </w:tcMar>
            <w:vAlign w:val="center"/>
          </w:tcPr>
          <w:p w14:paraId="7BD0C321">
            <w:pPr>
              <w:pStyle w:val="48"/>
              <w:rPr>
                <w:rFonts w:hint="eastAsia" w:ascii="仿宋" w:hAnsi="仿宋" w:eastAsia="仿宋" w:cs="仿宋"/>
                <w:sz w:val="21"/>
                <w:szCs w:val="21"/>
              </w:rPr>
            </w:pPr>
            <w:r>
              <w:rPr>
                <w:rFonts w:hint="eastAsia" w:ascii="仿宋" w:hAnsi="仿宋" w:eastAsia="仿宋" w:cs="仿宋"/>
                <w:sz w:val="21"/>
                <w:szCs w:val="21"/>
              </w:rPr>
              <w:t>COD、氨氮、pH值、流量    （总磷、总氮）</w:t>
            </w:r>
          </w:p>
        </w:tc>
        <w:tc>
          <w:tcPr>
            <w:tcW w:w="589" w:type="pct"/>
            <w:tcBorders>
              <w:tl2br w:val="nil"/>
              <w:tr2bl w:val="nil"/>
            </w:tcBorders>
            <w:shd w:val="clear" w:color="auto" w:fill="auto"/>
            <w:tcMar>
              <w:top w:w="15" w:type="dxa"/>
              <w:left w:w="15" w:type="dxa"/>
              <w:right w:w="15" w:type="dxa"/>
            </w:tcMar>
            <w:vAlign w:val="center"/>
          </w:tcPr>
          <w:p w14:paraId="7214C473">
            <w:pPr>
              <w:pStyle w:val="48"/>
              <w:rPr>
                <w:rFonts w:hint="eastAsia" w:ascii="仿宋" w:hAnsi="仿宋" w:eastAsia="仿宋" w:cs="仿宋"/>
                <w:sz w:val="21"/>
                <w:szCs w:val="21"/>
              </w:rPr>
            </w:pPr>
            <w:r>
              <w:rPr>
                <w:rFonts w:hint="eastAsia" w:ascii="仿宋" w:hAnsi="仿宋" w:eastAsia="仿宋" w:cs="仿宋"/>
                <w:sz w:val="21"/>
                <w:szCs w:val="21"/>
              </w:rPr>
              <w:t>是</w:t>
            </w:r>
          </w:p>
        </w:tc>
        <w:tc>
          <w:tcPr>
            <w:tcW w:w="1094" w:type="pct"/>
            <w:tcBorders>
              <w:tl2br w:val="nil"/>
              <w:tr2bl w:val="nil"/>
            </w:tcBorders>
            <w:shd w:val="clear" w:color="auto" w:fill="auto"/>
            <w:tcMar>
              <w:top w:w="15" w:type="dxa"/>
              <w:left w:w="15" w:type="dxa"/>
              <w:right w:w="15" w:type="dxa"/>
            </w:tcMar>
            <w:vAlign w:val="center"/>
          </w:tcPr>
          <w:p w14:paraId="3A96843F">
            <w:pPr>
              <w:pStyle w:val="48"/>
              <w:rPr>
                <w:rFonts w:hint="eastAsia" w:ascii="仿宋" w:hAnsi="仿宋" w:eastAsia="仿宋" w:cs="仿宋"/>
                <w:sz w:val="21"/>
                <w:szCs w:val="21"/>
              </w:rPr>
            </w:pPr>
            <w:r>
              <w:rPr>
                <w:rFonts w:hint="eastAsia" w:ascii="仿宋" w:hAnsi="仿宋" w:eastAsia="仿宋" w:cs="仿宋"/>
                <w:sz w:val="21"/>
                <w:szCs w:val="21"/>
              </w:rPr>
              <w:t>重点污染源自动监控与基础数据库系统V3.2(长天平台）</w:t>
            </w:r>
          </w:p>
        </w:tc>
        <w:tc>
          <w:tcPr>
            <w:tcW w:w="849" w:type="pct"/>
            <w:tcBorders>
              <w:tl2br w:val="nil"/>
              <w:tr2bl w:val="nil"/>
            </w:tcBorders>
            <w:shd w:val="clear" w:color="auto" w:fill="auto"/>
            <w:tcMar>
              <w:top w:w="15" w:type="dxa"/>
              <w:left w:w="15" w:type="dxa"/>
              <w:right w:w="15" w:type="dxa"/>
            </w:tcMar>
            <w:vAlign w:val="center"/>
          </w:tcPr>
          <w:p w14:paraId="1CDDA44D">
            <w:pPr>
              <w:pStyle w:val="48"/>
              <w:rPr>
                <w:rFonts w:hint="eastAsia" w:ascii="仿宋" w:hAnsi="仿宋" w:eastAsia="仿宋" w:cs="仿宋"/>
                <w:sz w:val="21"/>
                <w:szCs w:val="21"/>
              </w:rPr>
            </w:pPr>
            <w:r>
              <w:rPr>
                <w:rFonts w:hint="eastAsia" w:ascii="仿宋" w:hAnsi="仿宋" w:eastAsia="仿宋" w:cs="仿宋"/>
                <w:sz w:val="21"/>
                <w:szCs w:val="21"/>
              </w:rPr>
              <w:t>湖南益伦环境工程有限公司</w:t>
            </w:r>
          </w:p>
        </w:tc>
        <w:tc>
          <w:tcPr>
            <w:tcW w:w="607" w:type="pct"/>
            <w:tcBorders>
              <w:tl2br w:val="nil"/>
              <w:tr2bl w:val="nil"/>
            </w:tcBorders>
            <w:shd w:val="clear" w:color="auto" w:fill="auto"/>
            <w:tcMar>
              <w:top w:w="15" w:type="dxa"/>
              <w:left w:w="15" w:type="dxa"/>
              <w:right w:w="15" w:type="dxa"/>
            </w:tcMar>
            <w:vAlign w:val="center"/>
          </w:tcPr>
          <w:p w14:paraId="5A438080">
            <w:pPr>
              <w:pStyle w:val="48"/>
              <w:rPr>
                <w:rFonts w:hint="eastAsia" w:ascii="仿宋" w:hAnsi="仿宋" w:eastAsia="仿宋" w:cs="仿宋"/>
                <w:sz w:val="21"/>
                <w:szCs w:val="21"/>
              </w:rPr>
            </w:pPr>
            <w:r>
              <w:rPr>
                <w:rFonts w:hint="eastAsia" w:ascii="仿宋" w:hAnsi="仿宋" w:eastAsia="仿宋" w:cs="仿宋"/>
                <w:sz w:val="21"/>
                <w:szCs w:val="21"/>
              </w:rPr>
              <w:t>达标</w:t>
            </w:r>
          </w:p>
        </w:tc>
      </w:tr>
      <w:tr w14:paraId="4ECFF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0DE9FFE4">
            <w:pPr>
              <w:pStyle w:val="48"/>
              <w:rPr>
                <w:rFonts w:eastAsia="仿宋" w:cs="Times New Roman"/>
              </w:rPr>
            </w:pPr>
            <w:r>
              <w:rPr>
                <w:rFonts w:eastAsia="仿宋" w:cs="Times New Roman"/>
              </w:rPr>
              <w:t>2</w:t>
            </w:r>
          </w:p>
        </w:tc>
        <w:tc>
          <w:tcPr>
            <w:tcW w:w="617" w:type="pct"/>
            <w:tcBorders>
              <w:tl2br w:val="nil"/>
              <w:tr2bl w:val="nil"/>
            </w:tcBorders>
            <w:shd w:val="clear" w:color="auto" w:fill="auto"/>
            <w:tcMar>
              <w:top w:w="15" w:type="dxa"/>
              <w:left w:w="15" w:type="dxa"/>
              <w:right w:w="15" w:type="dxa"/>
            </w:tcMar>
            <w:vAlign w:val="center"/>
          </w:tcPr>
          <w:p w14:paraId="3C87F71E">
            <w:pPr>
              <w:pStyle w:val="48"/>
              <w:rPr>
                <w:rFonts w:hint="eastAsia" w:ascii="仿宋" w:hAnsi="仿宋" w:eastAsia="仿宋" w:cs="仿宋"/>
                <w:sz w:val="21"/>
                <w:szCs w:val="21"/>
              </w:rPr>
            </w:pPr>
            <w:r>
              <w:rPr>
                <w:rFonts w:hint="eastAsia" w:ascii="仿宋" w:hAnsi="仿宋" w:eastAsia="仿宋" w:cs="仿宋"/>
                <w:sz w:val="21"/>
                <w:szCs w:val="21"/>
              </w:rPr>
              <w:t>湖南胖哥耀晨食品有限公司</w:t>
            </w:r>
          </w:p>
        </w:tc>
        <w:tc>
          <w:tcPr>
            <w:tcW w:w="340" w:type="pct"/>
            <w:tcBorders>
              <w:tl2br w:val="nil"/>
              <w:tr2bl w:val="nil"/>
            </w:tcBorders>
            <w:shd w:val="clear" w:color="auto" w:fill="auto"/>
            <w:tcMar>
              <w:top w:w="15" w:type="dxa"/>
              <w:left w:w="15" w:type="dxa"/>
              <w:right w:w="15" w:type="dxa"/>
            </w:tcMar>
            <w:vAlign w:val="center"/>
          </w:tcPr>
          <w:p w14:paraId="4F2908A8">
            <w:pPr>
              <w:pStyle w:val="48"/>
              <w:rPr>
                <w:rFonts w:hint="eastAsia" w:ascii="仿宋" w:hAnsi="仿宋" w:eastAsia="仿宋" w:cs="仿宋"/>
                <w:sz w:val="21"/>
                <w:szCs w:val="21"/>
              </w:rPr>
            </w:pPr>
            <w:r>
              <w:rPr>
                <w:rFonts w:hint="eastAsia" w:ascii="仿宋" w:hAnsi="仿宋" w:eastAsia="仿宋" w:cs="仿宋"/>
                <w:sz w:val="21"/>
                <w:szCs w:val="21"/>
              </w:rPr>
              <w:t>总排口</w:t>
            </w:r>
          </w:p>
        </w:tc>
        <w:tc>
          <w:tcPr>
            <w:tcW w:w="763" w:type="pct"/>
            <w:tcBorders>
              <w:tl2br w:val="nil"/>
              <w:tr2bl w:val="nil"/>
            </w:tcBorders>
            <w:shd w:val="clear" w:color="auto" w:fill="auto"/>
            <w:tcMar>
              <w:top w:w="15" w:type="dxa"/>
              <w:left w:w="15" w:type="dxa"/>
              <w:right w:w="15" w:type="dxa"/>
            </w:tcMar>
            <w:vAlign w:val="center"/>
          </w:tcPr>
          <w:p w14:paraId="13534717">
            <w:pPr>
              <w:pStyle w:val="48"/>
              <w:rPr>
                <w:rFonts w:hint="eastAsia" w:ascii="仿宋" w:hAnsi="仿宋" w:eastAsia="仿宋" w:cs="仿宋"/>
                <w:sz w:val="21"/>
                <w:szCs w:val="21"/>
              </w:rPr>
            </w:pPr>
            <w:r>
              <w:rPr>
                <w:rFonts w:hint="eastAsia" w:ascii="仿宋" w:hAnsi="仿宋" w:eastAsia="仿宋" w:cs="仿宋"/>
                <w:sz w:val="21"/>
                <w:szCs w:val="21"/>
              </w:rPr>
              <w:t>COD、氨氮、pH值、流量</w:t>
            </w:r>
          </w:p>
        </w:tc>
        <w:tc>
          <w:tcPr>
            <w:tcW w:w="589" w:type="pct"/>
            <w:tcBorders>
              <w:tl2br w:val="nil"/>
              <w:tr2bl w:val="nil"/>
            </w:tcBorders>
            <w:shd w:val="clear" w:color="auto" w:fill="auto"/>
            <w:tcMar>
              <w:top w:w="15" w:type="dxa"/>
              <w:left w:w="15" w:type="dxa"/>
              <w:right w:w="15" w:type="dxa"/>
            </w:tcMar>
            <w:vAlign w:val="center"/>
          </w:tcPr>
          <w:p w14:paraId="19FB273A">
            <w:pPr>
              <w:pStyle w:val="48"/>
              <w:rPr>
                <w:rFonts w:hint="eastAsia" w:ascii="仿宋" w:hAnsi="仿宋" w:eastAsia="仿宋" w:cs="仿宋"/>
                <w:sz w:val="21"/>
                <w:szCs w:val="21"/>
              </w:rPr>
            </w:pPr>
            <w:r>
              <w:rPr>
                <w:rFonts w:hint="eastAsia" w:ascii="仿宋" w:hAnsi="仿宋" w:eastAsia="仿宋" w:cs="仿宋"/>
                <w:sz w:val="21"/>
                <w:szCs w:val="21"/>
              </w:rPr>
              <w:t>是</w:t>
            </w:r>
          </w:p>
        </w:tc>
        <w:tc>
          <w:tcPr>
            <w:tcW w:w="1094" w:type="pct"/>
            <w:tcBorders>
              <w:tl2br w:val="nil"/>
              <w:tr2bl w:val="nil"/>
            </w:tcBorders>
            <w:shd w:val="clear" w:color="auto" w:fill="auto"/>
            <w:tcMar>
              <w:top w:w="15" w:type="dxa"/>
              <w:left w:w="15" w:type="dxa"/>
              <w:right w:w="15" w:type="dxa"/>
            </w:tcMar>
            <w:vAlign w:val="center"/>
          </w:tcPr>
          <w:p w14:paraId="6D32677E">
            <w:pPr>
              <w:pStyle w:val="48"/>
              <w:rPr>
                <w:rFonts w:hint="eastAsia" w:ascii="仿宋" w:hAnsi="仿宋" w:eastAsia="仿宋" w:cs="仿宋"/>
                <w:sz w:val="21"/>
                <w:szCs w:val="21"/>
              </w:rPr>
            </w:pPr>
            <w:r>
              <w:rPr>
                <w:rFonts w:hint="eastAsia" w:ascii="仿宋" w:hAnsi="仿宋" w:eastAsia="仿宋" w:cs="仿宋"/>
                <w:sz w:val="21"/>
                <w:szCs w:val="21"/>
              </w:rPr>
              <w:t>重点污染源自动监控与基础数据库系统V3.2(长天平台）</w:t>
            </w:r>
          </w:p>
        </w:tc>
        <w:tc>
          <w:tcPr>
            <w:tcW w:w="849" w:type="pct"/>
            <w:tcBorders>
              <w:tl2br w:val="nil"/>
              <w:tr2bl w:val="nil"/>
            </w:tcBorders>
            <w:shd w:val="clear" w:color="auto" w:fill="auto"/>
            <w:noWrap/>
            <w:tcMar>
              <w:top w:w="15" w:type="dxa"/>
              <w:left w:w="15" w:type="dxa"/>
              <w:right w:w="15" w:type="dxa"/>
            </w:tcMar>
            <w:vAlign w:val="center"/>
          </w:tcPr>
          <w:p w14:paraId="2C88BE55">
            <w:pPr>
              <w:pStyle w:val="48"/>
              <w:rPr>
                <w:rFonts w:hint="eastAsia" w:ascii="仿宋" w:hAnsi="仿宋" w:eastAsia="仿宋" w:cs="仿宋"/>
                <w:sz w:val="21"/>
                <w:szCs w:val="21"/>
              </w:rPr>
            </w:pPr>
            <w:r>
              <w:rPr>
                <w:rFonts w:hint="eastAsia" w:ascii="仿宋" w:hAnsi="仿宋" w:eastAsia="仿宋" w:cs="仿宋"/>
                <w:sz w:val="21"/>
                <w:szCs w:val="21"/>
              </w:rPr>
              <w:t>聚光科技（杭州）股份有限公司</w:t>
            </w:r>
          </w:p>
        </w:tc>
        <w:tc>
          <w:tcPr>
            <w:tcW w:w="607" w:type="pct"/>
            <w:tcBorders>
              <w:tl2br w:val="nil"/>
              <w:tr2bl w:val="nil"/>
            </w:tcBorders>
            <w:shd w:val="clear" w:color="auto" w:fill="auto"/>
            <w:noWrap/>
            <w:tcMar>
              <w:top w:w="15" w:type="dxa"/>
              <w:left w:w="15" w:type="dxa"/>
              <w:right w:w="15" w:type="dxa"/>
            </w:tcMar>
            <w:vAlign w:val="center"/>
          </w:tcPr>
          <w:p w14:paraId="52A632BE">
            <w:pPr>
              <w:pStyle w:val="48"/>
              <w:rPr>
                <w:rFonts w:hint="eastAsia" w:ascii="仿宋" w:hAnsi="仿宋" w:eastAsia="仿宋" w:cs="仿宋"/>
                <w:sz w:val="21"/>
                <w:szCs w:val="21"/>
              </w:rPr>
            </w:pPr>
            <w:r>
              <w:rPr>
                <w:rFonts w:hint="eastAsia" w:ascii="仿宋" w:hAnsi="仿宋" w:eastAsia="仿宋" w:cs="仿宋"/>
                <w:sz w:val="21"/>
                <w:szCs w:val="21"/>
              </w:rPr>
              <w:t>达标</w:t>
            </w:r>
          </w:p>
        </w:tc>
      </w:tr>
      <w:tr w14:paraId="2378F8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163D1893">
            <w:pPr>
              <w:pStyle w:val="48"/>
              <w:rPr>
                <w:rFonts w:eastAsia="仿宋" w:cs="Times New Roman"/>
              </w:rPr>
            </w:pPr>
            <w:r>
              <w:rPr>
                <w:rFonts w:eastAsia="仿宋" w:cs="Times New Roman"/>
              </w:rPr>
              <w:t>3</w:t>
            </w:r>
          </w:p>
        </w:tc>
        <w:tc>
          <w:tcPr>
            <w:tcW w:w="617" w:type="pct"/>
            <w:tcBorders>
              <w:tl2br w:val="nil"/>
              <w:tr2bl w:val="nil"/>
            </w:tcBorders>
            <w:shd w:val="clear" w:color="auto" w:fill="auto"/>
            <w:tcMar>
              <w:top w:w="15" w:type="dxa"/>
              <w:left w:w="15" w:type="dxa"/>
              <w:right w:w="15" w:type="dxa"/>
            </w:tcMar>
            <w:vAlign w:val="center"/>
          </w:tcPr>
          <w:p w14:paraId="1552C738">
            <w:pPr>
              <w:pStyle w:val="48"/>
              <w:rPr>
                <w:rFonts w:hint="eastAsia" w:ascii="仿宋" w:hAnsi="仿宋" w:eastAsia="仿宋" w:cs="仿宋"/>
                <w:sz w:val="21"/>
                <w:szCs w:val="21"/>
              </w:rPr>
            </w:pPr>
            <w:r>
              <w:rPr>
                <w:rFonts w:hint="eastAsia" w:ascii="仿宋" w:hAnsi="仿宋" w:eastAsia="仿宋" w:cs="仿宋"/>
                <w:sz w:val="21"/>
                <w:szCs w:val="21"/>
              </w:rPr>
              <w:t>湖南伍子醉食品有限公司</w:t>
            </w:r>
          </w:p>
        </w:tc>
        <w:tc>
          <w:tcPr>
            <w:tcW w:w="340" w:type="pct"/>
            <w:tcBorders>
              <w:tl2br w:val="nil"/>
              <w:tr2bl w:val="nil"/>
            </w:tcBorders>
            <w:shd w:val="clear" w:color="auto" w:fill="auto"/>
            <w:tcMar>
              <w:top w:w="15" w:type="dxa"/>
              <w:left w:w="15" w:type="dxa"/>
              <w:right w:w="15" w:type="dxa"/>
            </w:tcMar>
            <w:vAlign w:val="center"/>
          </w:tcPr>
          <w:p w14:paraId="08C06630">
            <w:pPr>
              <w:pStyle w:val="48"/>
              <w:rPr>
                <w:rFonts w:hint="eastAsia" w:ascii="仿宋" w:hAnsi="仿宋" w:eastAsia="仿宋" w:cs="仿宋"/>
                <w:sz w:val="21"/>
                <w:szCs w:val="21"/>
              </w:rPr>
            </w:pPr>
            <w:r>
              <w:rPr>
                <w:rFonts w:hint="eastAsia" w:ascii="仿宋" w:hAnsi="仿宋" w:eastAsia="仿宋" w:cs="仿宋"/>
                <w:sz w:val="21"/>
                <w:szCs w:val="21"/>
              </w:rPr>
              <w:t>总排口</w:t>
            </w:r>
          </w:p>
        </w:tc>
        <w:tc>
          <w:tcPr>
            <w:tcW w:w="763" w:type="pct"/>
            <w:tcBorders>
              <w:tl2br w:val="nil"/>
              <w:tr2bl w:val="nil"/>
            </w:tcBorders>
            <w:shd w:val="clear" w:color="auto" w:fill="auto"/>
            <w:tcMar>
              <w:top w:w="15" w:type="dxa"/>
              <w:left w:w="15" w:type="dxa"/>
              <w:right w:w="15" w:type="dxa"/>
            </w:tcMar>
            <w:vAlign w:val="center"/>
          </w:tcPr>
          <w:p w14:paraId="65A155AD">
            <w:pPr>
              <w:pStyle w:val="48"/>
              <w:rPr>
                <w:rFonts w:hint="eastAsia" w:ascii="仿宋" w:hAnsi="仿宋" w:eastAsia="仿宋" w:cs="仿宋"/>
                <w:sz w:val="21"/>
                <w:szCs w:val="21"/>
              </w:rPr>
            </w:pPr>
            <w:r>
              <w:rPr>
                <w:rFonts w:hint="eastAsia" w:ascii="仿宋" w:hAnsi="仿宋" w:eastAsia="仿宋" w:cs="仿宋"/>
                <w:sz w:val="21"/>
                <w:szCs w:val="21"/>
              </w:rPr>
              <w:t>COD、氨氮、pH值、流量</w:t>
            </w:r>
          </w:p>
        </w:tc>
        <w:tc>
          <w:tcPr>
            <w:tcW w:w="589" w:type="pct"/>
            <w:tcBorders>
              <w:tl2br w:val="nil"/>
              <w:tr2bl w:val="nil"/>
            </w:tcBorders>
            <w:shd w:val="clear" w:color="auto" w:fill="auto"/>
            <w:tcMar>
              <w:top w:w="15" w:type="dxa"/>
              <w:left w:w="15" w:type="dxa"/>
              <w:right w:w="15" w:type="dxa"/>
            </w:tcMar>
            <w:vAlign w:val="center"/>
          </w:tcPr>
          <w:p w14:paraId="2EE402A4">
            <w:pPr>
              <w:pStyle w:val="48"/>
              <w:rPr>
                <w:rFonts w:hint="eastAsia" w:ascii="仿宋" w:hAnsi="仿宋" w:eastAsia="仿宋" w:cs="仿宋"/>
                <w:sz w:val="21"/>
                <w:szCs w:val="21"/>
              </w:rPr>
            </w:pPr>
            <w:r>
              <w:rPr>
                <w:rFonts w:hint="eastAsia" w:ascii="仿宋" w:hAnsi="仿宋" w:eastAsia="仿宋" w:cs="仿宋"/>
                <w:sz w:val="21"/>
                <w:szCs w:val="21"/>
              </w:rPr>
              <w:t>是</w:t>
            </w:r>
          </w:p>
        </w:tc>
        <w:tc>
          <w:tcPr>
            <w:tcW w:w="1094" w:type="pct"/>
            <w:tcBorders>
              <w:tl2br w:val="nil"/>
              <w:tr2bl w:val="nil"/>
            </w:tcBorders>
            <w:shd w:val="clear" w:color="auto" w:fill="auto"/>
            <w:tcMar>
              <w:top w:w="15" w:type="dxa"/>
              <w:left w:w="15" w:type="dxa"/>
              <w:right w:w="15" w:type="dxa"/>
            </w:tcMar>
            <w:vAlign w:val="center"/>
          </w:tcPr>
          <w:p w14:paraId="261DC451">
            <w:pPr>
              <w:pStyle w:val="48"/>
              <w:rPr>
                <w:rFonts w:hint="eastAsia" w:ascii="仿宋" w:hAnsi="仿宋" w:eastAsia="仿宋" w:cs="仿宋"/>
                <w:sz w:val="21"/>
                <w:szCs w:val="21"/>
              </w:rPr>
            </w:pPr>
            <w:r>
              <w:rPr>
                <w:rFonts w:hint="eastAsia" w:ascii="仿宋" w:hAnsi="仿宋" w:eastAsia="仿宋" w:cs="仿宋"/>
                <w:sz w:val="21"/>
                <w:szCs w:val="21"/>
              </w:rPr>
              <w:t>重点污染源自动监控与基础数据库系统V3.2(长天平台）</w:t>
            </w:r>
          </w:p>
        </w:tc>
        <w:tc>
          <w:tcPr>
            <w:tcW w:w="849" w:type="pct"/>
            <w:tcBorders>
              <w:tl2br w:val="nil"/>
              <w:tr2bl w:val="nil"/>
            </w:tcBorders>
            <w:shd w:val="clear" w:color="auto" w:fill="auto"/>
            <w:noWrap/>
            <w:tcMar>
              <w:top w:w="15" w:type="dxa"/>
              <w:left w:w="15" w:type="dxa"/>
              <w:right w:w="15" w:type="dxa"/>
            </w:tcMar>
            <w:vAlign w:val="center"/>
          </w:tcPr>
          <w:p w14:paraId="65DDFD5C">
            <w:pPr>
              <w:pStyle w:val="48"/>
              <w:rPr>
                <w:rFonts w:hint="eastAsia" w:ascii="仿宋" w:hAnsi="仿宋" w:eastAsia="仿宋" w:cs="仿宋"/>
                <w:sz w:val="21"/>
                <w:szCs w:val="21"/>
              </w:rPr>
            </w:pPr>
            <w:r>
              <w:rPr>
                <w:rFonts w:hint="eastAsia" w:ascii="仿宋" w:hAnsi="仿宋" w:eastAsia="仿宋" w:cs="仿宋"/>
                <w:sz w:val="21"/>
                <w:szCs w:val="21"/>
              </w:rPr>
              <w:t>聚光科技（杭州）股份有限公司</w:t>
            </w:r>
          </w:p>
        </w:tc>
        <w:tc>
          <w:tcPr>
            <w:tcW w:w="607" w:type="pct"/>
            <w:tcBorders>
              <w:tl2br w:val="nil"/>
              <w:tr2bl w:val="nil"/>
            </w:tcBorders>
            <w:shd w:val="clear" w:color="auto" w:fill="auto"/>
            <w:noWrap/>
            <w:tcMar>
              <w:top w:w="15" w:type="dxa"/>
              <w:left w:w="15" w:type="dxa"/>
              <w:right w:w="15" w:type="dxa"/>
            </w:tcMar>
            <w:vAlign w:val="center"/>
          </w:tcPr>
          <w:p w14:paraId="337A04EE">
            <w:pPr>
              <w:pStyle w:val="48"/>
              <w:rPr>
                <w:rFonts w:hint="eastAsia" w:ascii="仿宋" w:hAnsi="仿宋" w:eastAsia="仿宋" w:cs="仿宋"/>
                <w:sz w:val="21"/>
                <w:szCs w:val="21"/>
              </w:rPr>
            </w:pPr>
            <w:r>
              <w:rPr>
                <w:rFonts w:hint="eastAsia" w:ascii="仿宋" w:hAnsi="仿宋" w:eastAsia="仿宋" w:cs="仿宋"/>
                <w:sz w:val="21"/>
                <w:szCs w:val="21"/>
              </w:rPr>
              <w:t>达标</w:t>
            </w:r>
          </w:p>
        </w:tc>
      </w:tr>
      <w:tr w14:paraId="798373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76040555">
            <w:pPr>
              <w:pStyle w:val="48"/>
              <w:rPr>
                <w:rFonts w:eastAsia="仿宋" w:cs="Times New Roman"/>
              </w:rPr>
            </w:pPr>
            <w:r>
              <w:rPr>
                <w:rFonts w:eastAsia="仿宋" w:cs="Times New Roman"/>
              </w:rPr>
              <w:t>4</w:t>
            </w:r>
          </w:p>
        </w:tc>
        <w:tc>
          <w:tcPr>
            <w:tcW w:w="617" w:type="pct"/>
            <w:tcBorders>
              <w:tl2br w:val="nil"/>
              <w:tr2bl w:val="nil"/>
            </w:tcBorders>
            <w:shd w:val="clear" w:color="auto" w:fill="auto"/>
            <w:tcMar>
              <w:top w:w="15" w:type="dxa"/>
              <w:left w:w="15" w:type="dxa"/>
              <w:right w:w="15" w:type="dxa"/>
            </w:tcMar>
            <w:vAlign w:val="center"/>
          </w:tcPr>
          <w:p w14:paraId="53A88A95">
            <w:pPr>
              <w:pStyle w:val="48"/>
              <w:rPr>
                <w:rFonts w:hint="eastAsia" w:ascii="仿宋" w:hAnsi="仿宋" w:eastAsia="仿宋" w:cs="仿宋"/>
                <w:sz w:val="21"/>
                <w:szCs w:val="21"/>
              </w:rPr>
            </w:pPr>
            <w:r>
              <w:rPr>
                <w:rFonts w:hint="eastAsia" w:ascii="仿宋" w:hAnsi="仿宋" w:eastAsia="仿宋" w:cs="仿宋"/>
                <w:sz w:val="21"/>
                <w:szCs w:val="21"/>
              </w:rPr>
              <w:t>湖南小龙王食品有限公司</w:t>
            </w:r>
          </w:p>
        </w:tc>
        <w:tc>
          <w:tcPr>
            <w:tcW w:w="340" w:type="pct"/>
            <w:tcBorders>
              <w:tl2br w:val="nil"/>
              <w:tr2bl w:val="nil"/>
            </w:tcBorders>
            <w:shd w:val="clear" w:color="auto" w:fill="auto"/>
            <w:tcMar>
              <w:top w:w="15" w:type="dxa"/>
              <w:left w:w="15" w:type="dxa"/>
              <w:right w:w="15" w:type="dxa"/>
            </w:tcMar>
            <w:vAlign w:val="center"/>
          </w:tcPr>
          <w:p w14:paraId="7CA9EBD4">
            <w:pPr>
              <w:pStyle w:val="48"/>
              <w:rPr>
                <w:rFonts w:hint="eastAsia" w:ascii="仿宋" w:hAnsi="仿宋" w:eastAsia="仿宋" w:cs="仿宋"/>
                <w:sz w:val="21"/>
                <w:szCs w:val="21"/>
              </w:rPr>
            </w:pPr>
            <w:r>
              <w:rPr>
                <w:rFonts w:hint="eastAsia" w:ascii="仿宋" w:hAnsi="仿宋" w:eastAsia="仿宋" w:cs="仿宋"/>
                <w:sz w:val="21"/>
                <w:szCs w:val="21"/>
              </w:rPr>
              <w:t>总排口</w:t>
            </w:r>
          </w:p>
        </w:tc>
        <w:tc>
          <w:tcPr>
            <w:tcW w:w="763" w:type="pct"/>
            <w:tcBorders>
              <w:tl2br w:val="nil"/>
              <w:tr2bl w:val="nil"/>
            </w:tcBorders>
            <w:shd w:val="clear" w:color="auto" w:fill="auto"/>
            <w:tcMar>
              <w:top w:w="15" w:type="dxa"/>
              <w:left w:w="15" w:type="dxa"/>
              <w:right w:w="15" w:type="dxa"/>
            </w:tcMar>
            <w:vAlign w:val="center"/>
          </w:tcPr>
          <w:p w14:paraId="2A212EC6">
            <w:pPr>
              <w:pStyle w:val="48"/>
              <w:rPr>
                <w:rFonts w:hint="eastAsia" w:ascii="仿宋" w:hAnsi="仿宋" w:eastAsia="仿宋" w:cs="仿宋"/>
                <w:sz w:val="21"/>
                <w:szCs w:val="21"/>
              </w:rPr>
            </w:pPr>
            <w:r>
              <w:rPr>
                <w:rFonts w:hint="eastAsia" w:ascii="仿宋" w:hAnsi="仿宋" w:eastAsia="仿宋" w:cs="仿宋"/>
                <w:sz w:val="21"/>
                <w:szCs w:val="21"/>
              </w:rPr>
              <w:t>COD、氨氮、pH值、流量</w:t>
            </w:r>
          </w:p>
        </w:tc>
        <w:tc>
          <w:tcPr>
            <w:tcW w:w="589" w:type="pct"/>
            <w:tcBorders>
              <w:tl2br w:val="nil"/>
              <w:tr2bl w:val="nil"/>
            </w:tcBorders>
            <w:shd w:val="clear" w:color="auto" w:fill="auto"/>
            <w:tcMar>
              <w:top w:w="15" w:type="dxa"/>
              <w:left w:w="15" w:type="dxa"/>
              <w:right w:w="15" w:type="dxa"/>
            </w:tcMar>
            <w:vAlign w:val="center"/>
          </w:tcPr>
          <w:p w14:paraId="068D7AB2">
            <w:pPr>
              <w:pStyle w:val="48"/>
              <w:rPr>
                <w:rFonts w:hint="eastAsia" w:ascii="仿宋" w:hAnsi="仿宋" w:eastAsia="仿宋" w:cs="仿宋"/>
                <w:sz w:val="21"/>
                <w:szCs w:val="21"/>
              </w:rPr>
            </w:pPr>
            <w:r>
              <w:rPr>
                <w:rFonts w:hint="eastAsia" w:ascii="仿宋" w:hAnsi="仿宋" w:eastAsia="仿宋" w:cs="仿宋"/>
                <w:sz w:val="21"/>
                <w:szCs w:val="21"/>
              </w:rPr>
              <w:t>是</w:t>
            </w:r>
          </w:p>
        </w:tc>
        <w:tc>
          <w:tcPr>
            <w:tcW w:w="1094" w:type="pct"/>
            <w:tcBorders>
              <w:tl2br w:val="nil"/>
              <w:tr2bl w:val="nil"/>
            </w:tcBorders>
            <w:shd w:val="clear" w:color="auto" w:fill="auto"/>
            <w:tcMar>
              <w:top w:w="15" w:type="dxa"/>
              <w:left w:w="15" w:type="dxa"/>
              <w:right w:w="15" w:type="dxa"/>
            </w:tcMar>
            <w:vAlign w:val="center"/>
          </w:tcPr>
          <w:p w14:paraId="0BB8B263">
            <w:pPr>
              <w:pStyle w:val="48"/>
              <w:rPr>
                <w:rFonts w:hint="eastAsia" w:ascii="仿宋" w:hAnsi="仿宋" w:eastAsia="仿宋" w:cs="仿宋"/>
                <w:sz w:val="21"/>
                <w:szCs w:val="21"/>
              </w:rPr>
            </w:pPr>
            <w:r>
              <w:rPr>
                <w:rFonts w:hint="eastAsia" w:ascii="仿宋" w:hAnsi="仿宋" w:eastAsia="仿宋" w:cs="仿宋"/>
                <w:sz w:val="21"/>
                <w:szCs w:val="21"/>
              </w:rPr>
              <w:t>重点污染源自动监控与基础数据库系统V3.2(长天平台）</w:t>
            </w:r>
          </w:p>
        </w:tc>
        <w:tc>
          <w:tcPr>
            <w:tcW w:w="849" w:type="pct"/>
            <w:tcBorders>
              <w:tl2br w:val="nil"/>
              <w:tr2bl w:val="nil"/>
            </w:tcBorders>
            <w:shd w:val="clear" w:color="auto" w:fill="auto"/>
            <w:noWrap/>
            <w:tcMar>
              <w:top w:w="15" w:type="dxa"/>
              <w:left w:w="15" w:type="dxa"/>
              <w:right w:w="15" w:type="dxa"/>
            </w:tcMar>
            <w:vAlign w:val="center"/>
          </w:tcPr>
          <w:p w14:paraId="1C6B3A1E">
            <w:pPr>
              <w:pStyle w:val="48"/>
              <w:rPr>
                <w:rFonts w:hint="eastAsia" w:ascii="仿宋" w:hAnsi="仿宋" w:eastAsia="仿宋" w:cs="仿宋"/>
                <w:sz w:val="21"/>
                <w:szCs w:val="21"/>
              </w:rPr>
            </w:pPr>
            <w:r>
              <w:rPr>
                <w:rFonts w:hint="eastAsia" w:ascii="仿宋" w:hAnsi="仿宋" w:eastAsia="仿宋" w:cs="仿宋"/>
                <w:sz w:val="21"/>
                <w:szCs w:val="21"/>
              </w:rPr>
              <w:t>聚光科技（杭州）股份有限公司</w:t>
            </w:r>
          </w:p>
        </w:tc>
        <w:tc>
          <w:tcPr>
            <w:tcW w:w="607" w:type="pct"/>
            <w:tcBorders>
              <w:tl2br w:val="nil"/>
              <w:tr2bl w:val="nil"/>
            </w:tcBorders>
            <w:shd w:val="clear" w:color="auto" w:fill="auto"/>
            <w:noWrap/>
            <w:tcMar>
              <w:top w:w="15" w:type="dxa"/>
              <w:left w:w="15" w:type="dxa"/>
              <w:right w:w="15" w:type="dxa"/>
            </w:tcMar>
            <w:vAlign w:val="center"/>
          </w:tcPr>
          <w:p w14:paraId="2396DF33">
            <w:pPr>
              <w:pStyle w:val="48"/>
              <w:rPr>
                <w:rFonts w:hint="eastAsia" w:ascii="仿宋" w:hAnsi="仿宋" w:eastAsia="仿宋" w:cs="仿宋"/>
                <w:sz w:val="21"/>
                <w:szCs w:val="21"/>
              </w:rPr>
            </w:pPr>
            <w:r>
              <w:rPr>
                <w:rFonts w:hint="eastAsia" w:ascii="仿宋" w:hAnsi="仿宋" w:eastAsia="仿宋" w:cs="仿宋"/>
                <w:sz w:val="21"/>
                <w:szCs w:val="21"/>
              </w:rPr>
              <w:t>达标</w:t>
            </w:r>
          </w:p>
        </w:tc>
      </w:tr>
      <w:tr w14:paraId="1CB401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1244B528">
            <w:pPr>
              <w:pStyle w:val="48"/>
              <w:rPr>
                <w:rFonts w:eastAsia="仿宋" w:cs="Times New Roman"/>
              </w:rPr>
            </w:pPr>
            <w:r>
              <w:rPr>
                <w:rFonts w:eastAsia="仿宋" w:cs="Times New Roman"/>
              </w:rPr>
              <w:t>5</w:t>
            </w:r>
          </w:p>
        </w:tc>
        <w:tc>
          <w:tcPr>
            <w:tcW w:w="617" w:type="pct"/>
            <w:tcBorders>
              <w:tl2br w:val="nil"/>
              <w:tr2bl w:val="nil"/>
            </w:tcBorders>
            <w:shd w:val="clear" w:color="auto" w:fill="auto"/>
            <w:tcMar>
              <w:top w:w="15" w:type="dxa"/>
              <w:left w:w="15" w:type="dxa"/>
              <w:right w:w="15" w:type="dxa"/>
            </w:tcMar>
            <w:vAlign w:val="center"/>
          </w:tcPr>
          <w:p w14:paraId="5CBE2A3F">
            <w:pPr>
              <w:pStyle w:val="48"/>
              <w:rPr>
                <w:rFonts w:hint="eastAsia" w:ascii="仿宋" w:hAnsi="仿宋" w:eastAsia="仿宋" w:cs="仿宋"/>
                <w:sz w:val="21"/>
                <w:szCs w:val="21"/>
              </w:rPr>
            </w:pPr>
            <w:r>
              <w:rPr>
                <w:rFonts w:hint="eastAsia" w:ascii="仿宋" w:hAnsi="仿宋" w:eastAsia="仿宋" w:cs="仿宋"/>
                <w:sz w:val="21"/>
                <w:szCs w:val="21"/>
              </w:rPr>
              <w:t>湖南皇爷实业有限公司</w:t>
            </w:r>
          </w:p>
        </w:tc>
        <w:tc>
          <w:tcPr>
            <w:tcW w:w="340" w:type="pct"/>
            <w:tcBorders>
              <w:tl2br w:val="nil"/>
              <w:tr2bl w:val="nil"/>
            </w:tcBorders>
            <w:shd w:val="clear" w:color="auto" w:fill="auto"/>
            <w:tcMar>
              <w:top w:w="15" w:type="dxa"/>
              <w:left w:w="15" w:type="dxa"/>
              <w:right w:w="15" w:type="dxa"/>
            </w:tcMar>
            <w:vAlign w:val="center"/>
          </w:tcPr>
          <w:p w14:paraId="6C55B08E">
            <w:pPr>
              <w:pStyle w:val="48"/>
              <w:rPr>
                <w:rFonts w:hint="eastAsia" w:ascii="仿宋" w:hAnsi="仿宋" w:eastAsia="仿宋" w:cs="仿宋"/>
                <w:sz w:val="21"/>
                <w:szCs w:val="21"/>
              </w:rPr>
            </w:pPr>
            <w:r>
              <w:rPr>
                <w:rFonts w:hint="eastAsia" w:ascii="仿宋" w:hAnsi="仿宋" w:eastAsia="仿宋" w:cs="仿宋"/>
                <w:sz w:val="21"/>
                <w:szCs w:val="21"/>
              </w:rPr>
              <w:t>总排口</w:t>
            </w:r>
          </w:p>
        </w:tc>
        <w:tc>
          <w:tcPr>
            <w:tcW w:w="763" w:type="pct"/>
            <w:tcBorders>
              <w:tl2br w:val="nil"/>
              <w:tr2bl w:val="nil"/>
            </w:tcBorders>
            <w:shd w:val="clear" w:color="auto" w:fill="auto"/>
            <w:tcMar>
              <w:top w:w="15" w:type="dxa"/>
              <w:left w:w="15" w:type="dxa"/>
              <w:right w:w="15" w:type="dxa"/>
            </w:tcMar>
            <w:vAlign w:val="center"/>
          </w:tcPr>
          <w:p w14:paraId="57BECBED">
            <w:pPr>
              <w:pStyle w:val="48"/>
              <w:rPr>
                <w:rFonts w:hint="eastAsia" w:ascii="仿宋" w:hAnsi="仿宋" w:eastAsia="仿宋" w:cs="仿宋"/>
                <w:sz w:val="21"/>
                <w:szCs w:val="21"/>
              </w:rPr>
            </w:pPr>
            <w:r>
              <w:rPr>
                <w:rFonts w:hint="eastAsia" w:ascii="仿宋" w:hAnsi="仿宋" w:eastAsia="仿宋" w:cs="仿宋"/>
                <w:sz w:val="21"/>
                <w:szCs w:val="21"/>
              </w:rPr>
              <w:t>COD、氨氮、流量</w:t>
            </w:r>
          </w:p>
        </w:tc>
        <w:tc>
          <w:tcPr>
            <w:tcW w:w="589" w:type="pct"/>
            <w:tcBorders>
              <w:tl2br w:val="nil"/>
              <w:tr2bl w:val="nil"/>
            </w:tcBorders>
            <w:shd w:val="clear" w:color="auto" w:fill="auto"/>
            <w:tcMar>
              <w:top w:w="15" w:type="dxa"/>
              <w:left w:w="15" w:type="dxa"/>
              <w:right w:w="15" w:type="dxa"/>
            </w:tcMar>
            <w:vAlign w:val="center"/>
          </w:tcPr>
          <w:p w14:paraId="15429AA9">
            <w:pPr>
              <w:pStyle w:val="48"/>
              <w:rPr>
                <w:rFonts w:hint="eastAsia" w:ascii="仿宋" w:hAnsi="仿宋" w:eastAsia="仿宋" w:cs="仿宋"/>
                <w:sz w:val="21"/>
                <w:szCs w:val="21"/>
              </w:rPr>
            </w:pPr>
            <w:r>
              <w:rPr>
                <w:rFonts w:hint="eastAsia" w:ascii="仿宋" w:hAnsi="仿宋" w:eastAsia="仿宋" w:cs="仿宋"/>
                <w:sz w:val="21"/>
                <w:szCs w:val="21"/>
              </w:rPr>
              <w:t>是</w:t>
            </w:r>
          </w:p>
        </w:tc>
        <w:tc>
          <w:tcPr>
            <w:tcW w:w="1094" w:type="pct"/>
            <w:tcBorders>
              <w:tl2br w:val="nil"/>
              <w:tr2bl w:val="nil"/>
            </w:tcBorders>
            <w:shd w:val="clear" w:color="auto" w:fill="auto"/>
            <w:tcMar>
              <w:top w:w="15" w:type="dxa"/>
              <w:left w:w="15" w:type="dxa"/>
              <w:right w:w="15" w:type="dxa"/>
            </w:tcMar>
            <w:vAlign w:val="center"/>
          </w:tcPr>
          <w:p w14:paraId="2E628B47">
            <w:pPr>
              <w:pStyle w:val="48"/>
              <w:rPr>
                <w:rFonts w:hint="eastAsia" w:ascii="仿宋" w:hAnsi="仿宋" w:eastAsia="仿宋" w:cs="仿宋"/>
                <w:sz w:val="21"/>
                <w:szCs w:val="21"/>
              </w:rPr>
            </w:pPr>
            <w:r>
              <w:rPr>
                <w:rFonts w:hint="eastAsia" w:ascii="仿宋" w:hAnsi="仿宋" w:eastAsia="仿宋" w:cs="仿宋"/>
                <w:sz w:val="21"/>
                <w:szCs w:val="21"/>
              </w:rPr>
              <w:t>湘潭市污染源自动监控管理平台（力合平台）</w:t>
            </w:r>
          </w:p>
        </w:tc>
        <w:tc>
          <w:tcPr>
            <w:tcW w:w="849" w:type="pct"/>
            <w:tcBorders>
              <w:tl2br w:val="nil"/>
              <w:tr2bl w:val="nil"/>
            </w:tcBorders>
            <w:shd w:val="clear" w:color="auto" w:fill="auto"/>
            <w:tcMar>
              <w:top w:w="15" w:type="dxa"/>
              <w:left w:w="15" w:type="dxa"/>
              <w:right w:w="15" w:type="dxa"/>
            </w:tcMar>
            <w:vAlign w:val="center"/>
          </w:tcPr>
          <w:p w14:paraId="3428C1DC">
            <w:pPr>
              <w:pStyle w:val="48"/>
              <w:rPr>
                <w:rFonts w:hint="eastAsia" w:ascii="仿宋" w:hAnsi="仿宋" w:eastAsia="仿宋" w:cs="仿宋"/>
                <w:sz w:val="21"/>
                <w:szCs w:val="21"/>
              </w:rPr>
            </w:pPr>
            <w:r>
              <w:rPr>
                <w:rFonts w:hint="eastAsia" w:ascii="仿宋" w:hAnsi="仿宋" w:eastAsia="仿宋" w:cs="仿宋"/>
                <w:sz w:val="21"/>
                <w:szCs w:val="21"/>
              </w:rPr>
              <w:t>湖南盈展环境科技有限公司</w:t>
            </w:r>
          </w:p>
        </w:tc>
        <w:tc>
          <w:tcPr>
            <w:tcW w:w="607" w:type="pct"/>
            <w:tcBorders>
              <w:tl2br w:val="nil"/>
              <w:tr2bl w:val="nil"/>
            </w:tcBorders>
            <w:shd w:val="clear" w:color="auto" w:fill="auto"/>
            <w:tcMar>
              <w:top w:w="15" w:type="dxa"/>
              <w:left w:w="15" w:type="dxa"/>
              <w:right w:w="15" w:type="dxa"/>
            </w:tcMar>
            <w:vAlign w:val="center"/>
          </w:tcPr>
          <w:p w14:paraId="7F3EBC79">
            <w:pPr>
              <w:pStyle w:val="48"/>
              <w:rPr>
                <w:rFonts w:hint="eastAsia" w:ascii="仿宋" w:hAnsi="仿宋" w:eastAsia="仿宋" w:cs="仿宋"/>
                <w:sz w:val="21"/>
                <w:szCs w:val="21"/>
              </w:rPr>
            </w:pPr>
            <w:r>
              <w:rPr>
                <w:rFonts w:hint="eastAsia" w:ascii="仿宋" w:hAnsi="仿宋" w:eastAsia="仿宋" w:cs="仿宋"/>
                <w:sz w:val="21"/>
                <w:szCs w:val="21"/>
              </w:rPr>
              <w:t>达标</w:t>
            </w:r>
          </w:p>
        </w:tc>
      </w:tr>
      <w:tr w14:paraId="409F8E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37" w:type="pct"/>
            <w:tcBorders>
              <w:tl2br w:val="nil"/>
              <w:tr2bl w:val="nil"/>
            </w:tcBorders>
            <w:shd w:val="clear" w:color="auto" w:fill="auto"/>
            <w:tcMar>
              <w:top w:w="15" w:type="dxa"/>
              <w:left w:w="15" w:type="dxa"/>
              <w:right w:w="15" w:type="dxa"/>
            </w:tcMar>
            <w:vAlign w:val="center"/>
          </w:tcPr>
          <w:p w14:paraId="1550A22E">
            <w:pPr>
              <w:pStyle w:val="48"/>
              <w:rPr>
                <w:rFonts w:eastAsia="仿宋" w:cs="Times New Roman"/>
              </w:rPr>
            </w:pPr>
            <w:r>
              <w:rPr>
                <w:rFonts w:hint="eastAsia" w:eastAsia="仿宋" w:cs="Times New Roman"/>
              </w:rPr>
              <w:t>6</w:t>
            </w:r>
          </w:p>
        </w:tc>
        <w:tc>
          <w:tcPr>
            <w:tcW w:w="617" w:type="pct"/>
            <w:tcBorders>
              <w:tl2br w:val="nil"/>
              <w:tr2bl w:val="nil"/>
            </w:tcBorders>
            <w:shd w:val="clear" w:color="auto" w:fill="auto"/>
            <w:tcMar>
              <w:top w:w="15" w:type="dxa"/>
              <w:left w:w="15" w:type="dxa"/>
              <w:right w:w="15" w:type="dxa"/>
            </w:tcMar>
            <w:vAlign w:val="center"/>
          </w:tcPr>
          <w:p w14:paraId="09740B07">
            <w:pPr>
              <w:pStyle w:val="48"/>
              <w:rPr>
                <w:rFonts w:hint="eastAsia" w:ascii="仿宋" w:hAnsi="仿宋" w:eastAsia="仿宋" w:cs="仿宋"/>
                <w:sz w:val="21"/>
                <w:szCs w:val="21"/>
              </w:rPr>
            </w:pPr>
            <w:r>
              <w:rPr>
                <w:rFonts w:hint="eastAsia" w:ascii="仿宋" w:hAnsi="仿宋" w:eastAsia="仿宋" w:cs="仿宋"/>
                <w:sz w:val="21"/>
                <w:szCs w:val="21"/>
              </w:rPr>
              <w:t>湖南信诺颜料科技有限公司</w:t>
            </w:r>
          </w:p>
        </w:tc>
        <w:tc>
          <w:tcPr>
            <w:tcW w:w="340" w:type="pct"/>
            <w:tcBorders>
              <w:tl2br w:val="nil"/>
              <w:tr2bl w:val="nil"/>
            </w:tcBorders>
            <w:shd w:val="clear" w:color="auto" w:fill="auto"/>
            <w:tcMar>
              <w:top w:w="15" w:type="dxa"/>
              <w:left w:w="15" w:type="dxa"/>
              <w:right w:w="15" w:type="dxa"/>
            </w:tcMar>
            <w:vAlign w:val="center"/>
          </w:tcPr>
          <w:p w14:paraId="15415294">
            <w:pPr>
              <w:pStyle w:val="48"/>
              <w:rPr>
                <w:rFonts w:hint="eastAsia" w:ascii="仿宋" w:hAnsi="仿宋" w:eastAsia="仿宋" w:cs="仿宋"/>
                <w:sz w:val="21"/>
                <w:szCs w:val="21"/>
              </w:rPr>
            </w:pPr>
            <w:r>
              <w:rPr>
                <w:rFonts w:hint="eastAsia" w:ascii="仿宋" w:hAnsi="仿宋" w:eastAsia="仿宋" w:cs="仿宋"/>
                <w:sz w:val="21"/>
                <w:szCs w:val="21"/>
              </w:rPr>
              <w:t>总排口</w:t>
            </w:r>
          </w:p>
        </w:tc>
        <w:tc>
          <w:tcPr>
            <w:tcW w:w="763" w:type="pct"/>
            <w:tcBorders>
              <w:tl2br w:val="nil"/>
              <w:tr2bl w:val="nil"/>
            </w:tcBorders>
            <w:shd w:val="clear" w:color="auto" w:fill="auto"/>
            <w:tcMar>
              <w:top w:w="15" w:type="dxa"/>
              <w:left w:w="15" w:type="dxa"/>
              <w:right w:w="15" w:type="dxa"/>
            </w:tcMar>
            <w:vAlign w:val="center"/>
          </w:tcPr>
          <w:p w14:paraId="7068AD57">
            <w:pPr>
              <w:pStyle w:val="48"/>
              <w:rPr>
                <w:rFonts w:hint="eastAsia" w:ascii="仿宋" w:hAnsi="仿宋" w:eastAsia="仿宋" w:cs="仿宋"/>
                <w:sz w:val="21"/>
                <w:szCs w:val="21"/>
              </w:rPr>
            </w:pPr>
            <w:r>
              <w:rPr>
                <w:rFonts w:hint="eastAsia" w:ascii="仿宋" w:hAnsi="仿宋" w:eastAsia="仿宋" w:cs="仿宋"/>
                <w:sz w:val="21"/>
                <w:szCs w:val="21"/>
              </w:rPr>
              <w:t>六价铬、总铜、pH</w:t>
            </w:r>
          </w:p>
        </w:tc>
        <w:tc>
          <w:tcPr>
            <w:tcW w:w="589" w:type="pct"/>
            <w:tcBorders>
              <w:tl2br w:val="nil"/>
              <w:tr2bl w:val="nil"/>
            </w:tcBorders>
            <w:shd w:val="clear" w:color="auto" w:fill="auto"/>
            <w:tcMar>
              <w:top w:w="15" w:type="dxa"/>
              <w:left w:w="15" w:type="dxa"/>
              <w:right w:w="15" w:type="dxa"/>
            </w:tcMar>
            <w:vAlign w:val="center"/>
          </w:tcPr>
          <w:p w14:paraId="35064C5E">
            <w:pPr>
              <w:pStyle w:val="48"/>
              <w:rPr>
                <w:rFonts w:hint="eastAsia" w:ascii="仿宋" w:hAnsi="仿宋" w:eastAsia="仿宋" w:cs="仿宋"/>
                <w:sz w:val="21"/>
                <w:szCs w:val="21"/>
              </w:rPr>
            </w:pPr>
            <w:r>
              <w:rPr>
                <w:rFonts w:hint="eastAsia" w:ascii="仿宋" w:hAnsi="仿宋" w:eastAsia="仿宋" w:cs="仿宋"/>
                <w:sz w:val="21"/>
                <w:szCs w:val="21"/>
              </w:rPr>
              <w:t>是</w:t>
            </w:r>
          </w:p>
        </w:tc>
        <w:tc>
          <w:tcPr>
            <w:tcW w:w="1094" w:type="pct"/>
            <w:tcBorders>
              <w:tl2br w:val="nil"/>
              <w:tr2bl w:val="nil"/>
            </w:tcBorders>
            <w:shd w:val="clear" w:color="auto" w:fill="auto"/>
            <w:tcMar>
              <w:top w:w="15" w:type="dxa"/>
              <w:left w:w="15" w:type="dxa"/>
              <w:right w:w="15" w:type="dxa"/>
            </w:tcMar>
            <w:vAlign w:val="center"/>
          </w:tcPr>
          <w:p w14:paraId="366C4D53">
            <w:pPr>
              <w:pStyle w:val="48"/>
              <w:rPr>
                <w:rFonts w:hint="eastAsia" w:ascii="仿宋" w:hAnsi="仿宋" w:eastAsia="仿宋" w:cs="仿宋"/>
                <w:sz w:val="21"/>
                <w:szCs w:val="21"/>
              </w:rPr>
            </w:pPr>
            <w:r>
              <w:rPr>
                <w:rFonts w:hint="eastAsia" w:ascii="仿宋" w:hAnsi="仿宋" w:eastAsia="仿宋" w:cs="仿宋"/>
                <w:sz w:val="21"/>
                <w:szCs w:val="21"/>
              </w:rPr>
              <w:t>湘潭市污染源自动监控管理平台</w:t>
            </w:r>
          </w:p>
        </w:tc>
        <w:tc>
          <w:tcPr>
            <w:tcW w:w="849" w:type="pct"/>
            <w:tcBorders>
              <w:tl2br w:val="nil"/>
              <w:tr2bl w:val="nil"/>
            </w:tcBorders>
            <w:shd w:val="clear" w:color="auto" w:fill="auto"/>
            <w:tcMar>
              <w:top w:w="15" w:type="dxa"/>
              <w:left w:w="15" w:type="dxa"/>
              <w:right w:w="15" w:type="dxa"/>
            </w:tcMar>
            <w:vAlign w:val="center"/>
          </w:tcPr>
          <w:p w14:paraId="10E90D8E">
            <w:pPr>
              <w:pStyle w:val="48"/>
              <w:rPr>
                <w:rFonts w:hint="eastAsia" w:ascii="仿宋" w:hAnsi="仿宋" w:eastAsia="仿宋" w:cs="仿宋"/>
                <w:sz w:val="21"/>
                <w:szCs w:val="21"/>
              </w:rPr>
            </w:pPr>
            <w:r>
              <w:rPr>
                <w:rFonts w:hint="eastAsia" w:ascii="仿宋" w:hAnsi="仿宋" w:eastAsia="仿宋" w:cs="仿宋"/>
                <w:sz w:val="21"/>
                <w:szCs w:val="21"/>
              </w:rPr>
              <w:t>湖南贝克特环保科技有限公司</w:t>
            </w:r>
          </w:p>
        </w:tc>
        <w:tc>
          <w:tcPr>
            <w:tcW w:w="607" w:type="pct"/>
            <w:tcBorders>
              <w:tl2br w:val="nil"/>
              <w:tr2bl w:val="nil"/>
            </w:tcBorders>
            <w:shd w:val="clear" w:color="auto" w:fill="auto"/>
            <w:tcMar>
              <w:top w:w="15" w:type="dxa"/>
              <w:left w:w="15" w:type="dxa"/>
              <w:right w:w="15" w:type="dxa"/>
            </w:tcMar>
            <w:vAlign w:val="center"/>
          </w:tcPr>
          <w:p w14:paraId="5AEBA78A">
            <w:pPr>
              <w:pStyle w:val="48"/>
              <w:rPr>
                <w:rFonts w:hint="eastAsia" w:ascii="仿宋" w:hAnsi="仿宋" w:eastAsia="仿宋" w:cs="仿宋"/>
                <w:sz w:val="21"/>
                <w:szCs w:val="21"/>
              </w:rPr>
            </w:pPr>
            <w:r>
              <w:rPr>
                <w:rFonts w:hint="eastAsia" w:ascii="仿宋" w:hAnsi="仿宋" w:eastAsia="仿宋" w:cs="仿宋"/>
                <w:sz w:val="21"/>
                <w:szCs w:val="21"/>
              </w:rPr>
              <w:t>达标</w:t>
            </w:r>
          </w:p>
        </w:tc>
      </w:tr>
    </w:tbl>
    <w:p w14:paraId="2423ECF8">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0"/>
        <w:textAlignment w:val="auto"/>
        <w:rPr>
          <w:rFonts w:hint="eastAsia" w:ascii="仿宋" w:hAnsi="仿宋" w:eastAsia="仿宋" w:cs="仿宋"/>
          <w:b/>
          <w:bCs/>
          <w:sz w:val="30"/>
          <w:szCs w:val="30"/>
        </w:rPr>
      </w:pPr>
      <w:r>
        <w:rPr>
          <w:rFonts w:hint="eastAsia" w:ascii="仿宋" w:hAnsi="仿宋" w:eastAsia="仿宋" w:cs="仿宋"/>
          <w:sz w:val="30"/>
          <w:szCs w:val="30"/>
        </w:rPr>
        <w:t>经开区的废水重点污染源纳入了“重点污染源自动监控于基础数据库系统V3.2”(西安长天)和“湘潭市污染源自动监控管理平台“(力合科技（湖南）股份有限公司)在线监控，企业自身例行监测，全面系统掌控园区建设、发展过程中的环境质量的变化。</w:t>
      </w:r>
    </w:p>
    <w:p w14:paraId="5835C9BE">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3"/>
        <w:textAlignment w:val="auto"/>
        <w:rPr>
          <w:rFonts w:ascii="Times New Roman" w:hAnsi="Times New Roman" w:eastAsia="仿宋"/>
          <w:b/>
          <w:bCs/>
          <w:szCs w:val="32"/>
        </w:rPr>
      </w:pPr>
      <w:r>
        <w:rPr>
          <w:rFonts w:ascii="Times New Roman" w:hAnsi="Times New Roman" w:eastAsia="仿宋"/>
          <w:b/>
          <w:bCs/>
          <w:szCs w:val="32"/>
        </w:rPr>
        <w:t>3、地表水环境质量监测情况</w:t>
      </w:r>
    </w:p>
    <w:p w14:paraId="24BC7B2C">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湘潭县顺业污水处理厂排污口下游最近的地表水水质管控断面名称湘江五星（一水厂)，水功能区划Ⅱ类，监测达标率</w:t>
      </w:r>
      <w:r>
        <w:rPr>
          <w:rFonts w:hint="eastAsia" w:ascii="仿宋" w:hAnsi="仿宋" w:eastAsia="仿宋" w:cs="仿宋"/>
          <w:sz w:val="30"/>
          <w:szCs w:val="30"/>
          <w:u w:val="single"/>
        </w:rPr>
        <w:t>100</w:t>
      </w:r>
      <w:r>
        <w:rPr>
          <w:rFonts w:hint="eastAsia" w:ascii="仿宋" w:hAnsi="仿宋" w:eastAsia="仿宋" w:cs="仿宋"/>
          <w:sz w:val="30"/>
          <w:szCs w:val="30"/>
        </w:rPr>
        <w:t>%，超标因子</w:t>
      </w:r>
      <w:r>
        <w:rPr>
          <w:rFonts w:hint="eastAsia" w:ascii="仿宋" w:hAnsi="仿宋" w:eastAsia="仿宋" w:cs="仿宋"/>
          <w:sz w:val="30"/>
          <w:szCs w:val="30"/>
          <w:u w:val="single"/>
        </w:rPr>
        <w:t>/</w:t>
      </w:r>
      <w:r>
        <w:rPr>
          <w:rFonts w:hint="eastAsia" w:ascii="仿宋" w:hAnsi="仿宋" w:eastAsia="仿宋" w:cs="仿宋"/>
          <w:sz w:val="30"/>
          <w:szCs w:val="30"/>
        </w:rPr>
        <w:t>，最大超标倍数</w:t>
      </w:r>
      <w:r>
        <w:rPr>
          <w:rFonts w:hint="eastAsia" w:ascii="仿宋" w:hAnsi="仿宋" w:eastAsia="仿宋" w:cs="仿宋"/>
          <w:sz w:val="30"/>
          <w:szCs w:val="30"/>
          <w:u w:val="single"/>
        </w:rPr>
        <w:t>/</w:t>
      </w:r>
      <w:r>
        <w:rPr>
          <w:rFonts w:hint="eastAsia" w:ascii="仿宋" w:hAnsi="仿宋" w:eastAsia="仿宋" w:cs="仿宋"/>
          <w:sz w:val="30"/>
          <w:szCs w:val="30"/>
        </w:rPr>
        <w:t>倍。</w:t>
      </w:r>
    </w:p>
    <w:p w14:paraId="24594B31">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湘潭县北控天意水质净化有限公司排污口下游最近的地表水水质管控断面名称涓水入湘江口，水功能区划Ⅲ类，监测达标率</w:t>
      </w:r>
      <w:r>
        <w:rPr>
          <w:rFonts w:hint="eastAsia" w:ascii="仿宋" w:hAnsi="仿宋" w:eastAsia="仿宋" w:cs="仿宋"/>
          <w:sz w:val="30"/>
          <w:szCs w:val="30"/>
          <w:u w:val="single"/>
        </w:rPr>
        <w:t>100</w:t>
      </w:r>
      <w:r>
        <w:rPr>
          <w:rFonts w:hint="eastAsia" w:ascii="仿宋" w:hAnsi="仿宋" w:eastAsia="仿宋" w:cs="仿宋"/>
          <w:sz w:val="30"/>
          <w:szCs w:val="30"/>
        </w:rPr>
        <w:t>%，超标因子</w:t>
      </w:r>
      <w:r>
        <w:rPr>
          <w:rFonts w:hint="eastAsia" w:ascii="仿宋" w:hAnsi="仿宋" w:eastAsia="仿宋" w:cs="仿宋"/>
          <w:sz w:val="30"/>
          <w:szCs w:val="30"/>
          <w:u w:val="single"/>
        </w:rPr>
        <w:t>/</w:t>
      </w:r>
      <w:r>
        <w:rPr>
          <w:rFonts w:hint="eastAsia" w:ascii="仿宋" w:hAnsi="仿宋" w:eastAsia="仿宋" w:cs="仿宋"/>
          <w:sz w:val="30"/>
          <w:szCs w:val="30"/>
        </w:rPr>
        <w:t>，最大超标倍数</w:t>
      </w:r>
      <w:r>
        <w:rPr>
          <w:rFonts w:hint="eastAsia" w:ascii="仿宋" w:hAnsi="仿宋" w:eastAsia="仿宋" w:cs="仿宋"/>
          <w:sz w:val="30"/>
          <w:szCs w:val="30"/>
          <w:u w:val="single"/>
        </w:rPr>
        <w:t>/</w:t>
      </w:r>
      <w:r>
        <w:rPr>
          <w:rFonts w:hint="eastAsia" w:ascii="仿宋" w:hAnsi="仿宋" w:eastAsia="仿宋" w:cs="仿宋"/>
          <w:sz w:val="30"/>
          <w:szCs w:val="30"/>
        </w:rPr>
        <w:t>倍。</w:t>
      </w:r>
    </w:p>
    <w:p w14:paraId="5F6464D7">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3"/>
        <w:textAlignment w:val="auto"/>
        <w:rPr>
          <w:rFonts w:ascii="Times New Roman" w:hAnsi="Times New Roman" w:eastAsia="仿宋"/>
          <w:b/>
          <w:bCs/>
          <w:szCs w:val="32"/>
        </w:rPr>
      </w:pPr>
      <w:r>
        <w:rPr>
          <w:rFonts w:ascii="Times New Roman" w:hAnsi="Times New Roman" w:eastAsia="仿宋"/>
          <w:b/>
          <w:bCs/>
          <w:szCs w:val="32"/>
        </w:rPr>
        <w:t>4、“双源”地下水监测建设情况及监测结果自评</w:t>
      </w:r>
    </w:p>
    <w:p w14:paraId="55D7CADA">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目前，园区无“双源”地下水监测。</w:t>
      </w:r>
    </w:p>
    <w:p w14:paraId="3AA8492A">
      <w:pPr>
        <w:keepNext w:val="0"/>
        <w:keepLines w:val="0"/>
        <w:pageBreakBefore w:val="0"/>
        <w:widowControl w:val="0"/>
        <w:kinsoku/>
        <w:wordWrap/>
        <w:overflowPunct w:val="0"/>
        <w:topLinePunct w:val="0"/>
        <w:autoSpaceDE/>
        <w:autoSpaceDN/>
        <w:bidi w:val="0"/>
        <w:adjustRightInd w:val="0"/>
        <w:spacing w:line="560" w:lineRule="exact"/>
        <w:ind w:firstLine="643" w:firstLineChars="200"/>
        <w:textAlignment w:val="auto"/>
        <w:rPr>
          <w:rFonts w:ascii="Times New Roman" w:hAnsi="Times New Roman" w:eastAsia="仿宋" w:cs="Times New Roman"/>
          <w:b/>
          <w:bCs/>
          <w:sz w:val="32"/>
          <w:szCs w:val="32"/>
        </w:rPr>
      </w:pPr>
      <w:r>
        <w:rPr>
          <w:rFonts w:ascii="Times New Roman" w:hAnsi="Times New Roman" w:eastAsia="仿宋" w:cs="Times New Roman"/>
          <w:b/>
          <w:bCs/>
          <w:sz w:val="32"/>
          <w:szCs w:val="32"/>
        </w:rPr>
        <w:t>5、园区内涉及黑臭水体情况</w:t>
      </w:r>
    </w:p>
    <w:p w14:paraId="5A0F704B">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园区不涉及黑臭水体。</w:t>
      </w:r>
      <w:bookmarkStart w:id="23" w:name="_Toc28310"/>
      <w:bookmarkStart w:id="24" w:name="_Toc27211"/>
    </w:p>
    <w:p w14:paraId="7F0421B0">
      <w:pPr>
        <w:pStyle w:val="21"/>
        <w:keepNext w:val="0"/>
        <w:keepLines w:val="0"/>
        <w:pageBreakBefore w:val="0"/>
        <w:widowControl w:val="0"/>
        <w:kinsoku/>
        <w:wordWrap/>
        <w:overflowPunct w:val="0"/>
        <w:topLinePunct w:val="0"/>
        <w:autoSpaceDE/>
        <w:autoSpaceDN/>
        <w:bidi w:val="0"/>
        <w:adjustRightInd w:val="0"/>
        <w:spacing w:line="560" w:lineRule="exact"/>
        <w:ind w:left="0" w:leftChars="0" w:firstLine="643"/>
        <w:textAlignment w:val="auto"/>
        <w:outlineLvl w:val="1"/>
        <w:rPr>
          <w:rFonts w:hint="eastAsia" w:ascii="楷体" w:hAnsi="楷体" w:eastAsia="楷体" w:cs="楷体"/>
          <w:b/>
          <w:bCs/>
          <w:szCs w:val="32"/>
        </w:rPr>
      </w:pPr>
      <w:r>
        <w:rPr>
          <w:rFonts w:hint="eastAsia" w:ascii="楷体" w:hAnsi="楷体" w:eastAsia="楷体" w:cs="楷体"/>
          <w:b/>
          <w:bCs/>
          <w:szCs w:val="32"/>
        </w:rPr>
        <w:t>（四）大气环境管理</w:t>
      </w:r>
      <w:bookmarkEnd w:id="23"/>
      <w:bookmarkEnd w:id="24"/>
    </w:p>
    <w:p w14:paraId="0672A39E">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3"/>
        <w:textAlignment w:val="auto"/>
        <w:rPr>
          <w:rFonts w:ascii="Times New Roman" w:hAnsi="Times New Roman" w:eastAsia="仿宋"/>
          <w:b/>
          <w:bCs/>
          <w:szCs w:val="32"/>
        </w:rPr>
      </w:pPr>
      <w:r>
        <w:rPr>
          <w:rFonts w:ascii="Times New Roman" w:hAnsi="Times New Roman" w:eastAsia="仿宋"/>
          <w:b/>
          <w:bCs/>
          <w:szCs w:val="32"/>
        </w:rPr>
        <w:t>1、园区涉及工业废气企业污染物排放情况</w:t>
      </w:r>
    </w:p>
    <w:p w14:paraId="1DC2B9EA">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园区内涉及工业废气外排企业数量</w:t>
      </w:r>
      <w:r>
        <w:rPr>
          <w:rFonts w:hint="eastAsia" w:ascii="仿宋" w:hAnsi="仿宋" w:eastAsia="仿宋" w:cs="仿宋"/>
          <w:sz w:val="30"/>
          <w:szCs w:val="30"/>
          <w:u w:val="single"/>
        </w:rPr>
        <w:t>44</w:t>
      </w:r>
      <w:r>
        <w:rPr>
          <w:rFonts w:hint="eastAsia" w:ascii="仿宋" w:hAnsi="仿宋" w:eastAsia="仿宋" w:cs="仿宋"/>
          <w:sz w:val="30"/>
          <w:szCs w:val="30"/>
        </w:rPr>
        <w:t>个（环统数据），大气质量监测达标率</w:t>
      </w:r>
      <w:r>
        <w:rPr>
          <w:rFonts w:hint="eastAsia" w:ascii="仿宋" w:hAnsi="仿宋" w:eastAsia="仿宋" w:cs="仿宋"/>
          <w:sz w:val="30"/>
          <w:szCs w:val="30"/>
          <w:u w:val="single"/>
        </w:rPr>
        <w:t>100%</w:t>
      </w:r>
      <w:r>
        <w:rPr>
          <w:rFonts w:hint="eastAsia" w:ascii="仿宋" w:hAnsi="仿宋" w:eastAsia="仿宋" w:cs="仿宋"/>
          <w:sz w:val="30"/>
          <w:szCs w:val="30"/>
        </w:rPr>
        <w:t>，超标因子</w:t>
      </w:r>
      <w:r>
        <w:rPr>
          <w:rFonts w:hint="eastAsia" w:ascii="仿宋" w:hAnsi="仿宋" w:eastAsia="仿宋" w:cs="仿宋"/>
          <w:sz w:val="30"/>
          <w:szCs w:val="30"/>
          <w:u w:val="single"/>
        </w:rPr>
        <w:t>无</w:t>
      </w:r>
      <w:r>
        <w:rPr>
          <w:rFonts w:hint="eastAsia" w:ascii="仿宋" w:hAnsi="仿宋" w:eastAsia="仿宋" w:cs="仿宋"/>
          <w:sz w:val="30"/>
          <w:szCs w:val="30"/>
        </w:rPr>
        <w:t>，最大超标倍数</w:t>
      </w:r>
      <w:r>
        <w:rPr>
          <w:rFonts w:hint="eastAsia" w:ascii="仿宋" w:hAnsi="仿宋" w:eastAsia="仿宋" w:cs="仿宋"/>
          <w:sz w:val="30"/>
          <w:szCs w:val="30"/>
          <w:u w:val="single"/>
        </w:rPr>
        <w:t>/</w:t>
      </w:r>
      <w:r>
        <w:rPr>
          <w:rFonts w:hint="eastAsia" w:ascii="仿宋" w:hAnsi="仿宋" w:eastAsia="仿宋" w:cs="仿宋"/>
          <w:sz w:val="30"/>
          <w:szCs w:val="30"/>
        </w:rPr>
        <w:t>倍。大气污染物总排放量：二氧化硫</w:t>
      </w:r>
      <w:r>
        <w:rPr>
          <w:rFonts w:hint="eastAsia" w:ascii="仿宋" w:hAnsi="仿宋" w:eastAsia="仿宋" w:cs="仿宋"/>
          <w:sz w:val="30"/>
          <w:szCs w:val="30"/>
          <w:u w:val="single"/>
        </w:rPr>
        <w:t>2</w:t>
      </w:r>
      <w:r>
        <w:rPr>
          <w:rFonts w:hint="eastAsia" w:ascii="仿宋" w:hAnsi="仿宋" w:eastAsia="仿宋" w:cs="仿宋"/>
          <w:sz w:val="30"/>
          <w:szCs w:val="30"/>
          <w:u w:val="single"/>
          <w:lang w:val="en-US" w:eastAsia="zh-CN"/>
        </w:rPr>
        <w:t>0</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124</w:t>
      </w:r>
      <w:r>
        <w:rPr>
          <w:rFonts w:hint="eastAsia" w:ascii="仿宋" w:hAnsi="仿宋" w:eastAsia="仿宋" w:cs="仿宋"/>
          <w:sz w:val="30"/>
          <w:szCs w:val="30"/>
        </w:rPr>
        <w:t>t/a，氮氧化物</w:t>
      </w:r>
      <w:r>
        <w:rPr>
          <w:rFonts w:hint="eastAsia" w:ascii="仿宋" w:hAnsi="仿宋" w:eastAsia="仿宋" w:cs="仿宋"/>
          <w:sz w:val="30"/>
          <w:szCs w:val="30"/>
          <w:u w:val="single"/>
        </w:rPr>
        <w:t>2</w:t>
      </w:r>
      <w:r>
        <w:rPr>
          <w:rFonts w:hint="eastAsia" w:ascii="仿宋" w:hAnsi="仿宋" w:eastAsia="仿宋" w:cs="仿宋"/>
          <w:sz w:val="30"/>
          <w:szCs w:val="30"/>
          <w:u w:val="single"/>
          <w:lang w:val="en-US" w:eastAsia="zh-CN"/>
        </w:rPr>
        <w:t>6</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61</w:t>
      </w:r>
      <w:r>
        <w:rPr>
          <w:rFonts w:hint="eastAsia" w:ascii="仿宋" w:hAnsi="仿宋" w:eastAsia="仿宋" w:cs="仿宋"/>
          <w:sz w:val="30"/>
          <w:szCs w:val="30"/>
          <w:lang w:val="en-US" w:eastAsia="zh-CN"/>
        </w:rPr>
        <w:t>t/</w:t>
      </w:r>
      <w:r>
        <w:rPr>
          <w:rFonts w:hint="eastAsia" w:ascii="仿宋" w:hAnsi="仿宋" w:eastAsia="仿宋" w:cs="仿宋"/>
          <w:sz w:val="30"/>
          <w:szCs w:val="30"/>
        </w:rPr>
        <w:t>a，VOC</w:t>
      </w:r>
      <w:r>
        <w:rPr>
          <w:rFonts w:hint="eastAsia" w:ascii="仿宋" w:hAnsi="仿宋" w:eastAsia="仿宋" w:cs="仿宋"/>
          <w:sz w:val="30"/>
          <w:szCs w:val="30"/>
          <w:vertAlign w:val="subscript"/>
        </w:rPr>
        <w:t>S</w:t>
      </w:r>
      <w:r>
        <w:rPr>
          <w:rFonts w:hint="eastAsia" w:ascii="仿宋" w:hAnsi="仿宋" w:eastAsia="仿宋" w:cs="仿宋"/>
          <w:sz w:val="30"/>
          <w:szCs w:val="30"/>
          <w:u w:val="single"/>
        </w:rPr>
        <w:t>6</w:t>
      </w:r>
      <w:r>
        <w:rPr>
          <w:rFonts w:hint="eastAsia" w:ascii="仿宋" w:hAnsi="仿宋" w:eastAsia="仿宋" w:cs="仿宋"/>
          <w:sz w:val="30"/>
          <w:szCs w:val="30"/>
          <w:u w:val="single"/>
          <w:lang w:val="en-US" w:eastAsia="zh-CN"/>
        </w:rPr>
        <w:t>83.35432</w:t>
      </w:r>
      <w:r>
        <w:rPr>
          <w:rFonts w:hint="eastAsia" w:ascii="仿宋" w:hAnsi="仿宋" w:eastAsia="仿宋" w:cs="仿宋"/>
          <w:sz w:val="30"/>
          <w:szCs w:val="30"/>
        </w:rPr>
        <w:t>t/a，其他</w:t>
      </w:r>
      <w:r>
        <w:rPr>
          <w:rFonts w:hint="eastAsia" w:ascii="仿宋" w:hAnsi="仿宋" w:eastAsia="仿宋" w:cs="仿宋"/>
          <w:sz w:val="30"/>
          <w:szCs w:val="30"/>
          <w:u w:val="single"/>
        </w:rPr>
        <w:t xml:space="preserve"> / </w:t>
      </w:r>
      <w:r>
        <w:rPr>
          <w:rFonts w:hint="eastAsia" w:ascii="仿宋" w:hAnsi="仿宋" w:eastAsia="仿宋" w:cs="仿宋"/>
          <w:sz w:val="30"/>
          <w:szCs w:val="30"/>
        </w:rPr>
        <w:t>t/a。经开区涉气重点企业在线监控设施具体情况见表5。</w:t>
      </w:r>
    </w:p>
    <w:p w14:paraId="70B0C277">
      <w:pPr>
        <w:pStyle w:val="33"/>
        <w:rPr>
          <w:rFonts w:eastAsia="仿宋" w:cs="Times New Roman"/>
          <w:bCs/>
          <w:sz w:val="28"/>
          <w:szCs w:val="28"/>
        </w:rPr>
      </w:pPr>
      <w:r>
        <w:rPr>
          <w:rFonts w:eastAsia="仿宋" w:cs="Times New Roman"/>
          <w:bCs/>
          <w:sz w:val="28"/>
          <w:szCs w:val="28"/>
        </w:rPr>
        <w:t>表5  废气污染源在线监控安装情况一览表</w:t>
      </w:r>
    </w:p>
    <w:tbl>
      <w:tblPr>
        <w:tblStyle w:val="22"/>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350"/>
        <w:gridCol w:w="1116"/>
        <w:gridCol w:w="720"/>
        <w:gridCol w:w="1457"/>
        <w:gridCol w:w="895"/>
        <w:gridCol w:w="1683"/>
        <w:gridCol w:w="1343"/>
        <w:gridCol w:w="1645"/>
      </w:tblGrid>
      <w:tr w14:paraId="5803F0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072B3F92">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序号</w:t>
            </w:r>
          </w:p>
        </w:tc>
        <w:tc>
          <w:tcPr>
            <w:tcW w:w="606" w:type="pct"/>
            <w:tcBorders>
              <w:tl2br w:val="nil"/>
              <w:tr2bl w:val="nil"/>
            </w:tcBorders>
            <w:shd w:val="clear" w:color="auto" w:fill="auto"/>
            <w:tcMar>
              <w:top w:w="15" w:type="dxa"/>
              <w:left w:w="15" w:type="dxa"/>
              <w:right w:w="15" w:type="dxa"/>
            </w:tcMar>
            <w:vAlign w:val="center"/>
          </w:tcPr>
          <w:p w14:paraId="201992A9">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企业名称</w:t>
            </w:r>
          </w:p>
        </w:tc>
        <w:tc>
          <w:tcPr>
            <w:tcW w:w="391" w:type="pct"/>
            <w:tcBorders>
              <w:tl2br w:val="nil"/>
              <w:tr2bl w:val="nil"/>
            </w:tcBorders>
            <w:shd w:val="clear" w:color="auto" w:fill="auto"/>
            <w:tcMar>
              <w:top w:w="15" w:type="dxa"/>
              <w:left w:w="15" w:type="dxa"/>
              <w:right w:w="15" w:type="dxa"/>
            </w:tcMar>
            <w:vAlign w:val="center"/>
          </w:tcPr>
          <w:p w14:paraId="45800F44">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点位</w:t>
            </w:r>
          </w:p>
        </w:tc>
        <w:tc>
          <w:tcPr>
            <w:tcW w:w="791" w:type="pct"/>
            <w:tcBorders>
              <w:tl2br w:val="nil"/>
              <w:tr2bl w:val="nil"/>
            </w:tcBorders>
            <w:shd w:val="clear" w:color="auto" w:fill="auto"/>
            <w:tcMar>
              <w:top w:w="15" w:type="dxa"/>
              <w:left w:w="15" w:type="dxa"/>
              <w:right w:w="15" w:type="dxa"/>
            </w:tcMar>
            <w:vAlign w:val="center"/>
          </w:tcPr>
          <w:p w14:paraId="557F2F7D">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项目</w:t>
            </w:r>
          </w:p>
        </w:tc>
        <w:tc>
          <w:tcPr>
            <w:tcW w:w="486" w:type="pct"/>
            <w:tcBorders>
              <w:tl2br w:val="nil"/>
              <w:tr2bl w:val="nil"/>
            </w:tcBorders>
            <w:shd w:val="clear" w:color="auto" w:fill="auto"/>
            <w:tcMar>
              <w:top w:w="15" w:type="dxa"/>
              <w:left w:w="15" w:type="dxa"/>
              <w:right w:w="15" w:type="dxa"/>
            </w:tcMar>
            <w:vAlign w:val="center"/>
          </w:tcPr>
          <w:p w14:paraId="3AEFA0FA">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是否联网验收</w:t>
            </w:r>
          </w:p>
        </w:tc>
        <w:tc>
          <w:tcPr>
            <w:tcW w:w="914" w:type="pct"/>
            <w:tcBorders>
              <w:tl2br w:val="nil"/>
              <w:tr2bl w:val="nil"/>
            </w:tcBorders>
            <w:shd w:val="clear" w:color="auto" w:fill="auto"/>
            <w:tcMar>
              <w:top w:w="15" w:type="dxa"/>
              <w:left w:w="15" w:type="dxa"/>
              <w:right w:w="15" w:type="dxa"/>
            </w:tcMar>
            <w:vAlign w:val="center"/>
          </w:tcPr>
          <w:p w14:paraId="18B14471">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监控平台名称</w:t>
            </w:r>
          </w:p>
        </w:tc>
        <w:tc>
          <w:tcPr>
            <w:tcW w:w="729" w:type="pct"/>
            <w:tcBorders>
              <w:tl2br w:val="nil"/>
              <w:tr2bl w:val="nil"/>
            </w:tcBorders>
            <w:shd w:val="clear" w:color="auto" w:fill="auto"/>
            <w:tcMar>
              <w:top w:w="15" w:type="dxa"/>
              <w:left w:w="15" w:type="dxa"/>
              <w:right w:w="15" w:type="dxa"/>
            </w:tcMar>
            <w:vAlign w:val="center"/>
          </w:tcPr>
          <w:p w14:paraId="4493DFBB">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运营公司</w:t>
            </w:r>
          </w:p>
        </w:tc>
        <w:tc>
          <w:tcPr>
            <w:tcW w:w="893" w:type="pct"/>
            <w:tcBorders>
              <w:tl2br w:val="nil"/>
              <w:tr2bl w:val="nil"/>
            </w:tcBorders>
            <w:shd w:val="clear" w:color="auto" w:fill="auto"/>
            <w:tcMar>
              <w:top w:w="15" w:type="dxa"/>
              <w:left w:w="15" w:type="dxa"/>
              <w:right w:w="15" w:type="dxa"/>
            </w:tcMar>
            <w:vAlign w:val="center"/>
          </w:tcPr>
          <w:p w14:paraId="719EDC72">
            <w:pPr>
              <w:snapToGrid w:val="0"/>
              <w:jc w:val="center"/>
              <w:rPr>
                <w:rFonts w:ascii="Times New Roman" w:hAnsi="Times New Roman" w:eastAsia="仿宋" w:cs="Times New Roman"/>
                <w:b/>
                <w:bCs/>
                <w:sz w:val="21"/>
                <w:szCs w:val="21"/>
              </w:rPr>
            </w:pPr>
            <w:r>
              <w:rPr>
                <w:rFonts w:ascii="Times New Roman" w:hAnsi="Times New Roman" w:eastAsia="仿宋" w:cs="Times New Roman"/>
                <w:b/>
                <w:bCs/>
                <w:sz w:val="21"/>
                <w:szCs w:val="21"/>
              </w:rPr>
              <w:t>达标情况</w:t>
            </w:r>
          </w:p>
        </w:tc>
      </w:tr>
      <w:tr w14:paraId="3C9521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7829A108">
            <w:pPr>
              <w:snapToGrid w:val="0"/>
              <w:jc w:val="center"/>
              <w:rPr>
                <w:rFonts w:ascii="Times New Roman" w:hAnsi="Times New Roman" w:eastAsia="仿宋" w:cs="Times New Roman"/>
                <w:sz w:val="21"/>
                <w:szCs w:val="21"/>
              </w:rPr>
            </w:pPr>
            <w:r>
              <w:rPr>
                <w:rFonts w:ascii="Times New Roman" w:hAnsi="Times New Roman" w:eastAsia="仿宋" w:cs="Times New Roman"/>
                <w:sz w:val="21"/>
                <w:szCs w:val="21"/>
              </w:rPr>
              <w:t>1</w:t>
            </w:r>
          </w:p>
        </w:tc>
        <w:tc>
          <w:tcPr>
            <w:tcW w:w="606" w:type="pct"/>
            <w:tcBorders>
              <w:tl2br w:val="nil"/>
              <w:tr2bl w:val="nil"/>
            </w:tcBorders>
            <w:shd w:val="clear" w:color="auto" w:fill="auto"/>
            <w:tcMar>
              <w:top w:w="15" w:type="dxa"/>
              <w:left w:w="15" w:type="dxa"/>
              <w:right w:w="15" w:type="dxa"/>
            </w:tcMar>
            <w:vAlign w:val="center"/>
          </w:tcPr>
          <w:p w14:paraId="0398E0BB">
            <w:pPr>
              <w:snapToGrid w:val="0"/>
              <w:jc w:val="center"/>
              <w:rPr>
                <w:rFonts w:hint="eastAsia" w:ascii="仿宋" w:hAnsi="仿宋" w:eastAsia="仿宋" w:cs="仿宋"/>
                <w:sz w:val="21"/>
                <w:szCs w:val="21"/>
              </w:rPr>
            </w:pPr>
            <w:r>
              <w:rPr>
                <w:rFonts w:hint="eastAsia" w:ascii="仿宋" w:hAnsi="仿宋" w:eastAsia="仿宋" w:cs="仿宋"/>
                <w:sz w:val="21"/>
                <w:szCs w:val="21"/>
              </w:rPr>
              <w:t>湘潭县康大工贸有限责任公司</w:t>
            </w:r>
          </w:p>
        </w:tc>
        <w:tc>
          <w:tcPr>
            <w:tcW w:w="391" w:type="pct"/>
            <w:tcBorders>
              <w:tl2br w:val="nil"/>
              <w:tr2bl w:val="nil"/>
            </w:tcBorders>
            <w:shd w:val="clear" w:color="auto" w:fill="auto"/>
            <w:tcMar>
              <w:top w:w="15" w:type="dxa"/>
              <w:left w:w="15" w:type="dxa"/>
              <w:right w:w="15" w:type="dxa"/>
            </w:tcMar>
            <w:vAlign w:val="center"/>
          </w:tcPr>
          <w:p w14:paraId="76B09B9F">
            <w:pPr>
              <w:snapToGrid w:val="0"/>
              <w:jc w:val="center"/>
              <w:rPr>
                <w:rFonts w:hint="eastAsia" w:ascii="仿宋" w:hAnsi="仿宋" w:eastAsia="仿宋" w:cs="仿宋"/>
                <w:sz w:val="21"/>
                <w:szCs w:val="21"/>
              </w:rPr>
            </w:pPr>
            <w:r>
              <w:rPr>
                <w:rFonts w:hint="eastAsia" w:ascii="仿宋" w:hAnsi="仿宋" w:eastAsia="仿宋" w:cs="仿宋"/>
                <w:sz w:val="21"/>
                <w:szCs w:val="21"/>
              </w:rPr>
              <w:t>回转窑排口</w:t>
            </w:r>
          </w:p>
        </w:tc>
        <w:tc>
          <w:tcPr>
            <w:tcW w:w="791" w:type="pct"/>
            <w:tcBorders>
              <w:tl2br w:val="nil"/>
              <w:tr2bl w:val="nil"/>
            </w:tcBorders>
            <w:shd w:val="clear" w:color="auto" w:fill="auto"/>
            <w:tcMar>
              <w:top w:w="15" w:type="dxa"/>
              <w:left w:w="15" w:type="dxa"/>
              <w:right w:w="15" w:type="dxa"/>
            </w:tcMar>
            <w:vAlign w:val="center"/>
          </w:tcPr>
          <w:p w14:paraId="22A92A44">
            <w:pPr>
              <w:snapToGrid w:val="0"/>
              <w:jc w:val="center"/>
              <w:rPr>
                <w:rFonts w:hint="eastAsia" w:ascii="仿宋" w:hAnsi="仿宋" w:eastAsia="仿宋" w:cs="仿宋"/>
                <w:sz w:val="21"/>
                <w:szCs w:val="21"/>
              </w:rPr>
            </w:pPr>
            <w:r>
              <w:rPr>
                <w:rFonts w:hint="eastAsia" w:ascii="仿宋" w:hAnsi="仿宋" w:eastAsia="仿宋" w:cs="仿宋"/>
                <w:sz w:val="21"/>
                <w:szCs w:val="21"/>
              </w:rPr>
              <w:t>SO</w:t>
            </w:r>
            <w:r>
              <w:rPr>
                <w:rFonts w:hint="eastAsia" w:ascii="仿宋" w:hAnsi="仿宋" w:eastAsia="仿宋" w:cs="仿宋"/>
                <w:sz w:val="21"/>
                <w:szCs w:val="21"/>
                <w:vertAlign w:val="subscript"/>
              </w:rPr>
              <w:t>2</w:t>
            </w:r>
            <w:r>
              <w:rPr>
                <w:rFonts w:hint="eastAsia" w:ascii="仿宋" w:hAnsi="仿宋" w:eastAsia="仿宋" w:cs="仿宋"/>
                <w:sz w:val="21"/>
                <w:szCs w:val="21"/>
              </w:rPr>
              <w:t>、NO</w:t>
            </w:r>
            <w:r>
              <w:rPr>
                <w:rFonts w:hint="eastAsia" w:ascii="仿宋" w:hAnsi="仿宋" w:eastAsia="仿宋" w:cs="仿宋"/>
                <w:sz w:val="21"/>
                <w:szCs w:val="21"/>
                <w:vertAlign w:val="subscript"/>
              </w:rPr>
              <w:t>X</w:t>
            </w:r>
            <w:r>
              <w:rPr>
                <w:rFonts w:hint="eastAsia" w:ascii="仿宋" w:hAnsi="仿宋" w:eastAsia="仿宋" w:cs="仿宋"/>
                <w:sz w:val="21"/>
                <w:szCs w:val="21"/>
              </w:rPr>
              <w:t>、颗粒物、温度、湿度、流量、含氧量、压力</w:t>
            </w:r>
          </w:p>
        </w:tc>
        <w:tc>
          <w:tcPr>
            <w:tcW w:w="486" w:type="pct"/>
            <w:tcBorders>
              <w:tl2br w:val="nil"/>
              <w:tr2bl w:val="nil"/>
            </w:tcBorders>
            <w:shd w:val="clear" w:color="auto" w:fill="auto"/>
            <w:tcMar>
              <w:top w:w="15" w:type="dxa"/>
              <w:left w:w="15" w:type="dxa"/>
              <w:right w:w="15" w:type="dxa"/>
            </w:tcMar>
            <w:vAlign w:val="center"/>
          </w:tcPr>
          <w:p w14:paraId="70403FB6">
            <w:pPr>
              <w:snapToGrid w:val="0"/>
              <w:jc w:val="center"/>
              <w:rPr>
                <w:rFonts w:hint="eastAsia" w:ascii="仿宋" w:hAnsi="仿宋" w:eastAsia="仿宋" w:cs="仿宋"/>
                <w:sz w:val="21"/>
                <w:szCs w:val="21"/>
              </w:rPr>
            </w:pPr>
            <w:r>
              <w:rPr>
                <w:rFonts w:hint="eastAsia" w:ascii="仿宋" w:hAnsi="仿宋" w:eastAsia="仿宋" w:cs="仿宋"/>
                <w:sz w:val="21"/>
                <w:szCs w:val="21"/>
              </w:rPr>
              <w:t>是</w:t>
            </w:r>
          </w:p>
        </w:tc>
        <w:tc>
          <w:tcPr>
            <w:tcW w:w="914" w:type="pct"/>
            <w:tcBorders>
              <w:tl2br w:val="nil"/>
              <w:tr2bl w:val="nil"/>
            </w:tcBorders>
            <w:shd w:val="clear" w:color="auto" w:fill="auto"/>
            <w:tcMar>
              <w:top w:w="15" w:type="dxa"/>
              <w:left w:w="15" w:type="dxa"/>
              <w:right w:w="15" w:type="dxa"/>
            </w:tcMar>
            <w:vAlign w:val="center"/>
          </w:tcPr>
          <w:p w14:paraId="5B9B12BC">
            <w:pPr>
              <w:snapToGrid w:val="0"/>
              <w:jc w:val="center"/>
              <w:rPr>
                <w:rFonts w:hint="eastAsia" w:ascii="仿宋" w:hAnsi="仿宋" w:eastAsia="仿宋" w:cs="仿宋"/>
                <w:sz w:val="21"/>
                <w:szCs w:val="21"/>
              </w:rPr>
            </w:pPr>
            <w:r>
              <w:rPr>
                <w:rFonts w:hint="eastAsia" w:ascii="仿宋" w:hAnsi="仿宋" w:eastAsia="仿宋" w:cs="仿宋"/>
                <w:sz w:val="21"/>
                <w:szCs w:val="21"/>
              </w:rPr>
              <w:t>重点污染源自动监控与基础数据库系统V3.2(长天平台）</w:t>
            </w:r>
          </w:p>
        </w:tc>
        <w:tc>
          <w:tcPr>
            <w:tcW w:w="729" w:type="pct"/>
            <w:tcBorders>
              <w:tl2br w:val="nil"/>
              <w:tr2bl w:val="nil"/>
            </w:tcBorders>
            <w:shd w:val="clear" w:color="auto" w:fill="auto"/>
            <w:tcMar>
              <w:top w:w="15" w:type="dxa"/>
              <w:left w:w="15" w:type="dxa"/>
              <w:right w:w="15" w:type="dxa"/>
            </w:tcMar>
            <w:vAlign w:val="center"/>
          </w:tcPr>
          <w:p w14:paraId="069F2DBD">
            <w:pPr>
              <w:snapToGrid w:val="0"/>
              <w:jc w:val="center"/>
              <w:rPr>
                <w:rFonts w:hint="eastAsia" w:ascii="仿宋" w:hAnsi="仿宋" w:eastAsia="仿宋" w:cs="仿宋"/>
                <w:sz w:val="21"/>
                <w:szCs w:val="21"/>
              </w:rPr>
            </w:pPr>
            <w:r>
              <w:rPr>
                <w:rFonts w:hint="eastAsia" w:ascii="仿宋" w:hAnsi="仿宋" w:eastAsia="仿宋" w:cs="仿宋"/>
                <w:sz w:val="21"/>
                <w:szCs w:val="21"/>
              </w:rPr>
              <w:t>长沙华时捷环保科技发展股份有限公司</w:t>
            </w:r>
          </w:p>
        </w:tc>
        <w:tc>
          <w:tcPr>
            <w:tcW w:w="893" w:type="pct"/>
            <w:tcBorders>
              <w:tl2br w:val="nil"/>
              <w:tr2bl w:val="nil"/>
            </w:tcBorders>
            <w:shd w:val="clear" w:color="auto" w:fill="auto"/>
            <w:tcMar>
              <w:top w:w="15" w:type="dxa"/>
              <w:left w:w="15" w:type="dxa"/>
              <w:right w:w="15" w:type="dxa"/>
            </w:tcMar>
            <w:vAlign w:val="center"/>
          </w:tcPr>
          <w:p w14:paraId="73BD0997">
            <w:pPr>
              <w:snapToGrid w:val="0"/>
              <w:jc w:val="center"/>
              <w:rPr>
                <w:rFonts w:hint="eastAsia" w:ascii="仿宋" w:hAnsi="仿宋" w:eastAsia="仿宋" w:cs="仿宋"/>
                <w:sz w:val="21"/>
                <w:szCs w:val="21"/>
              </w:rPr>
            </w:pPr>
            <w:r>
              <w:rPr>
                <w:rFonts w:hint="eastAsia" w:ascii="仿宋" w:hAnsi="仿宋" w:eastAsia="仿宋" w:cs="仿宋"/>
                <w:sz w:val="21"/>
                <w:szCs w:val="21"/>
              </w:rPr>
              <w:t>达标</w:t>
            </w:r>
          </w:p>
        </w:tc>
      </w:tr>
      <w:tr w14:paraId="5C36F0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4ACA2BD9">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2</w:t>
            </w:r>
          </w:p>
        </w:tc>
        <w:tc>
          <w:tcPr>
            <w:tcW w:w="606" w:type="pct"/>
            <w:tcBorders>
              <w:tl2br w:val="nil"/>
              <w:tr2bl w:val="nil"/>
            </w:tcBorders>
            <w:shd w:val="clear" w:color="auto" w:fill="auto"/>
            <w:tcMar>
              <w:top w:w="15" w:type="dxa"/>
              <w:left w:w="15" w:type="dxa"/>
              <w:right w:w="15" w:type="dxa"/>
            </w:tcMar>
            <w:vAlign w:val="center"/>
          </w:tcPr>
          <w:p w14:paraId="71E18AB0">
            <w:pPr>
              <w:snapToGrid w:val="0"/>
              <w:jc w:val="center"/>
              <w:rPr>
                <w:rFonts w:hint="eastAsia" w:ascii="仿宋" w:hAnsi="仿宋" w:eastAsia="仿宋" w:cs="仿宋"/>
                <w:sz w:val="21"/>
                <w:szCs w:val="21"/>
              </w:rPr>
            </w:pPr>
            <w:r>
              <w:rPr>
                <w:rFonts w:hint="eastAsia" w:ascii="仿宋" w:hAnsi="仿宋" w:eastAsia="仿宋" w:cs="仿宋"/>
                <w:sz w:val="21"/>
                <w:szCs w:val="21"/>
              </w:rPr>
              <w:t>湘潭县亿鑫锌业有限公司</w:t>
            </w:r>
          </w:p>
        </w:tc>
        <w:tc>
          <w:tcPr>
            <w:tcW w:w="391" w:type="pct"/>
            <w:tcBorders>
              <w:tl2br w:val="nil"/>
              <w:tr2bl w:val="nil"/>
            </w:tcBorders>
            <w:shd w:val="clear" w:color="auto" w:fill="auto"/>
            <w:tcMar>
              <w:top w:w="15" w:type="dxa"/>
              <w:left w:w="15" w:type="dxa"/>
              <w:right w:w="15" w:type="dxa"/>
            </w:tcMar>
            <w:vAlign w:val="center"/>
          </w:tcPr>
          <w:p w14:paraId="35B0C30A">
            <w:pPr>
              <w:snapToGrid w:val="0"/>
              <w:jc w:val="center"/>
              <w:rPr>
                <w:rFonts w:hint="eastAsia" w:ascii="仿宋" w:hAnsi="仿宋" w:eastAsia="仿宋" w:cs="仿宋"/>
                <w:sz w:val="21"/>
                <w:szCs w:val="21"/>
              </w:rPr>
            </w:pPr>
            <w:r>
              <w:rPr>
                <w:rFonts w:hint="eastAsia" w:ascii="仿宋" w:hAnsi="仿宋" w:eastAsia="仿宋" w:cs="仿宋"/>
                <w:sz w:val="21"/>
                <w:szCs w:val="21"/>
              </w:rPr>
              <w:t>回转窑排口</w:t>
            </w:r>
          </w:p>
        </w:tc>
        <w:tc>
          <w:tcPr>
            <w:tcW w:w="791" w:type="pct"/>
            <w:tcBorders>
              <w:tl2br w:val="nil"/>
              <w:tr2bl w:val="nil"/>
            </w:tcBorders>
            <w:shd w:val="clear" w:color="auto" w:fill="auto"/>
            <w:tcMar>
              <w:top w:w="15" w:type="dxa"/>
              <w:left w:w="15" w:type="dxa"/>
              <w:right w:w="15" w:type="dxa"/>
            </w:tcMar>
            <w:vAlign w:val="center"/>
          </w:tcPr>
          <w:p w14:paraId="0715B64B">
            <w:pPr>
              <w:snapToGrid w:val="0"/>
              <w:jc w:val="center"/>
              <w:rPr>
                <w:rFonts w:hint="eastAsia" w:ascii="仿宋" w:hAnsi="仿宋" w:eastAsia="仿宋" w:cs="仿宋"/>
                <w:sz w:val="21"/>
                <w:szCs w:val="21"/>
              </w:rPr>
            </w:pPr>
            <w:r>
              <w:rPr>
                <w:rFonts w:hint="eastAsia" w:ascii="仿宋" w:hAnsi="仿宋" w:eastAsia="仿宋" w:cs="仿宋"/>
                <w:sz w:val="21"/>
                <w:szCs w:val="21"/>
              </w:rPr>
              <w:t>SO</w:t>
            </w:r>
            <w:r>
              <w:rPr>
                <w:rFonts w:hint="eastAsia" w:ascii="仿宋" w:hAnsi="仿宋" w:eastAsia="仿宋" w:cs="仿宋"/>
                <w:sz w:val="21"/>
                <w:szCs w:val="21"/>
                <w:vertAlign w:val="subscript"/>
              </w:rPr>
              <w:t>2</w:t>
            </w:r>
            <w:r>
              <w:rPr>
                <w:rFonts w:hint="eastAsia" w:ascii="仿宋" w:hAnsi="仿宋" w:eastAsia="仿宋" w:cs="仿宋"/>
                <w:sz w:val="21"/>
                <w:szCs w:val="21"/>
              </w:rPr>
              <w:t>、NO</w:t>
            </w:r>
            <w:r>
              <w:rPr>
                <w:rFonts w:hint="eastAsia" w:ascii="仿宋" w:hAnsi="仿宋" w:eastAsia="仿宋" w:cs="仿宋"/>
                <w:sz w:val="21"/>
                <w:szCs w:val="21"/>
                <w:vertAlign w:val="subscript"/>
              </w:rPr>
              <w:t>X</w:t>
            </w:r>
            <w:r>
              <w:rPr>
                <w:rFonts w:hint="eastAsia" w:ascii="仿宋" w:hAnsi="仿宋" w:eastAsia="仿宋" w:cs="仿宋"/>
                <w:sz w:val="21"/>
                <w:szCs w:val="21"/>
              </w:rPr>
              <w:t>、颗粒物、温度、湿度、流量、含氧量、压力</w:t>
            </w:r>
          </w:p>
        </w:tc>
        <w:tc>
          <w:tcPr>
            <w:tcW w:w="486" w:type="pct"/>
            <w:tcBorders>
              <w:tl2br w:val="nil"/>
              <w:tr2bl w:val="nil"/>
            </w:tcBorders>
            <w:shd w:val="clear" w:color="auto" w:fill="auto"/>
            <w:tcMar>
              <w:top w:w="15" w:type="dxa"/>
              <w:left w:w="15" w:type="dxa"/>
              <w:right w:w="15" w:type="dxa"/>
            </w:tcMar>
            <w:vAlign w:val="center"/>
          </w:tcPr>
          <w:p w14:paraId="2117BAE5">
            <w:pPr>
              <w:snapToGrid w:val="0"/>
              <w:jc w:val="center"/>
              <w:rPr>
                <w:rFonts w:hint="eastAsia" w:ascii="仿宋" w:hAnsi="仿宋" w:eastAsia="仿宋" w:cs="仿宋"/>
                <w:sz w:val="21"/>
                <w:szCs w:val="21"/>
              </w:rPr>
            </w:pPr>
            <w:r>
              <w:rPr>
                <w:rFonts w:hint="eastAsia" w:ascii="仿宋" w:hAnsi="仿宋" w:eastAsia="仿宋" w:cs="仿宋"/>
                <w:sz w:val="21"/>
                <w:szCs w:val="21"/>
              </w:rPr>
              <w:t>是</w:t>
            </w:r>
          </w:p>
        </w:tc>
        <w:tc>
          <w:tcPr>
            <w:tcW w:w="914" w:type="pct"/>
            <w:tcBorders>
              <w:tl2br w:val="nil"/>
              <w:tr2bl w:val="nil"/>
            </w:tcBorders>
            <w:shd w:val="clear" w:color="auto" w:fill="auto"/>
            <w:tcMar>
              <w:top w:w="15" w:type="dxa"/>
              <w:left w:w="15" w:type="dxa"/>
              <w:right w:w="15" w:type="dxa"/>
            </w:tcMar>
            <w:vAlign w:val="center"/>
          </w:tcPr>
          <w:p w14:paraId="763A5FD2">
            <w:pPr>
              <w:snapToGrid w:val="0"/>
              <w:jc w:val="center"/>
              <w:rPr>
                <w:rFonts w:hint="eastAsia" w:ascii="仿宋" w:hAnsi="仿宋" w:eastAsia="仿宋" w:cs="仿宋"/>
                <w:sz w:val="21"/>
                <w:szCs w:val="21"/>
              </w:rPr>
            </w:pPr>
            <w:r>
              <w:rPr>
                <w:rFonts w:hint="eastAsia" w:ascii="仿宋" w:hAnsi="仿宋" w:eastAsia="仿宋" w:cs="仿宋"/>
                <w:sz w:val="21"/>
                <w:szCs w:val="21"/>
              </w:rPr>
              <w:t>重点污染源自动监控与基础数据库系统V3.2(长天平台）</w:t>
            </w:r>
          </w:p>
        </w:tc>
        <w:tc>
          <w:tcPr>
            <w:tcW w:w="729" w:type="pct"/>
            <w:tcBorders>
              <w:tl2br w:val="nil"/>
              <w:tr2bl w:val="nil"/>
            </w:tcBorders>
            <w:shd w:val="clear" w:color="auto" w:fill="auto"/>
            <w:tcMar>
              <w:top w:w="15" w:type="dxa"/>
              <w:left w:w="15" w:type="dxa"/>
              <w:right w:w="15" w:type="dxa"/>
            </w:tcMar>
            <w:vAlign w:val="center"/>
          </w:tcPr>
          <w:p w14:paraId="216BEA00">
            <w:pPr>
              <w:snapToGrid w:val="0"/>
              <w:jc w:val="center"/>
              <w:rPr>
                <w:rFonts w:hint="eastAsia" w:ascii="仿宋" w:hAnsi="仿宋" w:eastAsia="仿宋" w:cs="仿宋"/>
                <w:sz w:val="21"/>
                <w:szCs w:val="21"/>
              </w:rPr>
            </w:pPr>
            <w:r>
              <w:rPr>
                <w:rFonts w:hint="eastAsia" w:ascii="仿宋" w:hAnsi="仿宋" w:eastAsia="仿宋" w:cs="仿宋"/>
                <w:sz w:val="21"/>
                <w:szCs w:val="21"/>
              </w:rPr>
              <w:t>长沙华时捷环保科技发展股份有限公司</w:t>
            </w:r>
          </w:p>
        </w:tc>
        <w:tc>
          <w:tcPr>
            <w:tcW w:w="893" w:type="pct"/>
            <w:tcBorders>
              <w:tl2br w:val="nil"/>
              <w:tr2bl w:val="nil"/>
            </w:tcBorders>
            <w:shd w:val="clear" w:color="auto" w:fill="auto"/>
            <w:tcMar>
              <w:top w:w="15" w:type="dxa"/>
              <w:left w:w="15" w:type="dxa"/>
              <w:right w:w="15" w:type="dxa"/>
            </w:tcMar>
            <w:vAlign w:val="center"/>
          </w:tcPr>
          <w:p w14:paraId="5DF84079">
            <w:pPr>
              <w:snapToGrid w:val="0"/>
              <w:jc w:val="center"/>
              <w:rPr>
                <w:rFonts w:hint="eastAsia" w:ascii="仿宋" w:hAnsi="仿宋" w:eastAsia="仿宋" w:cs="仿宋"/>
                <w:sz w:val="21"/>
                <w:szCs w:val="21"/>
              </w:rPr>
            </w:pPr>
            <w:r>
              <w:rPr>
                <w:rFonts w:hint="eastAsia" w:ascii="仿宋" w:hAnsi="仿宋" w:eastAsia="仿宋" w:cs="仿宋"/>
                <w:sz w:val="21"/>
                <w:szCs w:val="21"/>
              </w:rPr>
              <w:t>达标</w:t>
            </w:r>
          </w:p>
        </w:tc>
      </w:tr>
      <w:tr w14:paraId="75EBA0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25521371">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3</w:t>
            </w:r>
          </w:p>
        </w:tc>
        <w:tc>
          <w:tcPr>
            <w:tcW w:w="606" w:type="pct"/>
            <w:tcBorders>
              <w:tl2br w:val="nil"/>
              <w:tr2bl w:val="nil"/>
            </w:tcBorders>
            <w:shd w:val="clear" w:color="auto" w:fill="auto"/>
            <w:tcMar>
              <w:top w:w="15" w:type="dxa"/>
              <w:left w:w="15" w:type="dxa"/>
              <w:right w:w="15" w:type="dxa"/>
            </w:tcMar>
            <w:vAlign w:val="center"/>
          </w:tcPr>
          <w:p w14:paraId="05390A65">
            <w:pPr>
              <w:snapToGrid w:val="0"/>
              <w:jc w:val="center"/>
              <w:rPr>
                <w:rFonts w:hint="eastAsia" w:ascii="仿宋" w:hAnsi="仿宋" w:eastAsia="仿宋" w:cs="仿宋"/>
                <w:sz w:val="21"/>
                <w:szCs w:val="21"/>
              </w:rPr>
            </w:pPr>
            <w:r>
              <w:rPr>
                <w:rFonts w:hint="eastAsia" w:ascii="仿宋" w:hAnsi="仿宋" w:eastAsia="仿宋" w:cs="仿宋"/>
                <w:sz w:val="21"/>
                <w:szCs w:val="21"/>
              </w:rPr>
              <w:t>湖南森泰生物科技有限公司</w:t>
            </w:r>
          </w:p>
        </w:tc>
        <w:tc>
          <w:tcPr>
            <w:tcW w:w="391" w:type="pct"/>
            <w:tcBorders>
              <w:tl2br w:val="nil"/>
              <w:tr2bl w:val="nil"/>
            </w:tcBorders>
            <w:shd w:val="clear" w:color="auto" w:fill="auto"/>
            <w:tcMar>
              <w:top w:w="15" w:type="dxa"/>
              <w:left w:w="15" w:type="dxa"/>
              <w:right w:w="15" w:type="dxa"/>
            </w:tcMar>
            <w:vAlign w:val="center"/>
          </w:tcPr>
          <w:p w14:paraId="00F28770">
            <w:pPr>
              <w:snapToGrid w:val="0"/>
              <w:jc w:val="center"/>
              <w:rPr>
                <w:rFonts w:hint="eastAsia" w:ascii="仿宋" w:hAnsi="仿宋" w:eastAsia="仿宋" w:cs="仿宋"/>
                <w:sz w:val="21"/>
                <w:szCs w:val="21"/>
              </w:rPr>
            </w:pPr>
            <w:r>
              <w:rPr>
                <w:rFonts w:hint="eastAsia" w:ascii="仿宋" w:hAnsi="仿宋" w:eastAsia="仿宋" w:cs="仿宋"/>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64B384B8">
            <w:pPr>
              <w:snapToGrid w:val="0"/>
              <w:jc w:val="center"/>
              <w:rPr>
                <w:rFonts w:hint="eastAsia" w:ascii="仿宋" w:hAnsi="仿宋" w:eastAsia="仿宋" w:cs="仿宋"/>
                <w:sz w:val="21"/>
                <w:szCs w:val="21"/>
              </w:rPr>
            </w:pPr>
            <w:r>
              <w:rPr>
                <w:rFonts w:hint="eastAsia" w:ascii="仿宋" w:hAnsi="仿宋" w:eastAsia="仿宋" w:cs="仿宋"/>
                <w:sz w:val="21"/>
                <w:szCs w:val="21"/>
              </w:rPr>
              <w:t>SO</w:t>
            </w:r>
            <w:r>
              <w:rPr>
                <w:rFonts w:hint="eastAsia" w:ascii="仿宋" w:hAnsi="仿宋" w:eastAsia="仿宋" w:cs="仿宋"/>
                <w:sz w:val="21"/>
                <w:szCs w:val="21"/>
                <w:vertAlign w:val="subscript"/>
              </w:rPr>
              <w:t>2</w:t>
            </w:r>
            <w:r>
              <w:rPr>
                <w:rFonts w:hint="eastAsia" w:ascii="仿宋" w:hAnsi="仿宋" w:eastAsia="仿宋" w:cs="仿宋"/>
                <w:sz w:val="21"/>
                <w:szCs w:val="21"/>
              </w:rPr>
              <w:t>、NO</w:t>
            </w:r>
            <w:r>
              <w:rPr>
                <w:rFonts w:hint="eastAsia" w:ascii="仿宋" w:hAnsi="仿宋" w:eastAsia="仿宋" w:cs="仿宋"/>
                <w:sz w:val="21"/>
                <w:szCs w:val="21"/>
                <w:vertAlign w:val="subscript"/>
              </w:rPr>
              <w:t>X</w:t>
            </w:r>
            <w:r>
              <w:rPr>
                <w:rFonts w:hint="eastAsia" w:ascii="仿宋" w:hAnsi="仿宋" w:eastAsia="仿宋" w:cs="仿宋"/>
                <w:sz w:val="21"/>
                <w:szCs w:val="21"/>
              </w:rPr>
              <w:t>、颗粒物、温度、湿度、流量、含氧量、压力</w:t>
            </w:r>
          </w:p>
        </w:tc>
        <w:tc>
          <w:tcPr>
            <w:tcW w:w="486" w:type="pct"/>
            <w:tcBorders>
              <w:tl2br w:val="nil"/>
              <w:tr2bl w:val="nil"/>
            </w:tcBorders>
            <w:shd w:val="clear" w:color="auto" w:fill="auto"/>
            <w:tcMar>
              <w:top w:w="15" w:type="dxa"/>
              <w:left w:w="15" w:type="dxa"/>
              <w:right w:w="15" w:type="dxa"/>
            </w:tcMar>
            <w:vAlign w:val="center"/>
          </w:tcPr>
          <w:p w14:paraId="7834B6A1">
            <w:pPr>
              <w:snapToGrid w:val="0"/>
              <w:jc w:val="center"/>
              <w:rPr>
                <w:rFonts w:hint="eastAsia" w:ascii="仿宋" w:hAnsi="仿宋" w:eastAsia="仿宋" w:cs="仿宋"/>
                <w:sz w:val="21"/>
                <w:szCs w:val="21"/>
              </w:rPr>
            </w:pPr>
            <w:r>
              <w:rPr>
                <w:rFonts w:hint="eastAsia" w:ascii="仿宋" w:hAnsi="仿宋" w:eastAsia="仿宋" w:cs="仿宋"/>
                <w:sz w:val="21"/>
                <w:szCs w:val="21"/>
              </w:rPr>
              <w:t>是</w:t>
            </w:r>
          </w:p>
        </w:tc>
        <w:tc>
          <w:tcPr>
            <w:tcW w:w="914" w:type="pct"/>
            <w:tcBorders>
              <w:tl2br w:val="nil"/>
              <w:tr2bl w:val="nil"/>
            </w:tcBorders>
            <w:shd w:val="clear" w:color="auto" w:fill="auto"/>
            <w:tcMar>
              <w:top w:w="15" w:type="dxa"/>
              <w:left w:w="15" w:type="dxa"/>
              <w:right w:w="15" w:type="dxa"/>
            </w:tcMar>
            <w:vAlign w:val="center"/>
          </w:tcPr>
          <w:p w14:paraId="5DECFC2A">
            <w:pPr>
              <w:snapToGrid w:val="0"/>
              <w:jc w:val="center"/>
              <w:rPr>
                <w:rFonts w:hint="eastAsia" w:ascii="仿宋" w:hAnsi="仿宋" w:eastAsia="仿宋" w:cs="仿宋"/>
                <w:sz w:val="21"/>
                <w:szCs w:val="21"/>
              </w:rPr>
            </w:pPr>
            <w:r>
              <w:rPr>
                <w:rFonts w:hint="eastAsia" w:ascii="仿宋" w:hAnsi="仿宋" w:eastAsia="仿宋" w:cs="仿宋"/>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26D559A1">
            <w:pPr>
              <w:snapToGrid w:val="0"/>
              <w:jc w:val="center"/>
              <w:rPr>
                <w:rFonts w:hint="eastAsia" w:ascii="仿宋" w:hAnsi="仿宋" w:eastAsia="仿宋" w:cs="仿宋"/>
                <w:sz w:val="21"/>
                <w:szCs w:val="21"/>
              </w:rPr>
            </w:pPr>
            <w:r>
              <w:rPr>
                <w:rFonts w:hint="eastAsia" w:ascii="仿宋" w:hAnsi="仿宋" w:eastAsia="仿宋" w:cs="仿宋"/>
                <w:sz w:val="21"/>
                <w:szCs w:val="21"/>
              </w:rPr>
              <w:t>湖南益伦环境工程有限公司</w:t>
            </w:r>
          </w:p>
        </w:tc>
        <w:tc>
          <w:tcPr>
            <w:tcW w:w="893" w:type="pct"/>
            <w:tcBorders>
              <w:tl2br w:val="nil"/>
              <w:tr2bl w:val="nil"/>
            </w:tcBorders>
            <w:shd w:val="clear" w:color="auto" w:fill="auto"/>
            <w:tcMar>
              <w:top w:w="15" w:type="dxa"/>
              <w:left w:w="15" w:type="dxa"/>
              <w:right w:w="15" w:type="dxa"/>
            </w:tcMar>
            <w:vAlign w:val="center"/>
          </w:tcPr>
          <w:p w14:paraId="62C267C2">
            <w:pPr>
              <w:snapToGrid w:val="0"/>
              <w:jc w:val="center"/>
              <w:rPr>
                <w:rFonts w:hint="eastAsia" w:ascii="仿宋" w:hAnsi="仿宋" w:eastAsia="仿宋" w:cs="仿宋"/>
                <w:sz w:val="21"/>
                <w:szCs w:val="21"/>
              </w:rPr>
            </w:pPr>
            <w:r>
              <w:rPr>
                <w:rFonts w:hint="eastAsia" w:ascii="仿宋" w:hAnsi="仿宋" w:eastAsia="仿宋" w:cs="仿宋"/>
                <w:sz w:val="21"/>
                <w:szCs w:val="21"/>
              </w:rPr>
              <w:t>达标</w:t>
            </w:r>
          </w:p>
        </w:tc>
      </w:tr>
      <w:tr w14:paraId="5DD771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40E25C17">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4</w:t>
            </w:r>
          </w:p>
        </w:tc>
        <w:tc>
          <w:tcPr>
            <w:tcW w:w="606" w:type="pct"/>
            <w:tcBorders>
              <w:tl2br w:val="nil"/>
              <w:tr2bl w:val="nil"/>
            </w:tcBorders>
            <w:shd w:val="clear" w:color="auto" w:fill="auto"/>
            <w:tcMar>
              <w:top w:w="15" w:type="dxa"/>
              <w:left w:w="15" w:type="dxa"/>
              <w:right w:w="15" w:type="dxa"/>
            </w:tcMar>
            <w:vAlign w:val="center"/>
          </w:tcPr>
          <w:p w14:paraId="7508ABD2">
            <w:pPr>
              <w:snapToGrid w:val="0"/>
              <w:jc w:val="center"/>
              <w:rPr>
                <w:rFonts w:hint="eastAsia" w:ascii="仿宋" w:hAnsi="仿宋" w:eastAsia="仿宋" w:cs="仿宋"/>
                <w:sz w:val="21"/>
                <w:szCs w:val="21"/>
              </w:rPr>
            </w:pPr>
            <w:r>
              <w:rPr>
                <w:rFonts w:hint="eastAsia" w:ascii="仿宋" w:hAnsi="仿宋" w:eastAsia="仿宋" w:cs="仿宋"/>
                <w:sz w:val="21"/>
                <w:szCs w:val="21"/>
              </w:rPr>
              <w:t>湖南新向维包装有限公司</w:t>
            </w:r>
          </w:p>
        </w:tc>
        <w:tc>
          <w:tcPr>
            <w:tcW w:w="391" w:type="pct"/>
            <w:tcBorders>
              <w:tl2br w:val="nil"/>
              <w:tr2bl w:val="nil"/>
            </w:tcBorders>
            <w:shd w:val="clear" w:color="auto" w:fill="auto"/>
            <w:tcMar>
              <w:top w:w="15" w:type="dxa"/>
              <w:left w:w="15" w:type="dxa"/>
              <w:right w:w="15" w:type="dxa"/>
            </w:tcMar>
            <w:vAlign w:val="center"/>
          </w:tcPr>
          <w:p w14:paraId="6B062AC2">
            <w:pPr>
              <w:snapToGrid w:val="0"/>
              <w:jc w:val="center"/>
              <w:rPr>
                <w:rFonts w:hint="eastAsia" w:ascii="仿宋" w:hAnsi="仿宋" w:eastAsia="仿宋" w:cs="仿宋"/>
                <w:sz w:val="21"/>
                <w:szCs w:val="21"/>
              </w:rPr>
            </w:pPr>
            <w:r>
              <w:rPr>
                <w:rFonts w:hint="eastAsia" w:ascii="仿宋" w:hAnsi="仿宋" w:eastAsia="仿宋" w:cs="仿宋"/>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058082FF">
            <w:pPr>
              <w:snapToGrid w:val="0"/>
              <w:jc w:val="center"/>
              <w:rPr>
                <w:rFonts w:hint="eastAsia" w:ascii="仿宋" w:hAnsi="仿宋" w:eastAsia="仿宋" w:cs="仿宋"/>
                <w:sz w:val="21"/>
                <w:szCs w:val="21"/>
              </w:rPr>
            </w:pPr>
            <w:r>
              <w:rPr>
                <w:rFonts w:hint="eastAsia" w:ascii="仿宋" w:hAnsi="仿宋" w:eastAsia="仿宋" w:cs="仿宋"/>
                <w:sz w:val="21"/>
                <w:szCs w:val="21"/>
              </w:rPr>
              <w:t>非甲烷总烃、温度、流量、湿度、压力、含氧量</w:t>
            </w:r>
          </w:p>
        </w:tc>
        <w:tc>
          <w:tcPr>
            <w:tcW w:w="486" w:type="pct"/>
            <w:tcBorders>
              <w:tl2br w:val="nil"/>
              <w:tr2bl w:val="nil"/>
            </w:tcBorders>
            <w:shd w:val="clear" w:color="auto" w:fill="auto"/>
            <w:tcMar>
              <w:top w:w="15" w:type="dxa"/>
              <w:left w:w="15" w:type="dxa"/>
              <w:right w:w="15" w:type="dxa"/>
            </w:tcMar>
            <w:vAlign w:val="center"/>
          </w:tcPr>
          <w:p w14:paraId="46BC341E">
            <w:pPr>
              <w:snapToGrid w:val="0"/>
              <w:jc w:val="center"/>
              <w:rPr>
                <w:rFonts w:hint="eastAsia" w:ascii="仿宋" w:hAnsi="仿宋" w:eastAsia="仿宋" w:cs="仿宋"/>
                <w:sz w:val="21"/>
                <w:szCs w:val="21"/>
              </w:rPr>
            </w:pPr>
            <w:r>
              <w:rPr>
                <w:rFonts w:hint="eastAsia" w:ascii="仿宋" w:hAnsi="仿宋" w:eastAsia="仿宋" w:cs="仿宋"/>
                <w:sz w:val="21"/>
                <w:szCs w:val="21"/>
              </w:rPr>
              <w:t>是</w:t>
            </w:r>
          </w:p>
        </w:tc>
        <w:tc>
          <w:tcPr>
            <w:tcW w:w="914" w:type="pct"/>
            <w:tcBorders>
              <w:tl2br w:val="nil"/>
              <w:tr2bl w:val="nil"/>
            </w:tcBorders>
            <w:shd w:val="clear" w:color="auto" w:fill="auto"/>
            <w:tcMar>
              <w:top w:w="15" w:type="dxa"/>
              <w:left w:w="15" w:type="dxa"/>
              <w:right w:w="15" w:type="dxa"/>
            </w:tcMar>
            <w:vAlign w:val="center"/>
          </w:tcPr>
          <w:p w14:paraId="39051422">
            <w:pPr>
              <w:snapToGrid w:val="0"/>
              <w:jc w:val="center"/>
              <w:rPr>
                <w:rFonts w:hint="eastAsia" w:ascii="仿宋" w:hAnsi="仿宋" w:eastAsia="仿宋" w:cs="仿宋"/>
                <w:sz w:val="21"/>
                <w:szCs w:val="21"/>
              </w:rPr>
            </w:pPr>
            <w:r>
              <w:rPr>
                <w:rFonts w:hint="eastAsia" w:ascii="仿宋" w:hAnsi="仿宋" w:eastAsia="仿宋" w:cs="仿宋"/>
                <w:sz w:val="21"/>
                <w:szCs w:val="21"/>
              </w:rPr>
              <w:t>重点污染源自动监控与基础数据库系统V3.2(长天平台）</w:t>
            </w:r>
          </w:p>
        </w:tc>
        <w:tc>
          <w:tcPr>
            <w:tcW w:w="729" w:type="pct"/>
            <w:tcBorders>
              <w:tl2br w:val="nil"/>
              <w:tr2bl w:val="nil"/>
            </w:tcBorders>
            <w:shd w:val="clear" w:color="auto" w:fill="auto"/>
            <w:tcMar>
              <w:top w:w="15" w:type="dxa"/>
              <w:left w:w="15" w:type="dxa"/>
              <w:right w:w="15" w:type="dxa"/>
            </w:tcMar>
            <w:vAlign w:val="center"/>
          </w:tcPr>
          <w:p w14:paraId="2CFE3E64">
            <w:pPr>
              <w:pStyle w:val="18"/>
              <w:widowControl/>
              <w:spacing w:beforeAutospacing="0" w:afterAutospacing="0"/>
              <w:jc w:val="center"/>
              <w:rPr>
                <w:rFonts w:hint="eastAsia" w:ascii="仿宋" w:hAnsi="仿宋" w:eastAsia="仿宋" w:cs="仿宋"/>
                <w:kern w:val="2"/>
                <w:sz w:val="21"/>
                <w:szCs w:val="21"/>
              </w:rPr>
            </w:pPr>
            <w:r>
              <w:rPr>
                <w:rFonts w:hint="eastAsia" w:ascii="仿宋" w:hAnsi="仿宋" w:eastAsia="仿宋" w:cs="仿宋"/>
                <w:kern w:val="2"/>
                <w:sz w:val="21"/>
                <w:szCs w:val="21"/>
              </w:rPr>
              <w:t>泽睿环保科技有限公司</w:t>
            </w:r>
          </w:p>
        </w:tc>
        <w:tc>
          <w:tcPr>
            <w:tcW w:w="893" w:type="pct"/>
            <w:tcBorders>
              <w:tl2br w:val="nil"/>
              <w:tr2bl w:val="nil"/>
            </w:tcBorders>
            <w:shd w:val="clear" w:color="auto" w:fill="auto"/>
            <w:tcMar>
              <w:top w:w="15" w:type="dxa"/>
              <w:left w:w="15" w:type="dxa"/>
              <w:right w:w="15" w:type="dxa"/>
            </w:tcMar>
            <w:vAlign w:val="center"/>
          </w:tcPr>
          <w:p w14:paraId="0A10D049">
            <w:pPr>
              <w:snapToGrid w:val="0"/>
              <w:jc w:val="center"/>
              <w:rPr>
                <w:rFonts w:hint="eastAsia" w:ascii="仿宋" w:hAnsi="仿宋" w:eastAsia="仿宋" w:cs="仿宋"/>
                <w:sz w:val="21"/>
                <w:szCs w:val="21"/>
              </w:rPr>
            </w:pPr>
            <w:r>
              <w:rPr>
                <w:rFonts w:hint="eastAsia" w:ascii="仿宋" w:hAnsi="仿宋" w:eastAsia="仿宋" w:cs="仿宋"/>
                <w:sz w:val="21"/>
                <w:szCs w:val="21"/>
              </w:rPr>
              <w:t>达标</w:t>
            </w:r>
          </w:p>
        </w:tc>
      </w:tr>
      <w:tr w14:paraId="603F75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74473505">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5</w:t>
            </w:r>
          </w:p>
        </w:tc>
        <w:tc>
          <w:tcPr>
            <w:tcW w:w="606" w:type="pct"/>
            <w:tcBorders>
              <w:tl2br w:val="nil"/>
              <w:tr2bl w:val="nil"/>
            </w:tcBorders>
            <w:shd w:val="clear" w:color="auto" w:fill="auto"/>
            <w:tcMar>
              <w:top w:w="15" w:type="dxa"/>
              <w:left w:w="15" w:type="dxa"/>
              <w:right w:w="15" w:type="dxa"/>
            </w:tcMar>
            <w:vAlign w:val="center"/>
          </w:tcPr>
          <w:p w14:paraId="0B02AD01">
            <w:pPr>
              <w:snapToGrid w:val="0"/>
              <w:jc w:val="center"/>
              <w:rPr>
                <w:rFonts w:hint="eastAsia" w:ascii="仿宋" w:hAnsi="仿宋" w:eastAsia="仿宋" w:cs="仿宋"/>
                <w:sz w:val="21"/>
                <w:szCs w:val="21"/>
              </w:rPr>
            </w:pPr>
            <w:r>
              <w:rPr>
                <w:rFonts w:hint="eastAsia" w:ascii="仿宋" w:hAnsi="仿宋" w:eastAsia="仿宋" w:cs="仿宋"/>
                <w:sz w:val="21"/>
                <w:szCs w:val="21"/>
              </w:rPr>
              <w:t>湖南国雅彩印有限公司</w:t>
            </w:r>
          </w:p>
        </w:tc>
        <w:tc>
          <w:tcPr>
            <w:tcW w:w="391" w:type="pct"/>
            <w:tcBorders>
              <w:tl2br w:val="nil"/>
              <w:tr2bl w:val="nil"/>
            </w:tcBorders>
            <w:shd w:val="clear" w:color="auto" w:fill="auto"/>
            <w:tcMar>
              <w:top w:w="15" w:type="dxa"/>
              <w:left w:w="15" w:type="dxa"/>
              <w:right w:w="15" w:type="dxa"/>
            </w:tcMar>
            <w:vAlign w:val="center"/>
          </w:tcPr>
          <w:p w14:paraId="625DBBDC">
            <w:pPr>
              <w:snapToGrid w:val="0"/>
              <w:jc w:val="center"/>
              <w:rPr>
                <w:rFonts w:hint="eastAsia" w:ascii="仿宋" w:hAnsi="仿宋" w:eastAsia="仿宋" w:cs="仿宋"/>
                <w:sz w:val="21"/>
                <w:szCs w:val="21"/>
              </w:rPr>
            </w:pPr>
            <w:r>
              <w:rPr>
                <w:rFonts w:hint="eastAsia" w:ascii="仿宋" w:hAnsi="仿宋" w:eastAsia="仿宋" w:cs="仿宋"/>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10392D8E">
            <w:pPr>
              <w:snapToGrid w:val="0"/>
              <w:jc w:val="center"/>
              <w:rPr>
                <w:rFonts w:hint="eastAsia" w:ascii="仿宋" w:hAnsi="仿宋" w:eastAsia="仿宋" w:cs="仿宋"/>
                <w:sz w:val="21"/>
                <w:szCs w:val="21"/>
              </w:rPr>
            </w:pPr>
            <w:r>
              <w:rPr>
                <w:rFonts w:hint="eastAsia" w:ascii="仿宋" w:hAnsi="仿宋" w:eastAsia="仿宋" w:cs="仿宋"/>
                <w:sz w:val="21"/>
                <w:szCs w:val="21"/>
              </w:rPr>
              <w:t>非甲烷总烃、温度、流量、湿度、压力、含氧量</w:t>
            </w:r>
          </w:p>
        </w:tc>
        <w:tc>
          <w:tcPr>
            <w:tcW w:w="486" w:type="pct"/>
            <w:tcBorders>
              <w:tl2br w:val="nil"/>
              <w:tr2bl w:val="nil"/>
            </w:tcBorders>
            <w:shd w:val="clear" w:color="auto" w:fill="auto"/>
            <w:tcMar>
              <w:top w:w="15" w:type="dxa"/>
              <w:left w:w="15" w:type="dxa"/>
              <w:right w:w="15" w:type="dxa"/>
            </w:tcMar>
            <w:vAlign w:val="center"/>
          </w:tcPr>
          <w:p w14:paraId="092E4890">
            <w:pPr>
              <w:snapToGrid w:val="0"/>
              <w:jc w:val="center"/>
              <w:rPr>
                <w:rFonts w:hint="eastAsia" w:ascii="仿宋" w:hAnsi="仿宋" w:eastAsia="仿宋" w:cs="仿宋"/>
                <w:sz w:val="21"/>
                <w:szCs w:val="21"/>
              </w:rPr>
            </w:pPr>
            <w:r>
              <w:rPr>
                <w:rFonts w:hint="eastAsia" w:ascii="仿宋" w:hAnsi="仿宋" w:eastAsia="仿宋" w:cs="仿宋"/>
                <w:sz w:val="21"/>
                <w:szCs w:val="21"/>
              </w:rPr>
              <w:t>是</w:t>
            </w:r>
          </w:p>
        </w:tc>
        <w:tc>
          <w:tcPr>
            <w:tcW w:w="914" w:type="pct"/>
            <w:tcBorders>
              <w:tl2br w:val="nil"/>
              <w:tr2bl w:val="nil"/>
            </w:tcBorders>
            <w:shd w:val="clear" w:color="auto" w:fill="auto"/>
            <w:tcMar>
              <w:top w:w="15" w:type="dxa"/>
              <w:left w:w="15" w:type="dxa"/>
              <w:right w:w="15" w:type="dxa"/>
            </w:tcMar>
            <w:vAlign w:val="center"/>
          </w:tcPr>
          <w:p w14:paraId="0855A8CB">
            <w:pPr>
              <w:snapToGrid w:val="0"/>
              <w:jc w:val="center"/>
              <w:rPr>
                <w:rFonts w:hint="eastAsia" w:ascii="仿宋" w:hAnsi="仿宋" w:eastAsia="仿宋" w:cs="仿宋"/>
                <w:sz w:val="21"/>
                <w:szCs w:val="21"/>
              </w:rPr>
            </w:pPr>
            <w:r>
              <w:rPr>
                <w:rFonts w:hint="eastAsia" w:ascii="仿宋" w:hAnsi="仿宋" w:eastAsia="仿宋" w:cs="仿宋"/>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28330690">
            <w:pPr>
              <w:snapToGrid w:val="0"/>
              <w:jc w:val="center"/>
              <w:rPr>
                <w:rFonts w:hint="eastAsia" w:ascii="仿宋" w:hAnsi="仿宋" w:eastAsia="仿宋" w:cs="仿宋"/>
                <w:sz w:val="21"/>
                <w:szCs w:val="21"/>
              </w:rPr>
            </w:pPr>
            <w:r>
              <w:rPr>
                <w:rFonts w:hint="eastAsia" w:ascii="仿宋" w:hAnsi="仿宋" w:eastAsia="仿宋" w:cs="仿宋"/>
                <w:sz w:val="21"/>
                <w:szCs w:val="21"/>
              </w:rPr>
              <w:t>湖南世纪天源环保技术有限公司</w:t>
            </w:r>
          </w:p>
        </w:tc>
        <w:tc>
          <w:tcPr>
            <w:tcW w:w="893" w:type="pct"/>
            <w:tcBorders>
              <w:tl2br w:val="nil"/>
              <w:tr2bl w:val="nil"/>
            </w:tcBorders>
            <w:shd w:val="clear" w:color="auto" w:fill="auto"/>
            <w:tcMar>
              <w:top w:w="15" w:type="dxa"/>
              <w:left w:w="15" w:type="dxa"/>
              <w:right w:w="15" w:type="dxa"/>
            </w:tcMar>
            <w:vAlign w:val="center"/>
          </w:tcPr>
          <w:p w14:paraId="11ECBF84">
            <w:pPr>
              <w:snapToGrid w:val="0"/>
              <w:jc w:val="center"/>
              <w:rPr>
                <w:rFonts w:hint="eastAsia" w:ascii="仿宋" w:hAnsi="仿宋" w:eastAsia="仿宋" w:cs="仿宋"/>
                <w:sz w:val="21"/>
                <w:szCs w:val="21"/>
              </w:rPr>
            </w:pPr>
            <w:r>
              <w:rPr>
                <w:rFonts w:hint="eastAsia" w:ascii="仿宋" w:hAnsi="仿宋" w:eastAsia="仿宋" w:cs="仿宋"/>
                <w:sz w:val="21"/>
                <w:szCs w:val="21"/>
              </w:rPr>
              <w:t>达标</w:t>
            </w:r>
          </w:p>
        </w:tc>
      </w:tr>
      <w:tr w14:paraId="10AC30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35F490F8">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6</w:t>
            </w:r>
          </w:p>
        </w:tc>
        <w:tc>
          <w:tcPr>
            <w:tcW w:w="606" w:type="pct"/>
            <w:tcBorders>
              <w:tl2br w:val="nil"/>
              <w:tr2bl w:val="nil"/>
            </w:tcBorders>
            <w:shd w:val="clear" w:color="auto" w:fill="auto"/>
            <w:tcMar>
              <w:top w:w="15" w:type="dxa"/>
              <w:left w:w="15" w:type="dxa"/>
              <w:right w:w="15" w:type="dxa"/>
            </w:tcMar>
            <w:vAlign w:val="center"/>
          </w:tcPr>
          <w:p w14:paraId="18447767">
            <w:pPr>
              <w:snapToGrid w:val="0"/>
              <w:jc w:val="center"/>
              <w:rPr>
                <w:rFonts w:hint="eastAsia" w:ascii="仿宋" w:hAnsi="仿宋" w:eastAsia="仿宋" w:cs="仿宋"/>
                <w:sz w:val="21"/>
                <w:szCs w:val="21"/>
              </w:rPr>
            </w:pPr>
            <w:r>
              <w:rPr>
                <w:rFonts w:hint="eastAsia" w:ascii="仿宋" w:hAnsi="仿宋" w:eastAsia="仿宋" w:cs="仿宋"/>
                <w:sz w:val="21"/>
                <w:szCs w:val="21"/>
              </w:rPr>
              <w:t>湖南彩达包装印务有限公司</w:t>
            </w:r>
          </w:p>
        </w:tc>
        <w:tc>
          <w:tcPr>
            <w:tcW w:w="391" w:type="pct"/>
            <w:tcBorders>
              <w:tl2br w:val="nil"/>
              <w:tr2bl w:val="nil"/>
            </w:tcBorders>
            <w:shd w:val="clear" w:color="auto" w:fill="auto"/>
            <w:tcMar>
              <w:top w:w="15" w:type="dxa"/>
              <w:left w:w="15" w:type="dxa"/>
              <w:right w:w="15" w:type="dxa"/>
            </w:tcMar>
            <w:vAlign w:val="center"/>
          </w:tcPr>
          <w:p w14:paraId="798C6B11">
            <w:pPr>
              <w:snapToGrid w:val="0"/>
              <w:jc w:val="center"/>
              <w:rPr>
                <w:rFonts w:hint="eastAsia" w:ascii="仿宋" w:hAnsi="仿宋" w:eastAsia="仿宋" w:cs="仿宋"/>
                <w:sz w:val="21"/>
                <w:szCs w:val="21"/>
              </w:rPr>
            </w:pPr>
            <w:r>
              <w:rPr>
                <w:rFonts w:hint="eastAsia" w:ascii="仿宋" w:hAnsi="仿宋" w:eastAsia="仿宋" w:cs="仿宋"/>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227D4B8C">
            <w:pPr>
              <w:snapToGrid w:val="0"/>
              <w:jc w:val="center"/>
              <w:rPr>
                <w:rFonts w:hint="eastAsia" w:ascii="仿宋" w:hAnsi="仿宋" w:eastAsia="仿宋" w:cs="仿宋"/>
                <w:sz w:val="21"/>
                <w:szCs w:val="21"/>
              </w:rPr>
            </w:pPr>
            <w:r>
              <w:rPr>
                <w:rFonts w:hint="eastAsia" w:ascii="仿宋" w:hAnsi="仿宋" w:eastAsia="仿宋" w:cs="仿宋"/>
                <w:sz w:val="21"/>
                <w:szCs w:val="21"/>
              </w:rPr>
              <w:t>非甲烷总烃、温度、流量、湿度、压力、含氧量</w:t>
            </w:r>
          </w:p>
        </w:tc>
        <w:tc>
          <w:tcPr>
            <w:tcW w:w="486" w:type="pct"/>
            <w:tcBorders>
              <w:tl2br w:val="nil"/>
              <w:tr2bl w:val="nil"/>
            </w:tcBorders>
            <w:shd w:val="clear" w:color="auto" w:fill="auto"/>
            <w:tcMar>
              <w:top w:w="15" w:type="dxa"/>
              <w:left w:w="15" w:type="dxa"/>
              <w:right w:w="15" w:type="dxa"/>
            </w:tcMar>
            <w:vAlign w:val="center"/>
          </w:tcPr>
          <w:p w14:paraId="2745835E">
            <w:pPr>
              <w:snapToGrid w:val="0"/>
              <w:jc w:val="center"/>
              <w:rPr>
                <w:rFonts w:hint="eastAsia" w:ascii="仿宋" w:hAnsi="仿宋" w:eastAsia="仿宋" w:cs="仿宋"/>
                <w:sz w:val="21"/>
                <w:szCs w:val="21"/>
              </w:rPr>
            </w:pPr>
            <w:r>
              <w:rPr>
                <w:rFonts w:hint="eastAsia" w:ascii="仿宋" w:hAnsi="仿宋" w:eastAsia="仿宋" w:cs="仿宋"/>
                <w:sz w:val="21"/>
                <w:szCs w:val="21"/>
              </w:rPr>
              <w:t>是</w:t>
            </w:r>
          </w:p>
        </w:tc>
        <w:tc>
          <w:tcPr>
            <w:tcW w:w="914" w:type="pct"/>
            <w:tcBorders>
              <w:tl2br w:val="nil"/>
              <w:tr2bl w:val="nil"/>
            </w:tcBorders>
            <w:shd w:val="clear" w:color="auto" w:fill="auto"/>
            <w:tcMar>
              <w:top w:w="15" w:type="dxa"/>
              <w:left w:w="15" w:type="dxa"/>
              <w:right w:w="15" w:type="dxa"/>
            </w:tcMar>
            <w:vAlign w:val="center"/>
          </w:tcPr>
          <w:p w14:paraId="58D342F7">
            <w:pPr>
              <w:snapToGrid w:val="0"/>
              <w:jc w:val="center"/>
              <w:rPr>
                <w:rFonts w:hint="eastAsia" w:ascii="仿宋" w:hAnsi="仿宋" w:eastAsia="仿宋" w:cs="仿宋"/>
                <w:sz w:val="21"/>
                <w:szCs w:val="21"/>
              </w:rPr>
            </w:pPr>
            <w:r>
              <w:rPr>
                <w:rFonts w:hint="eastAsia" w:ascii="仿宋" w:hAnsi="仿宋" w:eastAsia="仿宋" w:cs="仿宋"/>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5123BA31">
            <w:pPr>
              <w:snapToGrid w:val="0"/>
              <w:jc w:val="center"/>
              <w:rPr>
                <w:rFonts w:hint="eastAsia" w:ascii="仿宋" w:hAnsi="仿宋" w:eastAsia="仿宋" w:cs="仿宋"/>
                <w:sz w:val="21"/>
                <w:szCs w:val="21"/>
              </w:rPr>
            </w:pPr>
            <w:r>
              <w:rPr>
                <w:rFonts w:hint="eastAsia" w:ascii="仿宋" w:hAnsi="仿宋" w:eastAsia="仿宋" w:cs="仿宋"/>
                <w:sz w:val="21"/>
                <w:szCs w:val="21"/>
              </w:rPr>
              <w:t>湖南世纪天源环保技术有限公司</w:t>
            </w:r>
          </w:p>
        </w:tc>
        <w:tc>
          <w:tcPr>
            <w:tcW w:w="893" w:type="pct"/>
            <w:tcBorders>
              <w:tl2br w:val="nil"/>
              <w:tr2bl w:val="nil"/>
            </w:tcBorders>
            <w:shd w:val="clear" w:color="auto" w:fill="auto"/>
            <w:tcMar>
              <w:top w:w="15" w:type="dxa"/>
              <w:left w:w="15" w:type="dxa"/>
              <w:right w:w="15" w:type="dxa"/>
            </w:tcMar>
            <w:vAlign w:val="center"/>
          </w:tcPr>
          <w:p w14:paraId="2F100856">
            <w:pPr>
              <w:snapToGrid w:val="0"/>
              <w:jc w:val="center"/>
              <w:rPr>
                <w:rFonts w:hint="eastAsia" w:ascii="仿宋" w:hAnsi="仿宋" w:eastAsia="仿宋" w:cs="仿宋"/>
                <w:sz w:val="21"/>
                <w:szCs w:val="21"/>
              </w:rPr>
            </w:pPr>
            <w:r>
              <w:rPr>
                <w:rFonts w:hint="eastAsia" w:ascii="仿宋" w:hAnsi="仿宋" w:eastAsia="仿宋" w:cs="仿宋"/>
                <w:sz w:val="21"/>
                <w:szCs w:val="21"/>
              </w:rPr>
              <w:t>达标</w:t>
            </w:r>
          </w:p>
        </w:tc>
      </w:tr>
      <w:tr w14:paraId="2F28F9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4F0A3A41">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7</w:t>
            </w:r>
          </w:p>
        </w:tc>
        <w:tc>
          <w:tcPr>
            <w:tcW w:w="606" w:type="pct"/>
            <w:tcBorders>
              <w:tl2br w:val="nil"/>
              <w:tr2bl w:val="nil"/>
            </w:tcBorders>
            <w:shd w:val="clear" w:color="auto" w:fill="auto"/>
            <w:tcMar>
              <w:top w:w="15" w:type="dxa"/>
              <w:left w:w="15" w:type="dxa"/>
              <w:right w:w="15" w:type="dxa"/>
            </w:tcMar>
            <w:vAlign w:val="center"/>
          </w:tcPr>
          <w:p w14:paraId="67EC7E24">
            <w:pPr>
              <w:snapToGrid w:val="0"/>
              <w:jc w:val="center"/>
              <w:rPr>
                <w:rFonts w:hint="eastAsia" w:ascii="仿宋" w:hAnsi="仿宋" w:eastAsia="仿宋" w:cs="仿宋"/>
                <w:sz w:val="21"/>
                <w:szCs w:val="21"/>
              </w:rPr>
            </w:pPr>
            <w:r>
              <w:rPr>
                <w:rFonts w:hint="eastAsia" w:ascii="仿宋" w:hAnsi="仿宋" w:eastAsia="仿宋" w:cs="仿宋"/>
                <w:sz w:val="21"/>
                <w:szCs w:val="21"/>
              </w:rPr>
              <w:t>湖南恒会昌彩印包装有限公司</w:t>
            </w:r>
          </w:p>
        </w:tc>
        <w:tc>
          <w:tcPr>
            <w:tcW w:w="391" w:type="pct"/>
            <w:tcBorders>
              <w:tl2br w:val="nil"/>
              <w:tr2bl w:val="nil"/>
            </w:tcBorders>
            <w:shd w:val="clear" w:color="auto" w:fill="auto"/>
            <w:tcMar>
              <w:top w:w="15" w:type="dxa"/>
              <w:left w:w="15" w:type="dxa"/>
              <w:right w:w="15" w:type="dxa"/>
            </w:tcMar>
            <w:vAlign w:val="center"/>
          </w:tcPr>
          <w:p w14:paraId="7954B163">
            <w:pPr>
              <w:snapToGrid w:val="0"/>
              <w:jc w:val="center"/>
              <w:rPr>
                <w:rFonts w:hint="eastAsia" w:ascii="仿宋" w:hAnsi="仿宋" w:eastAsia="仿宋" w:cs="仿宋"/>
                <w:sz w:val="21"/>
                <w:szCs w:val="21"/>
              </w:rPr>
            </w:pPr>
            <w:r>
              <w:rPr>
                <w:rFonts w:hint="eastAsia" w:ascii="仿宋" w:hAnsi="仿宋" w:eastAsia="仿宋" w:cs="仿宋"/>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11B232B0">
            <w:pPr>
              <w:snapToGrid w:val="0"/>
              <w:jc w:val="center"/>
              <w:rPr>
                <w:rFonts w:hint="eastAsia" w:ascii="仿宋" w:hAnsi="仿宋" w:eastAsia="仿宋" w:cs="仿宋"/>
                <w:sz w:val="21"/>
                <w:szCs w:val="21"/>
              </w:rPr>
            </w:pPr>
            <w:r>
              <w:rPr>
                <w:rFonts w:hint="eastAsia" w:ascii="仿宋" w:hAnsi="仿宋" w:eastAsia="仿宋" w:cs="仿宋"/>
                <w:sz w:val="21"/>
                <w:szCs w:val="21"/>
              </w:rPr>
              <w:t>非甲烷总烃、温度、流量、湿度、压力、含氧量</w:t>
            </w:r>
          </w:p>
        </w:tc>
        <w:tc>
          <w:tcPr>
            <w:tcW w:w="486" w:type="pct"/>
            <w:tcBorders>
              <w:tl2br w:val="nil"/>
              <w:tr2bl w:val="nil"/>
            </w:tcBorders>
            <w:shd w:val="clear" w:color="auto" w:fill="auto"/>
            <w:tcMar>
              <w:top w:w="15" w:type="dxa"/>
              <w:left w:w="15" w:type="dxa"/>
              <w:right w:w="15" w:type="dxa"/>
            </w:tcMar>
            <w:vAlign w:val="center"/>
          </w:tcPr>
          <w:p w14:paraId="2241BD61">
            <w:pPr>
              <w:snapToGrid w:val="0"/>
              <w:jc w:val="center"/>
              <w:rPr>
                <w:rFonts w:hint="eastAsia" w:ascii="仿宋" w:hAnsi="仿宋" w:eastAsia="仿宋" w:cs="仿宋"/>
                <w:sz w:val="21"/>
                <w:szCs w:val="21"/>
              </w:rPr>
            </w:pPr>
            <w:r>
              <w:rPr>
                <w:rFonts w:hint="eastAsia" w:ascii="仿宋" w:hAnsi="仿宋" w:eastAsia="仿宋" w:cs="仿宋"/>
                <w:sz w:val="21"/>
                <w:szCs w:val="21"/>
              </w:rPr>
              <w:t>是</w:t>
            </w:r>
          </w:p>
        </w:tc>
        <w:tc>
          <w:tcPr>
            <w:tcW w:w="914" w:type="pct"/>
            <w:tcBorders>
              <w:tl2br w:val="nil"/>
              <w:tr2bl w:val="nil"/>
            </w:tcBorders>
            <w:shd w:val="clear" w:color="auto" w:fill="auto"/>
            <w:tcMar>
              <w:top w:w="15" w:type="dxa"/>
              <w:left w:w="15" w:type="dxa"/>
              <w:right w:w="15" w:type="dxa"/>
            </w:tcMar>
            <w:vAlign w:val="center"/>
          </w:tcPr>
          <w:p w14:paraId="029AC743">
            <w:pPr>
              <w:snapToGrid w:val="0"/>
              <w:jc w:val="center"/>
              <w:rPr>
                <w:rFonts w:hint="eastAsia" w:ascii="仿宋" w:hAnsi="仿宋" w:eastAsia="仿宋" w:cs="仿宋"/>
                <w:sz w:val="21"/>
                <w:szCs w:val="21"/>
              </w:rPr>
            </w:pPr>
            <w:r>
              <w:rPr>
                <w:rFonts w:hint="eastAsia" w:ascii="仿宋" w:hAnsi="仿宋" w:eastAsia="仿宋" w:cs="仿宋"/>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6FBA7870">
            <w:pPr>
              <w:snapToGrid w:val="0"/>
              <w:jc w:val="center"/>
              <w:rPr>
                <w:rFonts w:hint="eastAsia" w:ascii="仿宋" w:hAnsi="仿宋" w:eastAsia="仿宋" w:cs="仿宋"/>
                <w:sz w:val="21"/>
                <w:szCs w:val="21"/>
              </w:rPr>
            </w:pPr>
            <w:r>
              <w:rPr>
                <w:rFonts w:hint="eastAsia" w:ascii="仿宋" w:hAnsi="仿宋" w:eastAsia="仿宋" w:cs="仿宋"/>
                <w:sz w:val="21"/>
                <w:szCs w:val="21"/>
              </w:rPr>
              <w:t>泽睿环保科技有限公司</w:t>
            </w:r>
          </w:p>
        </w:tc>
        <w:tc>
          <w:tcPr>
            <w:tcW w:w="893" w:type="pct"/>
            <w:tcBorders>
              <w:tl2br w:val="nil"/>
              <w:tr2bl w:val="nil"/>
            </w:tcBorders>
            <w:shd w:val="clear" w:color="auto" w:fill="auto"/>
            <w:tcMar>
              <w:top w:w="15" w:type="dxa"/>
              <w:left w:w="15" w:type="dxa"/>
              <w:right w:w="15" w:type="dxa"/>
            </w:tcMar>
            <w:vAlign w:val="center"/>
          </w:tcPr>
          <w:p w14:paraId="4B689F58">
            <w:pPr>
              <w:snapToGrid w:val="0"/>
              <w:jc w:val="center"/>
              <w:rPr>
                <w:rFonts w:hint="eastAsia" w:ascii="仿宋" w:hAnsi="仿宋" w:eastAsia="仿宋" w:cs="仿宋"/>
                <w:sz w:val="21"/>
                <w:szCs w:val="21"/>
              </w:rPr>
            </w:pPr>
            <w:r>
              <w:rPr>
                <w:rFonts w:hint="eastAsia" w:ascii="仿宋" w:hAnsi="仿宋" w:eastAsia="仿宋" w:cs="仿宋"/>
                <w:sz w:val="21"/>
                <w:szCs w:val="21"/>
              </w:rPr>
              <w:t>达标</w:t>
            </w:r>
          </w:p>
        </w:tc>
      </w:tr>
      <w:tr w14:paraId="0B6E5F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90" w:type="pct"/>
            <w:tcBorders>
              <w:tl2br w:val="nil"/>
              <w:tr2bl w:val="nil"/>
            </w:tcBorders>
            <w:shd w:val="clear" w:color="auto" w:fill="auto"/>
            <w:tcMar>
              <w:top w:w="15" w:type="dxa"/>
              <w:left w:w="15" w:type="dxa"/>
              <w:right w:w="15" w:type="dxa"/>
            </w:tcMar>
            <w:vAlign w:val="center"/>
          </w:tcPr>
          <w:p w14:paraId="1FE557AB">
            <w:pPr>
              <w:snapToGrid w:val="0"/>
              <w:jc w:val="center"/>
              <w:rPr>
                <w:rFonts w:ascii="Times New Roman" w:hAnsi="Times New Roman" w:eastAsia="仿宋" w:cs="Times New Roman"/>
                <w:sz w:val="21"/>
                <w:szCs w:val="21"/>
              </w:rPr>
            </w:pPr>
            <w:r>
              <w:rPr>
                <w:rFonts w:hint="eastAsia" w:ascii="Times New Roman" w:hAnsi="Times New Roman" w:eastAsia="仿宋" w:cs="Times New Roman"/>
                <w:sz w:val="21"/>
                <w:szCs w:val="21"/>
              </w:rPr>
              <w:t>8</w:t>
            </w:r>
          </w:p>
        </w:tc>
        <w:tc>
          <w:tcPr>
            <w:tcW w:w="606" w:type="pct"/>
            <w:tcBorders>
              <w:tl2br w:val="nil"/>
              <w:tr2bl w:val="nil"/>
            </w:tcBorders>
            <w:shd w:val="clear" w:color="auto" w:fill="auto"/>
            <w:tcMar>
              <w:top w:w="15" w:type="dxa"/>
              <w:left w:w="15" w:type="dxa"/>
              <w:right w:w="15" w:type="dxa"/>
            </w:tcMar>
            <w:vAlign w:val="center"/>
          </w:tcPr>
          <w:p w14:paraId="21ECC929">
            <w:pPr>
              <w:snapToGrid w:val="0"/>
              <w:jc w:val="center"/>
              <w:rPr>
                <w:rFonts w:hint="eastAsia" w:ascii="仿宋" w:hAnsi="仿宋" w:eastAsia="仿宋" w:cs="仿宋"/>
                <w:sz w:val="21"/>
                <w:szCs w:val="21"/>
              </w:rPr>
            </w:pPr>
            <w:r>
              <w:rPr>
                <w:rFonts w:hint="eastAsia" w:ascii="仿宋" w:hAnsi="仿宋" w:eastAsia="仿宋" w:cs="仿宋"/>
                <w:sz w:val="21"/>
                <w:szCs w:val="21"/>
              </w:rPr>
              <w:t>湘潭聚森清洁能源供热有限公司</w:t>
            </w:r>
          </w:p>
        </w:tc>
        <w:tc>
          <w:tcPr>
            <w:tcW w:w="391" w:type="pct"/>
            <w:tcBorders>
              <w:tl2br w:val="nil"/>
              <w:tr2bl w:val="nil"/>
            </w:tcBorders>
            <w:shd w:val="clear" w:color="auto" w:fill="auto"/>
            <w:tcMar>
              <w:top w:w="15" w:type="dxa"/>
              <w:left w:w="15" w:type="dxa"/>
              <w:right w:w="15" w:type="dxa"/>
            </w:tcMar>
            <w:vAlign w:val="center"/>
          </w:tcPr>
          <w:p w14:paraId="1C669B90">
            <w:pPr>
              <w:snapToGrid w:val="0"/>
              <w:jc w:val="center"/>
              <w:rPr>
                <w:rFonts w:hint="eastAsia" w:ascii="仿宋" w:hAnsi="仿宋" w:eastAsia="仿宋" w:cs="仿宋"/>
                <w:sz w:val="21"/>
                <w:szCs w:val="21"/>
              </w:rPr>
            </w:pPr>
            <w:r>
              <w:rPr>
                <w:rFonts w:hint="eastAsia" w:ascii="仿宋" w:hAnsi="仿宋" w:eastAsia="仿宋" w:cs="仿宋"/>
                <w:sz w:val="21"/>
                <w:szCs w:val="21"/>
              </w:rPr>
              <w:t>总排口</w:t>
            </w:r>
          </w:p>
        </w:tc>
        <w:tc>
          <w:tcPr>
            <w:tcW w:w="791" w:type="pct"/>
            <w:tcBorders>
              <w:tl2br w:val="nil"/>
              <w:tr2bl w:val="nil"/>
            </w:tcBorders>
            <w:shd w:val="clear" w:color="auto" w:fill="auto"/>
            <w:tcMar>
              <w:top w:w="15" w:type="dxa"/>
              <w:left w:w="15" w:type="dxa"/>
              <w:right w:w="15" w:type="dxa"/>
            </w:tcMar>
            <w:vAlign w:val="center"/>
          </w:tcPr>
          <w:p w14:paraId="5AB399E9">
            <w:pPr>
              <w:snapToGrid w:val="0"/>
              <w:jc w:val="center"/>
              <w:rPr>
                <w:rFonts w:hint="eastAsia" w:ascii="仿宋" w:hAnsi="仿宋" w:eastAsia="仿宋" w:cs="仿宋"/>
                <w:sz w:val="21"/>
                <w:szCs w:val="21"/>
              </w:rPr>
            </w:pPr>
            <w:r>
              <w:rPr>
                <w:rFonts w:hint="eastAsia" w:ascii="仿宋" w:hAnsi="仿宋" w:eastAsia="仿宋" w:cs="仿宋"/>
                <w:sz w:val="21"/>
                <w:szCs w:val="21"/>
              </w:rPr>
              <w:t>SO</w:t>
            </w:r>
            <w:r>
              <w:rPr>
                <w:rFonts w:hint="eastAsia" w:ascii="仿宋" w:hAnsi="仿宋" w:eastAsia="仿宋" w:cs="仿宋"/>
                <w:sz w:val="21"/>
                <w:szCs w:val="21"/>
                <w:vertAlign w:val="subscript"/>
              </w:rPr>
              <w:t>2</w:t>
            </w:r>
            <w:r>
              <w:rPr>
                <w:rFonts w:hint="eastAsia" w:ascii="仿宋" w:hAnsi="仿宋" w:eastAsia="仿宋" w:cs="仿宋"/>
                <w:sz w:val="21"/>
                <w:szCs w:val="21"/>
              </w:rPr>
              <w:t>、NO</w:t>
            </w:r>
            <w:r>
              <w:rPr>
                <w:rFonts w:hint="eastAsia" w:ascii="仿宋" w:hAnsi="仿宋" w:eastAsia="仿宋" w:cs="仿宋"/>
                <w:sz w:val="21"/>
                <w:szCs w:val="21"/>
                <w:vertAlign w:val="subscript"/>
              </w:rPr>
              <w:t>X</w:t>
            </w:r>
            <w:r>
              <w:rPr>
                <w:rFonts w:hint="eastAsia" w:ascii="仿宋" w:hAnsi="仿宋" w:eastAsia="仿宋" w:cs="仿宋"/>
                <w:sz w:val="21"/>
                <w:szCs w:val="21"/>
              </w:rPr>
              <w:t>、颗粒物、温度、湿度、流量、含氧量、压力</w:t>
            </w:r>
          </w:p>
        </w:tc>
        <w:tc>
          <w:tcPr>
            <w:tcW w:w="486" w:type="pct"/>
            <w:tcBorders>
              <w:tl2br w:val="nil"/>
              <w:tr2bl w:val="nil"/>
            </w:tcBorders>
            <w:shd w:val="clear" w:color="auto" w:fill="auto"/>
            <w:tcMar>
              <w:top w:w="15" w:type="dxa"/>
              <w:left w:w="15" w:type="dxa"/>
              <w:right w:w="15" w:type="dxa"/>
            </w:tcMar>
            <w:vAlign w:val="center"/>
          </w:tcPr>
          <w:p w14:paraId="01D12F60">
            <w:pPr>
              <w:snapToGrid w:val="0"/>
              <w:jc w:val="center"/>
              <w:rPr>
                <w:rFonts w:hint="eastAsia" w:ascii="仿宋" w:hAnsi="仿宋" w:eastAsia="仿宋" w:cs="仿宋"/>
                <w:sz w:val="21"/>
                <w:szCs w:val="21"/>
              </w:rPr>
            </w:pPr>
            <w:r>
              <w:rPr>
                <w:rFonts w:hint="eastAsia" w:ascii="仿宋" w:hAnsi="仿宋" w:eastAsia="仿宋" w:cs="仿宋"/>
                <w:sz w:val="21"/>
                <w:szCs w:val="21"/>
              </w:rPr>
              <w:t>是</w:t>
            </w:r>
          </w:p>
        </w:tc>
        <w:tc>
          <w:tcPr>
            <w:tcW w:w="914" w:type="pct"/>
            <w:tcBorders>
              <w:tl2br w:val="nil"/>
              <w:tr2bl w:val="nil"/>
            </w:tcBorders>
            <w:shd w:val="clear" w:color="auto" w:fill="auto"/>
            <w:tcMar>
              <w:top w:w="15" w:type="dxa"/>
              <w:left w:w="15" w:type="dxa"/>
              <w:right w:w="15" w:type="dxa"/>
            </w:tcMar>
            <w:vAlign w:val="center"/>
          </w:tcPr>
          <w:p w14:paraId="400156A5">
            <w:pPr>
              <w:snapToGrid w:val="0"/>
              <w:jc w:val="center"/>
              <w:rPr>
                <w:rFonts w:hint="eastAsia" w:ascii="仿宋" w:hAnsi="仿宋" w:eastAsia="仿宋" w:cs="仿宋"/>
                <w:sz w:val="21"/>
                <w:szCs w:val="21"/>
              </w:rPr>
            </w:pPr>
            <w:r>
              <w:rPr>
                <w:rFonts w:hint="eastAsia" w:ascii="仿宋" w:hAnsi="仿宋" w:eastAsia="仿宋" w:cs="仿宋"/>
                <w:sz w:val="21"/>
                <w:szCs w:val="21"/>
              </w:rPr>
              <w:t>湘潭市污染源自动监控管理平台（力合平台）</w:t>
            </w:r>
          </w:p>
        </w:tc>
        <w:tc>
          <w:tcPr>
            <w:tcW w:w="729" w:type="pct"/>
            <w:tcBorders>
              <w:tl2br w:val="nil"/>
              <w:tr2bl w:val="nil"/>
            </w:tcBorders>
            <w:shd w:val="clear" w:color="auto" w:fill="auto"/>
            <w:tcMar>
              <w:top w:w="15" w:type="dxa"/>
              <w:left w:w="15" w:type="dxa"/>
              <w:right w:w="15" w:type="dxa"/>
            </w:tcMar>
            <w:vAlign w:val="center"/>
          </w:tcPr>
          <w:p w14:paraId="5132FCA9">
            <w:pPr>
              <w:snapToGrid w:val="0"/>
              <w:jc w:val="center"/>
              <w:rPr>
                <w:rFonts w:hint="eastAsia" w:ascii="仿宋" w:hAnsi="仿宋" w:eastAsia="仿宋" w:cs="仿宋"/>
                <w:sz w:val="21"/>
                <w:szCs w:val="21"/>
              </w:rPr>
            </w:pPr>
            <w:r>
              <w:rPr>
                <w:rFonts w:hint="eastAsia" w:ascii="仿宋" w:hAnsi="仿宋" w:eastAsia="仿宋" w:cs="仿宋"/>
                <w:sz w:val="21"/>
                <w:szCs w:val="21"/>
              </w:rPr>
              <w:t>湖南盈展环境科技有限公司</w:t>
            </w:r>
          </w:p>
        </w:tc>
        <w:tc>
          <w:tcPr>
            <w:tcW w:w="893" w:type="pct"/>
            <w:tcBorders>
              <w:tl2br w:val="nil"/>
              <w:tr2bl w:val="nil"/>
            </w:tcBorders>
            <w:shd w:val="clear" w:color="auto" w:fill="auto"/>
            <w:tcMar>
              <w:top w:w="15" w:type="dxa"/>
              <w:left w:w="15" w:type="dxa"/>
              <w:right w:w="15" w:type="dxa"/>
            </w:tcMar>
            <w:vAlign w:val="center"/>
          </w:tcPr>
          <w:p w14:paraId="6B89B3BE">
            <w:pPr>
              <w:snapToGrid w:val="0"/>
              <w:jc w:val="center"/>
              <w:rPr>
                <w:rFonts w:hint="eastAsia" w:ascii="仿宋" w:hAnsi="仿宋" w:eastAsia="仿宋" w:cs="仿宋"/>
                <w:sz w:val="21"/>
                <w:szCs w:val="21"/>
              </w:rPr>
            </w:pPr>
            <w:r>
              <w:rPr>
                <w:rFonts w:hint="eastAsia" w:ascii="仿宋" w:hAnsi="仿宋" w:eastAsia="仿宋" w:cs="仿宋"/>
                <w:sz w:val="21"/>
                <w:szCs w:val="21"/>
              </w:rPr>
              <w:t>达标</w:t>
            </w:r>
          </w:p>
        </w:tc>
      </w:tr>
    </w:tbl>
    <w:p w14:paraId="36CB3C03">
      <w:pPr>
        <w:keepNext w:val="0"/>
        <w:keepLines w:val="0"/>
        <w:pageBreakBefore w:val="0"/>
        <w:widowControl w:val="0"/>
        <w:kinsoku/>
        <w:wordWrap/>
        <w:overflowPunct w:val="0"/>
        <w:topLinePunct w:val="0"/>
        <w:autoSpaceDE/>
        <w:autoSpaceDN/>
        <w:bidi w:val="0"/>
        <w:adjustRightInd w:val="0"/>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经开区的废气重点污染源纳入了“重点污染源自动监控于基础数据库系统V3.2”(西安长天)和“湘潭市污染源自动监控管理平台“(力合科技（湖南）股份有限公司)在线监控，企业自身例行监测，全面系统掌控园区建设、发展过程中的环境质量的变化。</w:t>
      </w:r>
      <w:bookmarkStart w:id="25" w:name="_Toc2756"/>
    </w:p>
    <w:p w14:paraId="79DDDAB8">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3"/>
        <w:textAlignment w:val="auto"/>
        <w:outlineLvl w:val="1"/>
        <w:rPr>
          <w:rFonts w:hint="eastAsia" w:ascii="楷体" w:hAnsi="楷体" w:eastAsia="楷体" w:cs="楷体"/>
          <w:b/>
          <w:bCs/>
          <w:szCs w:val="32"/>
        </w:rPr>
      </w:pPr>
      <w:bookmarkStart w:id="26" w:name="_Toc7664"/>
      <w:r>
        <w:rPr>
          <w:rFonts w:hint="eastAsia" w:ascii="楷体" w:hAnsi="楷体" w:eastAsia="楷体" w:cs="楷体"/>
          <w:b/>
          <w:bCs/>
          <w:szCs w:val="32"/>
        </w:rPr>
        <w:t>（五）土壤环境管理</w:t>
      </w:r>
      <w:bookmarkEnd w:id="25"/>
      <w:bookmarkEnd w:id="26"/>
    </w:p>
    <w:p w14:paraId="1F3BA88A">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3"/>
        <w:textAlignment w:val="auto"/>
        <w:rPr>
          <w:rFonts w:ascii="Times New Roman" w:hAnsi="Times New Roman" w:eastAsia="仿宋"/>
          <w:b/>
          <w:bCs/>
          <w:szCs w:val="32"/>
        </w:rPr>
      </w:pPr>
      <w:r>
        <w:rPr>
          <w:rFonts w:ascii="Times New Roman" w:hAnsi="Times New Roman" w:eastAsia="仿宋"/>
          <w:b/>
          <w:bCs/>
          <w:szCs w:val="32"/>
        </w:rPr>
        <w:t>1、土壤环境监测</w:t>
      </w:r>
    </w:p>
    <w:p w14:paraId="7135F6E1">
      <w:pPr>
        <w:keepNext w:val="0"/>
        <w:keepLines w:val="0"/>
        <w:pageBreakBefore w:val="0"/>
        <w:widowControl w:val="0"/>
        <w:kinsoku/>
        <w:wordWrap/>
        <w:overflowPunct w:val="0"/>
        <w:topLinePunct w:val="0"/>
        <w:autoSpaceDE/>
        <w:autoSpaceDN/>
        <w:bidi w:val="0"/>
        <w:adjustRightInd w:val="0"/>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园区于202</w:t>
      </w:r>
      <w:r>
        <w:rPr>
          <w:rFonts w:hint="eastAsia" w:ascii="仿宋" w:hAnsi="仿宋" w:eastAsia="仿宋" w:cs="仿宋"/>
          <w:sz w:val="30"/>
          <w:szCs w:val="30"/>
          <w:lang w:val="en-US" w:eastAsia="zh-CN"/>
        </w:rPr>
        <w:t>5</w:t>
      </w:r>
      <w:r>
        <w:rPr>
          <w:rFonts w:hint="eastAsia" w:ascii="仿宋" w:hAnsi="仿宋" w:eastAsia="仿宋" w:cs="仿宋"/>
          <w:sz w:val="30"/>
          <w:szCs w:val="30"/>
        </w:rPr>
        <w:t>年委托</w:t>
      </w:r>
      <w:r>
        <w:rPr>
          <w:rFonts w:hint="eastAsia" w:ascii="仿宋" w:hAnsi="仿宋" w:eastAsia="仿宋" w:cs="仿宋"/>
          <w:bCs/>
          <w:sz w:val="30"/>
          <w:szCs w:val="30"/>
        </w:rPr>
        <w:t>湖南</w:t>
      </w:r>
      <w:r>
        <w:rPr>
          <w:rFonts w:hint="eastAsia" w:ascii="仿宋" w:hAnsi="仿宋" w:eastAsia="仿宋" w:cs="仿宋"/>
          <w:bCs/>
          <w:sz w:val="30"/>
          <w:szCs w:val="30"/>
          <w:lang w:val="en-US" w:eastAsia="zh-CN"/>
        </w:rPr>
        <w:t>瑞鉴</w:t>
      </w:r>
      <w:r>
        <w:rPr>
          <w:rFonts w:hint="eastAsia" w:ascii="仿宋" w:hAnsi="仿宋" w:eastAsia="仿宋" w:cs="仿宋"/>
          <w:bCs/>
          <w:sz w:val="30"/>
          <w:szCs w:val="30"/>
        </w:rPr>
        <w:t>检测有限公司</w:t>
      </w:r>
      <w:r>
        <w:rPr>
          <w:rFonts w:hint="eastAsia" w:ascii="仿宋" w:hAnsi="仿宋" w:eastAsia="仿宋" w:cs="仿宋"/>
          <w:sz w:val="30"/>
          <w:szCs w:val="30"/>
        </w:rPr>
        <w:t>对赋江村（旱地）、山塘湾（旱地）、青光村（旱地）和康大工贸附近绿地四个点位进行了土壤环境质量监测。</w:t>
      </w:r>
    </w:p>
    <w:p w14:paraId="7CDEA74F">
      <w:pPr>
        <w:pStyle w:val="21"/>
        <w:keepNext w:val="0"/>
        <w:keepLines w:val="0"/>
        <w:pageBreakBefore w:val="0"/>
        <w:widowControl w:val="0"/>
        <w:kinsoku/>
        <w:wordWrap/>
        <w:overflowPunct w:val="0"/>
        <w:topLinePunct w:val="0"/>
        <w:autoSpaceDE/>
        <w:autoSpaceDN/>
        <w:bidi w:val="0"/>
        <w:adjustRightIn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根据检测报告，赋江村（旱地）、山塘湾（旱地）、青光村（旱地）三个监测点位的监测因子均达到《土壤环境质量 农用地土壤污染风险管控标准（试行）》（GB15618-2018）其他标准限值，达标率100%；康大工贸附近绿地的监测因子《土壤环境质量 建设用地土壤污染风险管控标准》（试行）（GB36600-2018）风险筛选值中的第二类用地的标准限值，达标率100%。</w:t>
      </w:r>
    </w:p>
    <w:p w14:paraId="07AD0A83">
      <w:pPr>
        <w:pStyle w:val="7"/>
        <w:keepNext w:val="0"/>
        <w:keepLines w:val="0"/>
        <w:pageBreakBefore w:val="0"/>
        <w:widowControl w:val="0"/>
        <w:kinsoku/>
        <w:wordWrap/>
        <w:overflowPunct w:val="0"/>
        <w:topLinePunct w:val="0"/>
        <w:autoSpaceDE/>
        <w:autoSpaceDN/>
        <w:bidi w:val="0"/>
        <w:adjustRightInd w:val="0"/>
        <w:spacing w:after="0" w:line="560" w:lineRule="exact"/>
        <w:ind w:firstLine="479"/>
        <w:textAlignment w:val="auto"/>
        <w:rPr>
          <w:rFonts w:ascii="Times New Roman" w:hAnsi="Times New Roman" w:eastAsia="仿宋" w:cs="Times New Roman"/>
          <w:b/>
          <w:bCs/>
          <w:sz w:val="32"/>
          <w:szCs w:val="32"/>
        </w:rPr>
      </w:pPr>
      <w:r>
        <w:rPr>
          <w:rFonts w:ascii="Times New Roman" w:hAnsi="Times New Roman" w:eastAsia="仿宋" w:cs="Times New Roman"/>
          <w:b/>
          <w:bCs/>
          <w:sz w:val="32"/>
          <w:szCs w:val="32"/>
        </w:rPr>
        <w:t>2、污染地块情况</w:t>
      </w:r>
    </w:p>
    <w:p w14:paraId="7E5B1FC7">
      <w:pPr>
        <w:pStyle w:val="7"/>
        <w:keepNext w:val="0"/>
        <w:keepLines w:val="0"/>
        <w:pageBreakBefore w:val="0"/>
        <w:widowControl w:val="0"/>
        <w:kinsoku/>
        <w:wordWrap/>
        <w:overflowPunct w:val="0"/>
        <w:topLinePunct w:val="0"/>
        <w:autoSpaceDE/>
        <w:autoSpaceDN/>
        <w:bidi w:val="0"/>
        <w:adjustRightInd w:val="0"/>
        <w:spacing w:after="0" w:line="560" w:lineRule="exact"/>
        <w:ind w:firstLine="600" w:firstLineChars="200"/>
        <w:textAlignment w:val="auto"/>
        <w:rPr>
          <w:rFonts w:hint="eastAsia" w:ascii="仿宋" w:hAnsi="仿宋" w:eastAsia="仿宋" w:cs="仿宋"/>
          <w:sz w:val="30"/>
          <w:szCs w:val="30"/>
        </w:rPr>
      </w:pPr>
      <w:bookmarkStart w:id="27" w:name="_Toc17499"/>
      <w:r>
        <w:rPr>
          <w:rFonts w:hint="eastAsia" w:ascii="仿宋" w:hAnsi="仿宋" w:eastAsia="仿宋" w:cs="仿宋"/>
          <w:sz w:val="30"/>
          <w:szCs w:val="30"/>
        </w:rPr>
        <w:t>园区内涉及污染地块数量</w:t>
      </w:r>
      <w:r>
        <w:rPr>
          <w:rFonts w:hint="eastAsia" w:ascii="仿宋" w:hAnsi="仿宋" w:eastAsia="仿宋" w:cs="仿宋"/>
          <w:sz w:val="30"/>
          <w:szCs w:val="30"/>
          <w:u w:val="single"/>
        </w:rPr>
        <w:t>0</w:t>
      </w:r>
      <w:r>
        <w:rPr>
          <w:rFonts w:hint="eastAsia" w:ascii="仿宋" w:hAnsi="仿宋" w:eastAsia="仿宋" w:cs="仿宋"/>
          <w:sz w:val="30"/>
          <w:szCs w:val="30"/>
        </w:rPr>
        <w:t>个。</w:t>
      </w:r>
    </w:p>
    <w:p w14:paraId="62EE4375">
      <w:pPr>
        <w:keepNext w:val="0"/>
        <w:keepLines w:val="0"/>
        <w:pageBreakBefore w:val="0"/>
        <w:widowControl w:val="0"/>
        <w:kinsoku/>
        <w:wordWrap/>
        <w:overflowPunct w:val="0"/>
        <w:topLinePunct w:val="0"/>
        <w:autoSpaceDE/>
        <w:autoSpaceDN/>
        <w:bidi w:val="0"/>
        <w:adjustRightInd w:val="0"/>
        <w:snapToGrid w:val="0"/>
        <w:spacing w:line="560" w:lineRule="exact"/>
        <w:ind w:firstLine="643" w:firstLineChars="200"/>
        <w:textAlignment w:val="auto"/>
        <w:outlineLvl w:val="1"/>
        <w:rPr>
          <w:rFonts w:hint="eastAsia" w:ascii="楷体" w:hAnsi="楷体" w:eastAsia="楷体" w:cs="楷体"/>
          <w:b/>
          <w:bCs/>
          <w:sz w:val="32"/>
          <w:szCs w:val="32"/>
        </w:rPr>
      </w:pPr>
      <w:bookmarkStart w:id="28" w:name="_Toc20247"/>
      <w:r>
        <w:rPr>
          <w:rFonts w:hint="eastAsia" w:ascii="楷体" w:hAnsi="楷体" w:eastAsia="楷体" w:cs="楷体"/>
          <w:b/>
          <w:bCs/>
          <w:sz w:val="32"/>
          <w:szCs w:val="32"/>
        </w:rPr>
        <w:t>（六）固体废物管理</w:t>
      </w:r>
      <w:bookmarkEnd w:id="27"/>
      <w:bookmarkEnd w:id="28"/>
    </w:p>
    <w:p w14:paraId="7A2D4BE0">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园区一般工业固体废物产生企业数量</w:t>
      </w:r>
      <w:r>
        <w:rPr>
          <w:rFonts w:hint="eastAsia" w:ascii="仿宋" w:hAnsi="仿宋" w:eastAsia="仿宋" w:cs="仿宋"/>
          <w:sz w:val="30"/>
          <w:szCs w:val="30"/>
          <w:u w:val="single"/>
        </w:rPr>
        <w:t>130</w:t>
      </w:r>
      <w:r>
        <w:rPr>
          <w:rFonts w:hint="eastAsia" w:ascii="仿宋" w:hAnsi="仿宋" w:eastAsia="仿宋" w:cs="仿宋"/>
          <w:sz w:val="30"/>
          <w:szCs w:val="30"/>
        </w:rPr>
        <w:t>个，产生量</w:t>
      </w:r>
      <w:r>
        <w:rPr>
          <w:rFonts w:hint="eastAsia" w:ascii="仿宋" w:hAnsi="仿宋" w:eastAsia="仿宋" w:cs="仿宋"/>
          <w:sz w:val="30"/>
          <w:szCs w:val="30"/>
          <w:u w:val="single"/>
        </w:rPr>
        <w:t>73421.8723</w:t>
      </w:r>
      <w:r>
        <w:rPr>
          <w:rFonts w:hint="eastAsia" w:ascii="仿宋" w:hAnsi="仿宋" w:eastAsia="仿宋" w:cs="仿宋"/>
          <w:sz w:val="30"/>
          <w:szCs w:val="30"/>
        </w:rPr>
        <w:t>t/a，其中，自行综合利用</w:t>
      </w:r>
      <w:r>
        <w:rPr>
          <w:rFonts w:hint="eastAsia" w:ascii="仿宋" w:hAnsi="仿宋" w:eastAsia="仿宋" w:cs="仿宋"/>
          <w:sz w:val="30"/>
          <w:szCs w:val="30"/>
          <w:u w:val="single"/>
        </w:rPr>
        <w:t>0</w:t>
      </w:r>
      <w:r>
        <w:rPr>
          <w:rFonts w:hint="eastAsia" w:ascii="仿宋" w:hAnsi="仿宋" w:eastAsia="仿宋" w:cs="仿宋"/>
          <w:sz w:val="30"/>
          <w:szCs w:val="30"/>
        </w:rPr>
        <w:t>t/a，自行处置</w:t>
      </w:r>
      <w:r>
        <w:rPr>
          <w:rFonts w:hint="eastAsia" w:ascii="仿宋" w:hAnsi="仿宋" w:eastAsia="仿宋" w:cs="仿宋"/>
          <w:sz w:val="30"/>
          <w:szCs w:val="30"/>
          <w:u w:val="single"/>
        </w:rPr>
        <w:t>0</w:t>
      </w:r>
      <w:r>
        <w:rPr>
          <w:rFonts w:hint="eastAsia" w:ascii="仿宋" w:hAnsi="仿宋" w:eastAsia="仿宋" w:cs="仿宋"/>
          <w:sz w:val="30"/>
          <w:szCs w:val="30"/>
        </w:rPr>
        <w:t>t/a，外委处置</w:t>
      </w:r>
      <w:r>
        <w:rPr>
          <w:rFonts w:hint="eastAsia" w:ascii="仿宋" w:hAnsi="仿宋" w:eastAsia="仿宋" w:cs="仿宋"/>
          <w:sz w:val="30"/>
          <w:szCs w:val="30"/>
          <w:u w:val="single"/>
        </w:rPr>
        <w:t>73421.8723</w:t>
      </w:r>
      <w:r>
        <w:rPr>
          <w:rFonts w:hint="eastAsia" w:ascii="仿宋" w:hAnsi="仿宋" w:eastAsia="仿宋" w:cs="仿宋"/>
          <w:sz w:val="30"/>
          <w:szCs w:val="30"/>
        </w:rPr>
        <w:t>t/a。危险废物产生企业数量</w:t>
      </w:r>
      <w:r>
        <w:rPr>
          <w:rFonts w:hint="eastAsia" w:ascii="仿宋" w:hAnsi="仿宋" w:eastAsia="仿宋" w:cs="仿宋"/>
          <w:sz w:val="30"/>
          <w:szCs w:val="30"/>
          <w:u w:val="single"/>
        </w:rPr>
        <w:t>97</w:t>
      </w:r>
      <w:r>
        <w:rPr>
          <w:rFonts w:hint="eastAsia" w:ascii="仿宋" w:hAnsi="仿宋" w:eastAsia="仿宋" w:cs="仿宋"/>
          <w:sz w:val="30"/>
          <w:szCs w:val="30"/>
        </w:rPr>
        <w:t>个，产生量</w:t>
      </w:r>
      <w:r>
        <w:rPr>
          <w:rFonts w:hint="eastAsia" w:ascii="仿宋" w:hAnsi="仿宋" w:eastAsia="仿宋" w:cs="仿宋"/>
          <w:sz w:val="30"/>
          <w:szCs w:val="30"/>
          <w:u w:val="single"/>
        </w:rPr>
        <w:t>2174.1523</w:t>
      </w:r>
      <w:r>
        <w:rPr>
          <w:rFonts w:hint="eastAsia" w:ascii="仿宋" w:hAnsi="仿宋" w:eastAsia="仿宋" w:cs="仿宋"/>
          <w:sz w:val="30"/>
          <w:szCs w:val="30"/>
        </w:rPr>
        <w:t>t/a，其中，自行综合利用</w:t>
      </w:r>
      <w:r>
        <w:rPr>
          <w:rFonts w:hint="eastAsia" w:ascii="仿宋" w:hAnsi="仿宋" w:eastAsia="仿宋" w:cs="仿宋"/>
          <w:sz w:val="30"/>
          <w:szCs w:val="30"/>
          <w:u w:val="single"/>
        </w:rPr>
        <w:t>0</w:t>
      </w:r>
      <w:r>
        <w:rPr>
          <w:rFonts w:hint="eastAsia" w:ascii="仿宋" w:hAnsi="仿宋" w:eastAsia="仿宋" w:cs="仿宋"/>
          <w:sz w:val="30"/>
          <w:szCs w:val="30"/>
        </w:rPr>
        <w:t>t/a，自行处置</w:t>
      </w:r>
      <w:r>
        <w:rPr>
          <w:rFonts w:hint="eastAsia" w:ascii="仿宋" w:hAnsi="仿宋" w:eastAsia="仿宋" w:cs="仿宋"/>
          <w:sz w:val="30"/>
          <w:szCs w:val="30"/>
          <w:u w:val="single"/>
        </w:rPr>
        <w:t>0</w:t>
      </w:r>
      <w:r>
        <w:rPr>
          <w:rFonts w:hint="eastAsia" w:ascii="仿宋" w:hAnsi="仿宋" w:eastAsia="仿宋" w:cs="仿宋"/>
          <w:sz w:val="30"/>
          <w:szCs w:val="30"/>
        </w:rPr>
        <w:t xml:space="preserve"> t/a，外委处置</w:t>
      </w:r>
      <w:r>
        <w:rPr>
          <w:rFonts w:hint="eastAsia" w:ascii="仿宋" w:hAnsi="仿宋" w:eastAsia="仿宋" w:cs="仿宋"/>
          <w:sz w:val="30"/>
          <w:szCs w:val="30"/>
          <w:u w:val="single"/>
        </w:rPr>
        <w:t>2174.1523</w:t>
      </w:r>
      <w:r>
        <w:rPr>
          <w:rFonts w:hint="eastAsia" w:ascii="仿宋" w:hAnsi="仿宋" w:eastAsia="仿宋" w:cs="仿宋"/>
          <w:sz w:val="30"/>
          <w:szCs w:val="30"/>
        </w:rPr>
        <w:t>t/a。</w:t>
      </w:r>
    </w:p>
    <w:p w14:paraId="345254A8">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园区集中的工业固废处理设施情况：处理能力</w:t>
      </w:r>
      <w:r>
        <w:rPr>
          <w:rFonts w:hint="eastAsia" w:ascii="仿宋" w:hAnsi="仿宋" w:eastAsia="仿宋" w:cs="仿宋"/>
          <w:sz w:val="30"/>
          <w:szCs w:val="30"/>
          <w:u w:val="single"/>
        </w:rPr>
        <w:t>/</w:t>
      </w:r>
      <w:r>
        <w:rPr>
          <w:rFonts w:hint="eastAsia" w:ascii="仿宋" w:hAnsi="仿宋" w:eastAsia="仿宋" w:cs="仿宋"/>
          <w:sz w:val="30"/>
          <w:szCs w:val="30"/>
        </w:rPr>
        <w:t>t/a，处理工业固体废物种类</w:t>
      </w:r>
      <w:r>
        <w:rPr>
          <w:rFonts w:hint="eastAsia" w:ascii="仿宋" w:hAnsi="仿宋" w:eastAsia="仿宋" w:cs="仿宋"/>
          <w:sz w:val="30"/>
          <w:szCs w:val="30"/>
          <w:u w:val="single"/>
        </w:rPr>
        <w:t>/</w:t>
      </w:r>
      <w:r>
        <w:rPr>
          <w:rFonts w:hint="eastAsia" w:ascii="仿宋" w:hAnsi="仿宋" w:eastAsia="仿宋" w:cs="仿宋"/>
          <w:sz w:val="30"/>
          <w:szCs w:val="30"/>
        </w:rPr>
        <w:t>，处理工艺</w:t>
      </w:r>
      <w:r>
        <w:rPr>
          <w:rFonts w:hint="eastAsia" w:ascii="仿宋" w:hAnsi="仿宋" w:eastAsia="仿宋" w:cs="仿宋"/>
          <w:sz w:val="30"/>
          <w:szCs w:val="30"/>
          <w:u w:val="single"/>
        </w:rPr>
        <w:t>/</w:t>
      </w:r>
      <w:r>
        <w:rPr>
          <w:rFonts w:hint="eastAsia" w:ascii="仿宋" w:hAnsi="仿宋" w:eastAsia="仿宋" w:cs="仿宋"/>
          <w:sz w:val="30"/>
          <w:szCs w:val="30"/>
        </w:rPr>
        <w:t>。（园区无集中的工业固废处理设施）</w:t>
      </w:r>
      <w:r>
        <w:rPr>
          <w:rFonts w:hint="eastAsia" w:ascii="仿宋" w:hAnsi="仿宋" w:eastAsia="仿宋" w:cs="仿宋"/>
          <w:sz w:val="30"/>
          <w:szCs w:val="30"/>
          <w:lang w:eastAsia="zh-CN"/>
        </w:rPr>
        <w:t>。</w:t>
      </w:r>
    </w:p>
    <w:p w14:paraId="21613C89">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3"/>
        <w:textAlignment w:val="auto"/>
        <w:outlineLvl w:val="1"/>
        <w:rPr>
          <w:rFonts w:hint="eastAsia" w:ascii="楷体" w:hAnsi="楷体" w:eastAsia="楷体" w:cs="楷体"/>
          <w:b/>
          <w:bCs/>
          <w:szCs w:val="32"/>
        </w:rPr>
      </w:pPr>
      <w:bookmarkStart w:id="29" w:name="_Toc80"/>
      <w:bookmarkStart w:id="30" w:name="_Toc29343"/>
      <w:r>
        <w:rPr>
          <w:rFonts w:hint="eastAsia" w:ascii="楷体" w:hAnsi="楷体" w:eastAsia="楷体" w:cs="楷体"/>
          <w:b/>
          <w:bCs/>
          <w:szCs w:val="32"/>
        </w:rPr>
        <w:t>（七）投诉管理</w:t>
      </w:r>
      <w:bookmarkEnd w:id="29"/>
      <w:bookmarkEnd w:id="30"/>
    </w:p>
    <w:p w14:paraId="7DCA6C59">
      <w:pPr>
        <w:keepNext w:val="0"/>
        <w:keepLines w:val="0"/>
        <w:pageBreakBefore w:val="0"/>
        <w:widowControl w:val="0"/>
        <w:kinsoku/>
        <w:wordWrap/>
        <w:overflowPunct w:val="0"/>
        <w:topLinePunct w:val="0"/>
        <w:autoSpaceDE/>
        <w:autoSpaceDN/>
        <w:bidi w:val="0"/>
        <w:adjustRightInd w:val="0"/>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本年度园区共受理各类（含各级督查、各级环保投诉等）投诉</w:t>
      </w:r>
      <w:r>
        <w:rPr>
          <w:rFonts w:hint="eastAsia" w:ascii="仿宋" w:hAnsi="仿宋" w:eastAsia="仿宋" w:cs="仿宋"/>
          <w:sz w:val="30"/>
          <w:szCs w:val="30"/>
          <w:u w:val="single"/>
          <w:lang w:val="en-US" w:eastAsia="zh-CN"/>
        </w:rPr>
        <w:t>109</w:t>
      </w:r>
      <w:r>
        <w:rPr>
          <w:rFonts w:hint="eastAsia" w:ascii="仿宋" w:hAnsi="仿宋" w:eastAsia="仿宋" w:cs="仿宋"/>
          <w:sz w:val="30"/>
          <w:szCs w:val="30"/>
        </w:rPr>
        <w:t>件，已完成整改</w:t>
      </w:r>
      <w:r>
        <w:rPr>
          <w:rFonts w:hint="eastAsia" w:ascii="仿宋" w:hAnsi="仿宋" w:eastAsia="仿宋" w:cs="仿宋"/>
          <w:sz w:val="30"/>
          <w:szCs w:val="30"/>
          <w:u w:val="single"/>
          <w:lang w:val="en-US" w:eastAsia="zh-CN"/>
        </w:rPr>
        <w:t>109</w:t>
      </w:r>
      <w:r>
        <w:rPr>
          <w:rFonts w:hint="eastAsia" w:ascii="仿宋" w:hAnsi="仿宋" w:eastAsia="仿宋" w:cs="仿宋"/>
          <w:sz w:val="30"/>
          <w:szCs w:val="30"/>
        </w:rPr>
        <w:t>件，完成率</w:t>
      </w:r>
      <w:r>
        <w:rPr>
          <w:rFonts w:hint="eastAsia" w:ascii="仿宋" w:hAnsi="仿宋" w:eastAsia="仿宋" w:cs="仿宋"/>
          <w:sz w:val="30"/>
          <w:szCs w:val="30"/>
          <w:u w:val="single"/>
        </w:rPr>
        <w:t>100</w:t>
      </w:r>
      <w:r>
        <w:rPr>
          <w:rFonts w:hint="eastAsia" w:ascii="仿宋" w:hAnsi="仿宋" w:eastAsia="仿宋" w:cs="仿宋"/>
          <w:sz w:val="30"/>
          <w:szCs w:val="30"/>
        </w:rPr>
        <w:t>%。环保督察交办问题</w:t>
      </w:r>
      <w:r>
        <w:rPr>
          <w:rFonts w:hint="eastAsia" w:ascii="仿宋" w:hAnsi="仿宋" w:eastAsia="仿宋" w:cs="仿宋"/>
          <w:sz w:val="30"/>
          <w:szCs w:val="30"/>
          <w:u w:val="single"/>
          <w:lang w:val="en-US" w:eastAsia="zh-CN"/>
        </w:rPr>
        <w:t>1</w:t>
      </w:r>
      <w:r>
        <w:rPr>
          <w:rFonts w:hint="eastAsia" w:ascii="仿宋" w:hAnsi="仿宋" w:eastAsia="仿宋" w:cs="仿宋"/>
          <w:sz w:val="30"/>
          <w:szCs w:val="30"/>
        </w:rPr>
        <w:t>件，已完成整改</w:t>
      </w:r>
      <w:r>
        <w:rPr>
          <w:rFonts w:hint="eastAsia" w:ascii="仿宋" w:hAnsi="仿宋" w:eastAsia="仿宋" w:cs="仿宋"/>
          <w:sz w:val="30"/>
          <w:szCs w:val="30"/>
          <w:u w:val="single"/>
          <w:lang w:val="en-US" w:eastAsia="zh-CN"/>
        </w:rPr>
        <w:t>1</w:t>
      </w:r>
      <w:r>
        <w:rPr>
          <w:rFonts w:hint="eastAsia" w:ascii="仿宋" w:hAnsi="仿宋" w:eastAsia="仿宋" w:cs="仿宋"/>
          <w:sz w:val="30"/>
          <w:szCs w:val="30"/>
        </w:rPr>
        <w:t>件，完成率</w:t>
      </w:r>
      <w:r>
        <w:rPr>
          <w:rFonts w:hint="eastAsia" w:ascii="仿宋" w:hAnsi="仿宋" w:eastAsia="仿宋" w:cs="仿宋"/>
          <w:sz w:val="30"/>
          <w:szCs w:val="30"/>
          <w:u w:val="single"/>
        </w:rPr>
        <w:t>100</w:t>
      </w:r>
      <w:r>
        <w:rPr>
          <w:rFonts w:hint="eastAsia" w:ascii="仿宋" w:hAnsi="仿宋" w:eastAsia="仿宋" w:cs="仿宋"/>
          <w:sz w:val="30"/>
          <w:szCs w:val="30"/>
        </w:rPr>
        <w:t>%。</w:t>
      </w:r>
      <w:bookmarkStart w:id="31" w:name="_Toc1644"/>
    </w:p>
    <w:p w14:paraId="730CC748">
      <w:pPr>
        <w:keepNext w:val="0"/>
        <w:keepLines w:val="0"/>
        <w:pageBreakBefore w:val="0"/>
        <w:widowControl w:val="0"/>
        <w:kinsoku/>
        <w:wordWrap/>
        <w:overflowPunct w:val="0"/>
        <w:topLinePunct w:val="0"/>
        <w:autoSpaceDE/>
        <w:autoSpaceDN/>
        <w:bidi w:val="0"/>
        <w:adjustRightInd w:val="0"/>
        <w:snapToGrid w:val="0"/>
        <w:spacing w:line="560" w:lineRule="exact"/>
        <w:ind w:firstLine="643" w:firstLineChars="200"/>
        <w:textAlignment w:val="auto"/>
        <w:outlineLvl w:val="1"/>
        <w:rPr>
          <w:rFonts w:hint="eastAsia" w:ascii="楷体" w:hAnsi="楷体" w:eastAsia="楷体" w:cs="楷体"/>
          <w:b/>
          <w:bCs/>
          <w:sz w:val="32"/>
          <w:szCs w:val="32"/>
        </w:rPr>
      </w:pPr>
      <w:bookmarkStart w:id="32" w:name="_Toc25542"/>
      <w:r>
        <w:rPr>
          <w:rFonts w:hint="eastAsia" w:ascii="楷体" w:hAnsi="楷体" w:eastAsia="楷体" w:cs="楷体"/>
          <w:b/>
          <w:bCs/>
          <w:sz w:val="32"/>
          <w:szCs w:val="32"/>
        </w:rPr>
        <w:t>（八）园区信用评价</w:t>
      </w:r>
      <w:bookmarkEnd w:id="31"/>
      <w:bookmarkEnd w:id="32"/>
    </w:p>
    <w:p w14:paraId="4101617C">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5</w:t>
      </w:r>
      <w:r>
        <w:rPr>
          <w:rFonts w:hint="eastAsia" w:ascii="仿宋" w:hAnsi="仿宋" w:eastAsia="仿宋" w:cs="仿宋"/>
          <w:sz w:val="30"/>
          <w:szCs w:val="30"/>
        </w:rPr>
        <w:t>年度湘潭天易经开区园区环保信用自评工作已开展。对照《湖南省产业园区环保信用评价管理办法（试行）》中评价标准，产业园区环保信用等级根据环保信用分值高低分为环保诚信园区（10分及以上）、环保合格园区（5~10分）、环保风险园区（5分及以下）三个等级。</w:t>
      </w:r>
    </w:p>
    <w:p w14:paraId="6FA28AB1">
      <w:pPr>
        <w:pStyle w:val="21"/>
        <w:keepNext w:val="0"/>
        <w:keepLines w:val="0"/>
        <w:pageBreakBefore w:val="0"/>
        <w:widowControl w:val="0"/>
        <w:kinsoku/>
        <w:wordWrap/>
        <w:overflowPunct w:val="0"/>
        <w:topLinePunct w:val="0"/>
        <w:autoSpaceDE/>
        <w:autoSpaceDN/>
        <w:bidi w:val="0"/>
        <w:adjustRightInd w:val="0"/>
        <w:snapToGrid w:val="0"/>
        <w:spacing w:after="0" w:line="560" w:lineRule="exact"/>
        <w:ind w:left="0" w:leftChars="0" w:firstLine="640"/>
        <w:textAlignment w:val="auto"/>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5</w:t>
      </w:r>
      <w:r>
        <w:rPr>
          <w:rFonts w:hint="eastAsia" w:ascii="仿宋" w:hAnsi="仿宋" w:eastAsia="仿宋" w:cs="仿宋"/>
          <w:sz w:val="30"/>
          <w:szCs w:val="30"/>
        </w:rPr>
        <w:t>年度湘潭天易经开区进行园区环保信用自评分值为9分，属于环保合格园区等级。</w:t>
      </w:r>
    </w:p>
    <w:sectPr>
      <w:footerReference r:id="rId5" w:type="default"/>
      <w:pgSz w:w="11906" w:h="16838"/>
      <w:pgMar w:top="1440" w:right="1134" w:bottom="1440" w:left="1587"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5AEB4">
    <w:pPr>
      <w:pStyle w:val="13"/>
      <w:jc w:val="center"/>
      <w:rPr>
        <w:rFonts w:ascii="Times New Roman" w:hAnsi="Times New Roman"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52541">
    <w:pPr>
      <w:pStyle w:val="13"/>
      <w:jc w:val="center"/>
      <w:rPr>
        <w:rFonts w:hint="eastAsia" w:ascii="Times New Roman" w:hAnsi="Times New Roman" w:cs="Times New Roman" w:eastAsiaTheme="minorEastAsia"/>
        <w:sz w:val="24"/>
        <w:szCs w:val="24"/>
        <w:lang w:val="en-US" w:eastAsia="zh-CN"/>
      </w:rPr>
    </w:pPr>
    <w:r>
      <w:rPr>
        <w:sz w:val="24"/>
      </w:rPr>
      <w:pict>
        <v:shape id="_x0000_s4101" o:spid="_x0000_s4101"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423D6BF2">
                <w:pPr>
                  <w:pStyle w:val="13"/>
                </w:pPr>
                <w:r>
                  <w:fldChar w:fldCharType="begin"/>
                </w:r>
                <w:r>
                  <w:instrText xml:space="preserve"> PAGE  \* MERGEFORMAT </w:instrText>
                </w:r>
                <w:r>
                  <w:fldChar w:fldCharType="separate"/>
                </w:r>
                <w:r>
                  <w:t>1</w:t>
                </w:r>
                <w:r>
                  <w:fldChar w:fldCharType="end"/>
                </w:r>
              </w:p>
            </w:txbxContent>
          </v:textbox>
        </v:shape>
      </w:pict>
    </w:r>
    <w:r>
      <w:rPr>
        <w:rFonts w:hint="eastAsia" w:ascii="Times New Roman" w:hAnsi="Times New Roman" w:cs="Times New Roman"/>
        <w:sz w:val="24"/>
        <w:szCs w:val="24"/>
        <w:lang w:val="en-US" w:eastAsia="zh-CN"/>
      </w:rPr>
      <w:t>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9FF7B">
    <w:pPr>
      <w:pStyle w:val="13"/>
      <w:jc w:val="both"/>
      <w:rPr>
        <w:rFonts w:ascii="Times New Roman" w:hAnsi="Times New Roman" w:cs="Times New Roman"/>
        <w:sz w:val="24"/>
        <w:szCs w:val="24"/>
      </w:rPr>
    </w:pPr>
    <w:r>
      <w:rPr>
        <w:sz w:val="24"/>
      </w:rPr>
      <w:pict>
        <v:shape id="_x0000_s4099" o:spid="_x0000_s409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7730748A">
                <w:pPr>
                  <w:pStyle w:val="13"/>
                </w:pPr>
                <w:r>
                  <w:fldChar w:fldCharType="begin"/>
                </w:r>
                <w:r>
                  <w:instrText xml:space="preserve"> PAGE  \* MERGEFORMAT </w:instrText>
                </w:r>
                <w:r>
                  <w:fldChar w:fldCharType="separate"/>
                </w:r>
                <w:r>
                  <w:t>26</w:t>
                </w:r>
                <w:r>
                  <w:fldChar w:fldCharType="end"/>
                </w:r>
              </w:p>
            </w:txbxContent>
          </v:textbox>
        </v:shape>
      </w:pict>
    </w:r>
    <w:r>
      <w:rPr>
        <w:sz w:val="24"/>
      </w:rPr>
      <w:pict>
        <v:shape id="_x0000_s4100" o:spid="_x0000_s4100" o:spt="202" type="#_x0000_t202" style="position:absolute;left:0pt;margin-left:199.85pt;margin-top:-0.7pt;height:12.2pt;width:9.05pt;mso-position-horizontal-relative:margin;mso-wrap-style:none;z-index:251659264;mso-width-relative:page;mso-height-relative:page;" filled="f" stroked="f" coordsize="21600,21600" o:gfxdata="UEsDBAoAAAAAAIdO4kAAAAAAAAAAAAAAAAAEAAAAZHJzL1BLAwQUAAAACACHTuJAgbcI39cAAAAJ&#10;AQAADwAAAGRycy9kb3ducmV2LnhtbE2PwU7DMBBE70j8g7VI3Fo7TURpiFOJinBEouHA0Y2XJGCv&#10;I9tNw99jTnBc7dPMm2q/WMNm9GF0JCFbC2BIndMj9RLe2mZ1DyxERVoZRyjhGwPs6+urSpXaXegV&#10;52PsWQqhUCoJQ4xTyXnoBrQqrN2ElH4fzlsV0+l7rr26pHBr+EaIO27VSKlhUBMeBuy+jmcr4dC0&#10;rZ8xePOOz03++fJY4NMi5e1NJh6ARVziHwy/+kkd6uR0cmfSgRkJ+W63TaiEVVYAS0CRbdOWk4RN&#10;LoDXFf+/oP4BUEsDBBQAAAAIAIdO4kBXxb8jLwIAAFQEAAAOAAAAZHJzL2Uyb0RvYy54bWytVMtu&#10;EzEU3SPxD5b3ZJI0qWiUSRUaBSFVtFJArB2PJzOSX7KdzJQPgD9gxaZ7vivfwbEnk6LCogs2zh3f&#10;5zn3OPPrVklyEM7XRud0NBhSIjQ3Ra13Of38af3mLSU+MF0wabTI6YPw9Hrx+tW8sTMxNpWRhXAE&#10;RbSfNTanVQh2lmWeV0IxPzBWaDhL4xQL+HS7rHCsQXUls/FweJk1xhXWGS68x+2qc9JTRfeSgqYs&#10;ay5Whu+V0KGr6oRkAZB8VVtPF2nashQ83JWlF4HInAJpSCeawN7GM1vM2WznmK1qfhqBvWSEZ5gU&#10;qzWankutWGBk7+q/SqmaO+NNGQbcqKwDkhgBitHwGTebilmRsIBqb8+k+/9Xln883DtSF1DCiBLN&#10;FDZ+/PH9+PPX8fEbGUd+GutnCNtYBIb2nWkR2997XEbYbelU/AUgAj/YfTizK9pAeEwaTa4uppRw&#10;uEbTydUksZ89JVvnw3thFIlGTh2Wlzhlh1sfMAhC+5DYS5t1LWVaoNSkyenlxXSYEs4eZEiNxAih&#10;GzVaod22J1xbUzwAljOdMLzl6xrNb5kP98xBCUCCtxLucJTSoIk5WZRUxn39132Mx4LgpaSBsnKq&#10;8ZAokR80FhdF2BuuN7a9offqxkCq2AVmSSYSXJC9WTqjvuABLWMPuJjm6JTT0Js3oVM3HiAXy2UK&#10;gtQsC7d6Y3ksHcnzdrkPIDDxGknpmDhxBbEluk8PI6r5z+8U9fRnsPg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gbcI39cAAAAJAQAADwAAAAAAAAABACAAAAAiAAAAZHJzL2Rvd25yZXYueG1sUEsB&#10;AhQAFAAAAAgAh07iQFfFvyMvAgAAVAQAAA4AAAAAAAAAAQAgAAAAJgEAAGRycy9lMm9Eb2MueG1s&#10;UEsFBgAAAAAGAAYAWQEAAMcFAAAAAA==&#10;">
          <v:path/>
          <v:fill on="f" focussize="0,0"/>
          <v:stroke on="f" weight="0.5pt" joinstyle="miter"/>
          <v:imagedata o:title=""/>
          <o:lock v:ext="edit"/>
          <v:textbox inset="0mm,0mm,0mm,0mm" style="mso-fit-shape-to-text:t;">
            <w:txbxContent>
              <w:p w14:paraId="2BC36DDB">
                <w:pPr>
                  <w:pStyle w:val="13"/>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documentProtection w:edit="trackedChanges"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MmU3YTc0NDNhZjcxZjVkYjBkNDk3OTI3OTM3MzM5OTgifQ=="/>
  </w:docVars>
  <w:rsids>
    <w:rsidRoot w:val="00172A27"/>
    <w:rsid w:val="00006D23"/>
    <w:rsid w:val="00025FF4"/>
    <w:rsid w:val="00033480"/>
    <w:rsid w:val="0004265D"/>
    <w:rsid w:val="00092D51"/>
    <w:rsid w:val="00097903"/>
    <w:rsid w:val="000A0B92"/>
    <w:rsid w:val="000A0D49"/>
    <w:rsid w:val="000A2304"/>
    <w:rsid w:val="000B7D4E"/>
    <w:rsid w:val="000D0729"/>
    <w:rsid w:val="000D72D6"/>
    <w:rsid w:val="000E4B59"/>
    <w:rsid w:val="00101EBB"/>
    <w:rsid w:val="0011260C"/>
    <w:rsid w:val="0011725E"/>
    <w:rsid w:val="00117C10"/>
    <w:rsid w:val="001409E0"/>
    <w:rsid w:val="001523F0"/>
    <w:rsid w:val="0016061F"/>
    <w:rsid w:val="001770AF"/>
    <w:rsid w:val="00180C7B"/>
    <w:rsid w:val="00192C69"/>
    <w:rsid w:val="001C3950"/>
    <w:rsid w:val="001F3624"/>
    <w:rsid w:val="00235968"/>
    <w:rsid w:val="00235D91"/>
    <w:rsid w:val="00247C4E"/>
    <w:rsid w:val="00286D44"/>
    <w:rsid w:val="00296EC6"/>
    <w:rsid w:val="00297476"/>
    <w:rsid w:val="002B4529"/>
    <w:rsid w:val="002D11D7"/>
    <w:rsid w:val="002D3950"/>
    <w:rsid w:val="002E2BCA"/>
    <w:rsid w:val="002F5A0C"/>
    <w:rsid w:val="002F5C38"/>
    <w:rsid w:val="003023F5"/>
    <w:rsid w:val="00313474"/>
    <w:rsid w:val="003422DA"/>
    <w:rsid w:val="00352F7F"/>
    <w:rsid w:val="00353E7A"/>
    <w:rsid w:val="003824C5"/>
    <w:rsid w:val="00384FCB"/>
    <w:rsid w:val="00385D41"/>
    <w:rsid w:val="003A00F3"/>
    <w:rsid w:val="003A3CB2"/>
    <w:rsid w:val="003D5D38"/>
    <w:rsid w:val="003F1892"/>
    <w:rsid w:val="003F3C1D"/>
    <w:rsid w:val="003F7F6A"/>
    <w:rsid w:val="00425ECB"/>
    <w:rsid w:val="0043318C"/>
    <w:rsid w:val="00442622"/>
    <w:rsid w:val="004456EC"/>
    <w:rsid w:val="00471E73"/>
    <w:rsid w:val="004C34AD"/>
    <w:rsid w:val="004C4622"/>
    <w:rsid w:val="004F31A9"/>
    <w:rsid w:val="004F4AD4"/>
    <w:rsid w:val="00506CDE"/>
    <w:rsid w:val="00540EC0"/>
    <w:rsid w:val="00566BE1"/>
    <w:rsid w:val="0057187C"/>
    <w:rsid w:val="00580EDD"/>
    <w:rsid w:val="0058707D"/>
    <w:rsid w:val="00595BA9"/>
    <w:rsid w:val="005960D7"/>
    <w:rsid w:val="005A1AC8"/>
    <w:rsid w:val="005A4F49"/>
    <w:rsid w:val="005B5568"/>
    <w:rsid w:val="005C4119"/>
    <w:rsid w:val="005D4A37"/>
    <w:rsid w:val="005F3D83"/>
    <w:rsid w:val="006065E6"/>
    <w:rsid w:val="0061758C"/>
    <w:rsid w:val="00634E22"/>
    <w:rsid w:val="00650C76"/>
    <w:rsid w:val="00651F03"/>
    <w:rsid w:val="00694C70"/>
    <w:rsid w:val="006965FF"/>
    <w:rsid w:val="006C5EBE"/>
    <w:rsid w:val="006D17EC"/>
    <w:rsid w:val="006D249E"/>
    <w:rsid w:val="006D3B71"/>
    <w:rsid w:val="006D4045"/>
    <w:rsid w:val="006E0646"/>
    <w:rsid w:val="006E0B40"/>
    <w:rsid w:val="00706767"/>
    <w:rsid w:val="00716763"/>
    <w:rsid w:val="00725FD8"/>
    <w:rsid w:val="0073741B"/>
    <w:rsid w:val="00742FC1"/>
    <w:rsid w:val="00743D0F"/>
    <w:rsid w:val="0074733D"/>
    <w:rsid w:val="00753B33"/>
    <w:rsid w:val="007570C3"/>
    <w:rsid w:val="00763BD4"/>
    <w:rsid w:val="007707A4"/>
    <w:rsid w:val="00772C78"/>
    <w:rsid w:val="007A03E6"/>
    <w:rsid w:val="007D6DF6"/>
    <w:rsid w:val="007D750D"/>
    <w:rsid w:val="007E18B4"/>
    <w:rsid w:val="007E56A4"/>
    <w:rsid w:val="007F19A7"/>
    <w:rsid w:val="007F2DF5"/>
    <w:rsid w:val="007F377E"/>
    <w:rsid w:val="008031B1"/>
    <w:rsid w:val="00812A97"/>
    <w:rsid w:val="008220B5"/>
    <w:rsid w:val="00826DDB"/>
    <w:rsid w:val="00827C7C"/>
    <w:rsid w:val="00840446"/>
    <w:rsid w:val="008420C1"/>
    <w:rsid w:val="00845A70"/>
    <w:rsid w:val="0085166B"/>
    <w:rsid w:val="008563FB"/>
    <w:rsid w:val="00863AB9"/>
    <w:rsid w:val="008659F5"/>
    <w:rsid w:val="00875832"/>
    <w:rsid w:val="0087677B"/>
    <w:rsid w:val="00877C12"/>
    <w:rsid w:val="00885398"/>
    <w:rsid w:val="008A502E"/>
    <w:rsid w:val="008A7BF5"/>
    <w:rsid w:val="008B07D4"/>
    <w:rsid w:val="008B4B10"/>
    <w:rsid w:val="008C2D63"/>
    <w:rsid w:val="008E0E85"/>
    <w:rsid w:val="008F0F88"/>
    <w:rsid w:val="008F439D"/>
    <w:rsid w:val="00906120"/>
    <w:rsid w:val="00923410"/>
    <w:rsid w:val="00941F45"/>
    <w:rsid w:val="0095342C"/>
    <w:rsid w:val="00993FFC"/>
    <w:rsid w:val="00996FB4"/>
    <w:rsid w:val="009C29F9"/>
    <w:rsid w:val="009C66E0"/>
    <w:rsid w:val="009C6AD0"/>
    <w:rsid w:val="009F2D79"/>
    <w:rsid w:val="009F6C77"/>
    <w:rsid w:val="009F6FC3"/>
    <w:rsid w:val="00A00D1E"/>
    <w:rsid w:val="00A0532B"/>
    <w:rsid w:val="00A07498"/>
    <w:rsid w:val="00A4370B"/>
    <w:rsid w:val="00A45B56"/>
    <w:rsid w:val="00A535C0"/>
    <w:rsid w:val="00A71482"/>
    <w:rsid w:val="00A71DB5"/>
    <w:rsid w:val="00A93594"/>
    <w:rsid w:val="00A96BA8"/>
    <w:rsid w:val="00AA3BA3"/>
    <w:rsid w:val="00AA4FA7"/>
    <w:rsid w:val="00AD1715"/>
    <w:rsid w:val="00AE3273"/>
    <w:rsid w:val="00B0189F"/>
    <w:rsid w:val="00B13261"/>
    <w:rsid w:val="00B164D1"/>
    <w:rsid w:val="00B27D8C"/>
    <w:rsid w:val="00B65A76"/>
    <w:rsid w:val="00B71BA7"/>
    <w:rsid w:val="00B73950"/>
    <w:rsid w:val="00B74197"/>
    <w:rsid w:val="00B7688C"/>
    <w:rsid w:val="00B967E8"/>
    <w:rsid w:val="00BA0D92"/>
    <w:rsid w:val="00C05DEB"/>
    <w:rsid w:val="00C22990"/>
    <w:rsid w:val="00C27C8B"/>
    <w:rsid w:val="00C32DD5"/>
    <w:rsid w:val="00C36D7C"/>
    <w:rsid w:val="00C36F87"/>
    <w:rsid w:val="00C44696"/>
    <w:rsid w:val="00C46B1E"/>
    <w:rsid w:val="00C764FD"/>
    <w:rsid w:val="00C85BF3"/>
    <w:rsid w:val="00C95527"/>
    <w:rsid w:val="00CB6CFE"/>
    <w:rsid w:val="00CC6E94"/>
    <w:rsid w:val="00CF29F2"/>
    <w:rsid w:val="00D00BA3"/>
    <w:rsid w:val="00D30457"/>
    <w:rsid w:val="00D334CF"/>
    <w:rsid w:val="00D33D6D"/>
    <w:rsid w:val="00D33E3B"/>
    <w:rsid w:val="00D50838"/>
    <w:rsid w:val="00D66C0E"/>
    <w:rsid w:val="00D761A8"/>
    <w:rsid w:val="00D76307"/>
    <w:rsid w:val="00D82B8B"/>
    <w:rsid w:val="00D86BB7"/>
    <w:rsid w:val="00D918C3"/>
    <w:rsid w:val="00DA6885"/>
    <w:rsid w:val="00DA6BC8"/>
    <w:rsid w:val="00DB4EF9"/>
    <w:rsid w:val="00DC4245"/>
    <w:rsid w:val="00DD5BCC"/>
    <w:rsid w:val="00DF18FA"/>
    <w:rsid w:val="00E04412"/>
    <w:rsid w:val="00E3044C"/>
    <w:rsid w:val="00E35C13"/>
    <w:rsid w:val="00E56A41"/>
    <w:rsid w:val="00E64AEC"/>
    <w:rsid w:val="00E65F04"/>
    <w:rsid w:val="00E6717B"/>
    <w:rsid w:val="00E67F7F"/>
    <w:rsid w:val="00E91E16"/>
    <w:rsid w:val="00E936C0"/>
    <w:rsid w:val="00E945E2"/>
    <w:rsid w:val="00E96E76"/>
    <w:rsid w:val="00EB596F"/>
    <w:rsid w:val="00EC13A2"/>
    <w:rsid w:val="00EC58AE"/>
    <w:rsid w:val="00EF21D5"/>
    <w:rsid w:val="00F05626"/>
    <w:rsid w:val="00F2741C"/>
    <w:rsid w:val="00F30FCB"/>
    <w:rsid w:val="00F31FFB"/>
    <w:rsid w:val="00F368F9"/>
    <w:rsid w:val="00F40E74"/>
    <w:rsid w:val="00F47266"/>
    <w:rsid w:val="00F75FDF"/>
    <w:rsid w:val="00F83547"/>
    <w:rsid w:val="00F87A06"/>
    <w:rsid w:val="00F90C5F"/>
    <w:rsid w:val="00FA0C60"/>
    <w:rsid w:val="00FA2CE6"/>
    <w:rsid w:val="00FA7530"/>
    <w:rsid w:val="00FB6939"/>
    <w:rsid w:val="00FC352A"/>
    <w:rsid w:val="00FC5F96"/>
    <w:rsid w:val="00FD33CD"/>
    <w:rsid w:val="00FD4439"/>
    <w:rsid w:val="00FE0D83"/>
    <w:rsid w:val="00FF2E5D"/>
    <w:rsid w:val="00FF70D7"/>
    <w:rsid w:val="01372996"/>
    <w:rsid w:val="01697197"/>
    <w:rsid w:val="01C052A0"/>
    <w:rsid w:val="01F64764"/>
    <w:rsid w:val="022005C5"/>
    <w:rsid w:val="022A4F9C"/>
    <w:rsid w:val="024C0864"/>
    <w:rsid w:val="02740815"/>
    <w:rsid w:val="02DE3352"/>
    <w:rsid w:val="02ED4364"/>
    <w:rsid w:val="031421DC"/>
    <w:rsid w:val="033B7774"/>
    <w:rsid w:val="03607AB3"/>
    <w:rsid w:val="03E2554B"/>
    <w:rsid w:val="03E439C7"/>
    <w:rsid w:val="041C61F3"/>
    <w:rsid w:val="04C66C1A"/>
    <w:rsid w:val="04CD2E69"/>
    <w:rsid w:val="04FA0FD0"/>
    <w:rsid w:val="05594DDE"/>
    <w:rsid w:val="0570442B"/>
    <w:rsid w:val="05836646"/>
    <w:rsid w:val="05AD45F6"/>
    <w:rsid w:val="05E412C7"/>
    <w:rsid w:val="05E8315C"/>
    <w:rsid w:val="06494EFE"/>
    <w:rsid w:val="064D08FF"/>
    <w:rsid w:val="0699510C"/>
    <w:rsid w:val="06F45C2F"/>
    <w:rsid w:val="07212B20"/>
    <w:rsid w:val="074266AD"/>
    <w:rsid w:val="07563FF1"/>
    <w:rsid w:val="078D67A1"/>
    <w:rsid w:val="079444BF"/>
    <w:rsid w:val="07A87985"/>
    <w:rsid w:val="07C25174"/>
    <w:rsid w:val="07D91620"/>
    <w:rsid w:val="07E03254"/>
    <w:rsid w:val="07EF03E6"/>
    <w:rsid w:val="07F13949"/>
    <w:rsid w:val="0811659D"/>
    <w:rsid w:val="088E2AB4"/>
    <w:rsid w:val="08BD20E2"/>
    <w:rsid w:val="08DC1C6E"/>
    <w:rsid w:val="08DE6608"/>
    <w:rsid w:val="09187C60"/>
    <w:rsid w:val="091E12D9"/>
    <w:rsid w:val="09664528"/>
    <w:rsid w:val="098B5D23"/>
    <w:rsid w:val="09F14739"/>
    <w:rsid w:val="0A634F0B"/>
    <w:rsid w:val="0AB22B10"/>
    <w:rsid w:val="0AB36424"/>
    <w:rsid w:val="0AB45767"/>
    <w:rsid w:val="0AD33E3F"/>
    <w:rsid w:val="0B49247E"/>
    <w:rsid w:val="0B52745A"/>
    <w:rsid w:val="0B7A5E17"/>
    <w:rsid w:val="0B7B7D63"/>
    <w:rsid w:val="0B9E6C86"/>
    <w:rsid w:val="0BA13F3D"/>
    <w:rsid w:val="0BC62A15"/>
    <w:rsid w:val="0C031DB4"/>
    <w:rsid w:val="0C3C6C4E"/>
    <w:rsid w:val="0C5A38B2"/>
    <w:rsid w:val="0CB55526"/>
    <w:rsid w:val="0CE064D0"/>
    <w:rsid w:val="0CE820A9"/>
    <w:rsid w:val="0CE85BC4"/>
    <w:rsid w:val="0D2659A6"/>
    <w:rsid w:val="0DA32AF6"/>
    <w:rsid w:val="0DF82765"/>
    <w:rsid w:val="0E1A3B33"/>
    <w:rsid w:val="0E357B8C"/>
    <w:rsid w:val="0EF06E73"/>
    <w:rsid w:val="0F557DA5"/>
    <w:rsid w:val="0F736916"/>
    <w:rsid w:val="0F743702"/>
    <w:rsid w:val="0FB55730"/>
    <w:rsid w:val="100B407B"/>
    <w:rsid w:val="10260EB5"/>
    <w:rsid w:val="102F342D"/>
    <w:rsid w:val="10571BBC"/>
    <w:rsid w:val="107121FF"/>
    <w:rsid w:val="1076626D"/>
    <w:rsid w:val="107D253C"/>
    <w:rsid w:val="10DD7EAE"/>
    <w:rsid w:val="10DF0549"/>
    <w:rsid w:val="10F22E28"/>
    <w:rsid w:val="11286D0F"/>
    <w:rsid w:val="1175132C"/>
    <w:rsid w:val="120D1D07"/>
    <w:rsid w:val="12624760"/>
    <w:rsid w:val="12633974"/>
    <w:rsid w:val="136C2CC2"/>
    <w:rsid w:val="137D0DEC"/>
    <w:rsid w:val="13AD0C34"/>
    <w:rsid w:val="141B0041"/>
    <w:rsid w:val="14292D22"/>
    <w:rsid w:val="14726171"/>
    <w:rsid w:val="14767F87"/>
    <w:rsid w:val="14A30D26"/>
    <w:rsid w:val="14B86DC4"/>
    <w:rsid w:val="14D816DD"/>
    <w:rsid w:val="157231EF"/>
    <w:rsid w:val="1574689F"/>
    <w:rsid w:val="157D3CDA"/>
    <w:rsid w:val="15897F1C"/>
    <w:rsid w:val="15B70E67"/>
    <w:rsid w:val="15D56FAE"/>
    <w:rsid w:val="15F57363"/>
    <w:rsid w:val="167504A0"/>
    <w:rsid w:val="169819B4"/>
    <w:rsid w:val="16CE7D9B"/>
    <w:rsid w:val="16D22C3E"/>
    <w:rsid w:val="16FE49D3"/>
    <w:rsid w:val="17202CC1"/>
    <w:rsid w:val="174E33E4"/>
    <w:rsid w:val="17B4465B"/>
    <w:rsid w:val="17DD62FD"/>
    <w:rsid w:val="17FB1BA0"/>
    <w:rsid w:val="18806036"/>
    <w:rsid w:val="19197809"/>
    <w:rsid w:val="192817FA"/>
    <w:rsid w:val="19304820"/>
    <w:rsid w:val="19790228"/>
    <w:rsid w:val="19B10BFD"/>
    <w:rsid w:val="1A0A7151"/>
    <w:rsid w:val="1A221CE8"/>
    <w:rsid w:val="1A8236BE"/>
    <w:rsid w:val="1A882A05"/>
    <w:rsid w:val="1A952EBF"/>
    <w:rsid w:val="1AB71217"/>
    <w:rsid w:val="1ACB4B33"/>
    <w:rsid w:val="1B7E1BA5"/>
    <w:rsid w:val="1BFC5472"/>
    <w:rsid w:val="1C053422"/>
    <w:rsid w:val="1C365FDC"/>
    <w:rsid w:val="1C6963B1"/>
    <w:rsid w:val="1C78574C"/>
    <w:rsid w:val="1C7A65EA"/>
    <w:rsid w:val="1CB2656B"/>
    <w:rsid w:val="1D047E88"/>
    <w:rsid w:val="1D365CD5"/>
    <w:rsid w:val="1D6F1AFB"/>
    <w:rsid w:val="1DDF4ABE"/>
    <w:rsid w:val="1DF67F91"/>
    <w:rsid w:val="1E20308E"/>
    <w:rsid w:val="1E4C7D38"/>
    <w:rsid w:val="1EA14594"/>
    <w:rsid w:val="1EBF3159"/>
    <w:rsid w:val="1EBF7E97"/>
    <w:rsid w:val="1F2D5E39"/>
    <w:rsid w:val="1F6D440A"/>
    <w:rsid w:val="1FC57DA2"/>
    <w:rsid w:val="1FC61D6D"/>
    <w:rsid w:val="1FD06823"/>
    <w:rsid w:val="20592BE1"/>
    <w:rsid w:val="206B06C0"/>
    <w:rsid w:val="20A00E86"/>
    <w:rsid w:val="20A07065"/>
    <w:rsid w:val="20D23D15"/>
    <w:rsid w:val="213276BA"/>
    <w:rsid w:val="21A7055E"/>
    <w:rsid w:val="21AB121A"/>
    <w:rsid w:val="21B434DF"/>
    <w:rsid w:val="21DF4916"/>
    <w:rsid w:val="22154E1B"/>
    <w:rsid w:val="2322730F"/>
    <w:rsid w:val="23646A7D"/>
    <w:rsid w:val="236E3B41"/>
    <w:rsid w:val="238A310D"/>
    <w:rsid w:val="239A6BC4"/>
    <w:rsid w:val="23BB678E"/>
    <w:rsid w:val="23BF7940"/>
    <w:rsid w:val="240074FB"/>
    <w:rsid w:val="24080473"/>
    <w:rsid w:val="2473128C"/>
    <w:rsid w:val="247655B5"/>
    <w:rsid w:val="24881030"/>
    <w:rsid w:val="259A3A7F"/>
    <w:rsid w:val="25D243A4"/>
    <w:rsid w:val="262D3D51"/>
    <w:rsid w:val="2649126A"/>
    <w:rsid w:val="269A5CF4"/>
    <w:rsid w:val="26DD66BE"/>
    <w:rsid w:val="27133AE9"/>
    <w:rsid w:val="27365E3F"/>
    <w:rsid w:val="277A2040"/>
    <w:rsid w:val="27C87148"/>
    <w:rsid w:val="27CB0101"/>
    <w:rsid w:val="280D45ED"/>
    <w:rsid w:val="2830237E"/>
    <w:rsid w:val="28E36611"/>
    <w:rsid w:val="28F67CE4"/>
    <w:rsid w:val="29423D10"/>
    <w:rsid w:val="29AA6B50"/>
    <w:rsid w:val="2A002D78"/>
    <w:rsid w:val="2A06789C"/>
    <w:rsid w:val="2A09566D"/>
    <w:rsid w:val="2A7A4F37"/>
    <w:rsid w:val="2A8A2314"/>
    <w:rsid w:val="2AA66A22"/>
    <w:rsid w:val="2AB57775"/>
    <w:rsid w:val="2B11330C"/>
    <w:rsid w:val="2B5C4025"/>
    <w:rsid w:val="2B871ECD"/>
    <w:rsid w:val="2BEA12CD"/>
    <w:rsid w:val="2C4F6A77"/>
    <w:rsid w:val="2CDE15E0"/>
    <w:rsid w:val="2D101F45"/>
    <w:rsid w:val="2D9D06E4"/>
    <w:rsid w:val="2DC1358D"/>
    <w:rsid w:val="2E50117F"/>
    <w:rsid w:val="2E6D7A2A"/>
    <w:rsid w:val="2E8649DF"/>
    <w:rsid w:val="2EDC4FC4"/>
    <w:rsid w:val="2F12441C"/>
    <w:rsid w:val="2F3565C7"/>
    <w:rsid w:val="2F620F18"/>
    <w:rsid w:val="2FD14886"/>
    <w:rsid w:val="2FD64291"/>
    <w:rsid w:val="30093CDB"/>
    <w:rsid w:val="30122F6E"/>
    <w:rsid w:val="30444D13"/>
    <w:rsid w:val="30507E04"/>
    <w:rsid w:val="30973596"/>
    <w:rsid w:val="30E402A4"/>
    <w:rsid w:val="3119524D"/>
    <w:rsid w:val="319C46DB"/>
    <w:rsid w:val="31B87D54"/>
    <w:rsid w:val="31DD2470"/>
    <w:rsid w:val="31EE07FD"/>
    <w:rsid w:val="323703B5"/>
    <w:rsid w:val="33122EA7"/>
    <w:rsid w:val="336D401C"/>
    <w:rsid w:val="33745CF5"/>
    <w:rsid w:val="339C6C14"/>
    <w:rsid w:val="33AB1D0F"/>
    <w:rsid w:val="34042FC7"/>
    <w:rsid w:val="341076EC"/>
    <w:rsid w:val="344A16FB"/>
    <w:rsid w:val="34967EA3"/>
    <w:rsid w:val="34E02760"/>
    <w:rsid w:val="34EB3E37"/>
    <w:rsid w:val="35423A26"/>
    <w:rsid w:val="35496ABD"/>
    <w:rsid w:val="354E41DB"/>
    <w:rsid w:val="355D18A7"/>
    <w:rsid w:val="35B20807"/>
    <w:rsid w:val="361C061F"/>
    <w:rsid w:val="36462E68"/>
    <w:rsid w:val="36596709"/>
    <w:rsid w:val="36892D2E"/>
    <w:rsid w:val="368955F2"/>
    <w:rsid w:val="36D200CC"/>
    <w:rsid w:val="37180145"/>
    <w:rsid w:val="37AA3A13"/>
    <w:rsid w:val="37B81B43"/>
    <w:rsid w:val="380D5294"/>
    <w:rsid w:val="3873069F"/>
    <w:rsid w:val="387B329C"/>
    <w:rsid w:val="38D02376"/>
    <w:rsid w:val="38DF7CCF"/>
    <w:rsid w:val="39080D16"/>
    <w:rsid w:val="394217EE"/>
    <w:rsid w:val="394F17AF"/>
    <w:rsid w:val="39736669"/>
    <w:rsid w:val="39742B18"/>
    <w:rsid w:val="39903C31"/>
    <w:rsid w:val="39A36166"/>
    <w:rsid w:val="39E84D6F"/>
    <w:rsid w:val="3A8C3253"/>
    <w:rsid w:val="3A9B533C"/>
    <w:rsid w:val="3AD73FBC"/>
    <w:rsid w:val="3ADB2757"/>
    <w:rsid w:val="3ADF7629"/>
    <w:rsid w:val="3B4958D4"/>
    <w:rsid w:val="3B4D2C93"/>
    <w:rsid w:val="3B633A24"/>
    <w:rsid w:val="3BA47C25"/>
    <w:rsid w:val="3BBA6698"/>
    <w:rsid w:val="3BC46D08"/>
    <w:rsid w:val="3BD01B51"/>
    <w:rsid w:val="3C03033D"/>
    <w:rsid w:val="3C0E0197"/>
    <w:rsid w:val="3C7C7425"/>
    <w:rsid w:val="3C991932"/>
    <w:rsid w:val="3D057EFF"/>
    <w:rsid w:val="3D5132C8"/>
    <w:rsid w:val="3D537814"/>
    <w:rsid w:val="3E05291E"/>
    <w:rsid w:val="3E24323E"/>
    <w:rsid w:val="3E491D1E"/>
    <w:rsid w:val="3E4B1963"/>
    <w:rsid w:val="3E6B3DB3"/>
    <w:rsid w:val="3E6E11AD"/>
    <w:rsid w:val="3EE36C4C"/>
    <w:rsid w:val="3F1309CE"/>
    <w:rsid w:val="3F31063E"/>
    <w:rsid w:val="3F374B19"/>
    <w:rsid w:val="3F850EA5"/>
    <w:rsid w:val="3F9648D8"/>
    <w:rsid w:val="4004198D"/>
    <w:rsid w:val="40385F17"/>
    <w:rsid w:val="40840EAD"/>
    <w:rsid w:val="40903735"/>
    <w:rsid w:val="41055DF9"/>
    <w:rsid w:val="410D345B"/>
    <w:rsid w:val="41977F88"/>
    <w:rsid w:val="41C2018E"/>
    <w:rsid w:val="41C7373B"/>
    <w:rsid w:val="42070DF0"/>
    <w:rsid w:val="42162288"/>
    <w:rsid w:val="425C2A1B"/>
    <w:rsid w:val="426E3E72"/>
    <w:rsid w:val="428461EC"/>
    <w:rsid w:val="42AC7C32"/>
    <w:rsid w:val="42B707FA"/>
    <w:rsid w:val="42D40179"/>
    <w:rsid w:val="42EE49BD"/>
    <w:rsid w:val="43046F38"/>
    <w:rsid w:val="435D6AEB"/>
    <w:rsid w:val="437A41A8"/>
    <w:rsid w:val="43995F2A"/>
    <w:rsid w:val="439B0C97"/>
    <w:rsid w:val="43B34232"/>
    <w:rsid w:val="43F3462F"/>
    <w:rsid w:val="44023D76"/>
    <w:rsid w:val="44091623"/>
    <w:rsid w:val="4435005E"/>
    <w:rsid w:val="4473751E"/>
    <w:rsid w:val="44941CBE"/>
    <w:rsid w:val="44AE49FA"/>
    <w:rsid w:val="44C162F5"/>
    <w:rsid w:val="45810711"/>
    <w:rsid w:val="45976177"/>
    <w:rsid w:val="459B211B"/>
    <w:rsid w:val="45BD7258"/>
    <w:rsid w:val="46560EA5"/>
    <w:rsid w:val="46CC092C"/>
    <w:rsid w:val="46CE2EC7"/>
    <w:rsid w:val="46E64D11"/>
    <w:rsid w:val="46FB1683"/>
    <w:rsid w:val="472E71D1"/>
    <w:rsid w:val="4741140C"/>
    <w:rsid w:val="47A74D9C"/>
    <w:rsid w:val="47AF258A"/>
    <w:rsid w:val="47BD3EFE"/>
    <w:rsid w:val="47CF7161"/>
    <w:rsid w:val="47D2595F"/>
    <w:rsid w:val="48142DC6"/>
    <w:rsid w:val="48332336"/>
    <w:rsid w:val="484C47CD"/>
    <w:rsid w:val="493D253B"/>
    <w:rsid w:val="49D97E23"/>
    <w:rsid w:val="49EE6480"/>
    <w:rsid w:val="4A480F6C"/>
    <w:rsid w:val="4ACB00B3"/>
    <w:rsid w:val="4B3E79A8"/>
    <w:rsid w:val="4B600F16"/>
    <w:rsid w:val="4B661B8A"/>
    <w:rsid w:val="4B6A38AC"/>
    <w:rsid w:val="4B6B53F2"/>
    <w:rsid w:val="4BB16B3F"/>
    <w:rsid w:val="4BC42C29"/>
    <w:rsid w:val="4BF52F0E"/>
    <w:rsid w:val="4BF65BFD"/>
    <w:rsid w:val="4C094936"/>
    <w:rsid w:val="4C1A101B"/>
    <w:rsid w:val="4C4F7A01"/>
    <w:rsid w:val="4C710F17"/>
    <w:rsid w:val="4C723649"/>
    <w:rsid w:val="4C942727"/>
    <w:rsid w:val="4CFA7546"/>
    <w:rsid w:val="4D0A2B65"/>
    <w:rsid w:val="4D4964A5"/>
    <w:rsid w:val="4D6A2CF5"/>
    <w:rsid w:val="4D6C0FAE"/>
    <w:rsid w:val="4DD00E1F"/>
    <w:rsid w:val="4DD9486C"/>
    <w:rsid w:val="4DE65204"/>
    <w:rsid w:val="4DFB55DB"/>
    <w:rsid w:val="4E0E53BB"/>
    <w:rsid w:val="4E3F2B92"/>
    <w:rsid w:val="4E5959D6"/>
    <w:rsid w:val="4E632BC4"/>
    <w:rsid w:val="4E8441E1"/>
    <w:rsid w:val="4EC6113D"/>
    <w:rsid w:val="4EE54797"/>
    <w:rsid w:val="4F035350"/>
    <w:rsid w:val="4F251D5A"/>
    <w:rsid w:val="4F764366"/>
    <w:rsid w:val="4F860A4D"/>
    <w:rsid w:val="4FA109E7"/>
    <w:rsid w:val="4FCE73B7"/>
    <w:rsid w:val="4FD02A01"/>
    <w:rsid w:val="4FF11909"/>
    <w:rsid w:val="50083C27"/>
    <w:rsid w:val="502F6940"/>
    <w:rsid w:val="50514B6C"/>
    <w:rsid w:val="505162BA"/>
    <w:rsid w:val="51120A08"/>
    <w:rsid w:val="517A4DAE"/>
    <w:rsid w:val="51896965"/>
    <w:rsid w:val="519A07DF"/>
    <w:rsid w:val="51B113F5"/>
    <w:rsid w:val="51F223CA"/>
    <w:rsid w:val="526A445B"/>
    <w:rsid w:val="528F23DD"/>
    <w:rsid w:val="52D55BF7"/>
    <w:rsid w:val="52DE5A5E"/>
    <w:rsid w:val="52F12681"/>
    <w:rsid w:val="531D5224"/>
    <w:rsid w:val="534F7319"/>
    <w:rsid w:val="539C5096"/>
    <w:rsid w:val="540D4F52"/>
    <w:rsid w:val="541D1DED"/>
    <w:rsid w:val="54471223"/>
    <w:rsid w:val="54502A32"/>
    <w:rsid w:val="54B31911"/>
    <w:rsid w:val="54F663D8"/>
    <w:rsid w:val="55281CEA"/>
    <w:rsid w:val="55384597"/>
    <w:rsid w:val="55765AB6"/>
    <w:rsid w:val="55894DF3"/>
    <w:rsid w:val="55967510"/>
    <w:rsid w:val="55A57753"/>
    <w:rsid w:val="561B6306"/>
    <w:rsid w:val="579A3E8F"/>
    <w:rsid w:val="57B566A9"/>
    <w:rsid w:val="58112E7E"/>
    <w:rsid w:val="581B1F4E"/>
    <w:rsid w:val="587E5058"/>
    <w:rsid w:val="592025F8"/>
    <w:rsid w:val="593432C8"/>
    <w:rsid w:val="59774600"/>
    <w:rsid w:val="59B10034"/>
    <w:rsid w:val="59D03840"/>
    <w:rsid w:val="59FB3809"/>
    <w:rsid w:val="5A14376D"/>
    <w:rsid w:val="5A217147"/>
    <w:rsid w:val="5A3B17C5"/>
    <w:rsid w:val="5AB0697E"/>
    <w:rsid w:val="5AC8005B"/>
    <w:rsid w:val="5AE42C25"/>
    <w:rsid w:val="5B1178AC"/>
    <w:rsid w:val="5B461B6B"/>
    <w:rsid w:val="5B547C51"/>
    <w:rsid w:val="5B617C38"/>
    <w:rsid w:val="5BD01EF1"/>
    <w:rsid w:val="5BF44F90"/>
    <w:rsid w:val="5C0D0C59"/>
    <w:rsid w:val="5C702B74"/>
    <w:rsid w:val="5C72198B"/>
    <w:rsid w:val="5C801C72"/>
    <w:rsid w:val="5C9A78E6"/>
    <w:rsid w:val="5D1B161B"/>
    <w:rsid w:val="5D252FE9"/>
    <w:rsid w:val="5DD463E7"/>
    <w:rsid w:val="5DEA664B"/>
    <w:rsid w:val="5E343D6A"/>
    <w:rsid w:val="5E6B0686"/>
    <w:rsid w:val="5E6B0964"/>
    <w:rsid w:val="5ED6097D"/>
    <w:rsid w:val="5F153480"/>
    <w:rsid w:val="5F3B6A32"/>
    <w:rsid w:val="5F3C1475"/>
    <w:rsid w:val="5FD93B1F"/>
    <w:rsid w:val="5FE81C49"/>
    <w:rsid w:val="600C6FB6"/>
    <w:rsid w:val="600E5283"/>
    <w:rsid w:val="60126C75"/>
    <w:rsid w:val="603B65A0"/>
    <w:rsid w:val="6044365D"/>
    <w:rsid w:val="608C09CC"/>
    <w:rsid w:val="60A56F75"/>
    <w:rsid w:val="61467A75"/>
    <w:rsid w:val="61475B62"/>
    <w:rsid w:val="614D019F"/>
    <w:rsid w:val="61691BB5"/>
    <w:rsid w:val="61955803"/>
    <w:rsid w:val="61CB6CD1"/>
    <w:rsid w:val="61CD66CA"/>
    <w:rsid w:val="61D373F6"/>
    <w:rsid w:val="623F4168"/>
    <w:rsid w:val="627604AD"/>
    <w:rsid w:val="628961AD"/>
    <w:rsid w:val="62AA469F"/>
    <w:rsid w:val="62BF1A1C"/>
    <w:rsid w:val="632443AD"/>
    <w:rsid w:val="633B667E"/>
    <w:rsid w:val="637864A7"/>
    <w:rsid w:val="63BB0DF3"/>
    <w:rsid w:val="63DD067C"/>
    <w:rsid w:val="64085B12"/>
    <w:rsid w:val="641C6E32"/>
    <w:rsid w:val="64324E74"/>
    <w:rsid w:val="64376AA1"/>
    <w:rsid w:val="64DB75F0"/>
    <w:rsid w:val="64F335BB"/>
    <w:rsid w:val="655D305B"/>
    <w:rsid w:val="658D4468"/>
    <w:rsid w:val="659A2704"/>
    <w:rsid w:val="659E443B"/>
    <w:rsid w:val="65C46E98"/>
    <w:rsid w:val="65C65F8B"/>
    <w:rsid w:val="65D025CA"/>
    <w:rsid w:val="65D433E0"/>
    <w:rsid w:val="65DA5F76"/>
    <w:rsid w:val="6632531A"/>
    <w:rsid w:val="66417A9E"/>
    <w:rsid w:val="66536FE7"/>
    <w:rsid w:val="66644C16"/>
    <w:rsid w:val="66720AB6"/>
    <w:rsid w:val="667D11DF"/>
    <w:rsid w:val="66DE5BBB"/>
    <w:rsid w:val="676656CF"/>
    <w:rsid w:val="67BA708E"/>
    <w:rsid w:val="6818174D"/>
    <w:rsid w:val="682D0167"/>
    <w:rsid w:val="684150B9"/>
    <w:rsid w:val="68B27D65"/>
    <w:rsid w:val="68BE7975"/>
    <w:rsid w:val="6912080D"/>
    <w:rsid w:val="691640BA"/>
    <w:rsid w:val="696679B6"/>
    <w:rsid w:val="696A5EBA"/>
    <w:rsid w:val="69767263"/>
    <w:rsid w:val="69DC3B22"/>
    <w:rsid w:val="6A1503D3"/>
    <w:rsid w:val="6A1A2066"/>
    <w:rsid w:val="6A520F40"/>
    <w:rsid w:val="6A637020"/>
    <w:rsid w:val="6A7A48B2"/>
    <w:rsid w:val="6A9B3383"/>
    <w:rsid w:val="6A9E0A64"/>
    <w:rsid w:val="6AC6443E"/>
    <w:rsid w:val="6ACE55D2"/>
    <w:rsid w:val="6B325B3E"/>
    <w:rsid w:val="6BDD267B"/>
    <w:rsid w:val="6BF341D8"/>
    <w:rsid w:val="6C1A2BE6"/>
    <w:rsid w:val="6C2F15DF"/>
    <w:rsid w:val="6C3A04AE"/>
    <w:rsid w:val="6C4340E9"/>
    <w:rsid w:val="6C5A0E3F"/>
    <w:rsid w:val="6C613F7C"/>
    <w:rsid w:val="6C796ED3"/>
    <w:rsid w:val="6CF03552"/>
    <w:rsid w:val="6D2445E4"/>
    <w:rsid w:val="6D6F4B91"/>
    <w:rsid w:val="6D8E54E1"/>
    <w:rsid w:val="6DC70F12"/>
    <w:rsid w:val="6DDC1732"/>
    <w:rsid w:val="6E1119D2"/>
    <w:rsid w:val="6E2434B3"/>
    <w:rsid w:val="6E334E06"/>
    <w:rsid w:val="6E3C7818"/>
    <w:rsid w:val="6E82642B"/>
    <w:rsid w:val="6E9763F1"/>
    <w:rsid w:val="6EB6414C"/>
    <w:rsid w:val="6EDB5DB6"/>
    <w:rsid w:val="6F2F320C"/>
    <w:rsid w:val="6F626B16"/>
    <w:rsid w:val="6F9935FE"/>
    <w:rsid w:val="6F9A5774"/>
    <w:rsid w:val="6FEA4288"/>
    <w:rsid w:val="70614360"/>
    <w:rsid w:val="70C90342"/>
    <w:rsid w:val="70E37655"/>
    <w:rsid w:val="719721EE"/>
    <w:rsid w:val="71CD767C"/>
    <w:rsid w:val="7205184D"/>
    <w:rsid w:val="72346D15"/>
    <w:rsid w:val="725F0F5E"/>
    <w:rsid w:val="72AE30DF"/>
    <w:rsid w:val="7354438F"/>
    <w:rsid w:val="736C7D3B"/>
    <w:rsid w:val="7380576C"/>
    <w:rsid w:val="738B2667"/>
    <w:rsid w:val="744E4BDF"/>
    <w:rsid w:val="74911176"/>
    <w:rsid w:val="749B7AAA"/>
    <w:rsid w:val="74D45750"/>
    <w:rsid w:val="74F33BDF"/>
    <w:rsid w:val="75377F70"/>
    <w:rsid w:val="7595558D"/>
    <w:rsid w:val="75B415C0"/>
    <w:rsid w:val="75BC0475"/>
    <w:rsid w:val="76206C56"/>
    <w:rsid w:val="76227669"/>
    <w:rsid w:val="766F7295"/>
    <w:rsid w:val="76805E64"/>
    <w:rsid w:val="76A07D97"/>
    <w:rsid w:val="777370D3"/>
    <w:rsid w:val="77994029"/>
    <w:rsid w:val="77F42C39"/>
    <w:rsid w:val="788015FE"/>
    <w:rsid w:val="790C34C1"/>
    <w:rsid w:val="790E24EA"/>
    <w:rsid w:val="79750A53"/>
    <w:rsid w:val="79D93881"/>
    <w:rsid w:val="7A033419"/>
    <w:rsid w:val="7A682A5A"/>
    <w:rsid w:val="7AC019FF"/>
    <w:rsid w:val="7AF65AA6"/>
    <w:rsid w:val="7B08648E"/>
    <w:rsid w:val="7B764324"/>
    <w:rsid w:val="7BC47AC8"/>
    <w:rsid w:val="7BE3577E"/>
    <w:rsid w:val="7BED5740"/>
    <w:rsid w:val="7C0809EB"/>
    <w:rsid w:val="7CBF3AA0"/>
    <w:rsid w:val="7D474AC8"/>
    <w:rsid w:val="7D5D4085"/>
    <w:rsid w:val="7D9052F5"/>
    <w:rsid w:val="7E0041C3"/>
    <w:rsid w:val="7E4358A7"/>
    <w:rsid w:val="7E8008FE"/>
    <w:rsid w:val="7E9B616C"/>
    <w:rsid w:val="7EB530D1"/>
    <w:rsid w:val="7EE7318A"/>
    <w:rsid w:val="7F122662"/>
    <w:rsid w:val="7F1B445E"/>
    <w:rsid w:val="7F587460"/>
    <w:rsid w:val="7F9B5D80"/>
    <w:rsid w:val="7FA02BB5"/>
    <w:rsid w:val="7FF711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99"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8"/>
      <w:szCs w:val="22"/>
      <w:lang w:val="en-US" w:eastAsia="zh-CN" w:bidi="ar-SA"/>
    </w:rPr>
  </w:style>
  <w:style w:type="paragraph" w:styleId="2">
    <w:name w:val="heading 1"/>
    <w:basedOn w:val="1"/>
    <w:next w:val="1"/>
    <w:qFormat/>
    <w:uiPriority w:val="9"/>
    <w:pPr>
      <w:keepNext/>
      <w:keepLines/>
      <w:spacing w:line="360" w:lineRule="auto"/>
      <w:ind w:firstLine="752" w:firstLineChars="200"/>
      <w:outlineLvl w:val="0"/>
    </w:pPr>
    <w:rPr>
      <w:rFonts w:eastAsia="黑体"/>
      <w:kern w:val="44"/>
      <w:sz w:val="32"/>
    </w:rPr>
  </w:style>
  <w:style w:type="paragraph" w:styleId="3">
    <w:name w:val="heading 2"/>
    <w:basedOn w:val="1"/>
    <w:next w:val="1"/>
    <w:unhideWhenUsed/>
    <w:qFormat/>
    <w:uiPriority w:val="9"/>
    <w:pPr>
      <w:spacing w:line="360" w:lineRule="auto"/>
      <w:ind w:firstLine="630" w:firstLineChars="300"/>
      <w:outlineLvl w:val="1"/>
    </w:pPr>
    <w:rPr>
      <w:rFonts w:hint="eastAsia" w:ascii="宋体" w:hAnsi="宋体" w:eastAsia="仿宋_GB2312" w:cs="Times New Roman"/>
      <w:kern w:val="0"/>
      <w:sz w:val="32"/>
      <w:szCs w:val="36"/>
    </w:rPr>
  </w:style>
  <w:style w:type="paragraph" w:styleId="4">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49"/>
    <w:semiHidden/>
    <w:unhideWhenUsed/>
    <w:qFormat/>
    <w:uiPriority w:val="99"/>
    <w:rPr>
      <w:rFonts w:ascii="宋体" w:eastAsia="宋体"/>
      <w:sz w:val="18"/>
      <w:szCs w:val="18"/>
    </w:rPr>
  </w:style>
  <w:style w:type="paragraph" w:styleId="6">
    <w:name w:val="annotation text"/>
    <w:basedOn w:val="1"/>
    <w:link w:val="51"/>
    <w:semiHidden/>
    <w:unhideWhenUsed/>
    <w:qFormat/>
    <w:uiPriority w:val="99"/>
    <w:pPr>
      <w:jc w:val="left"/>
    </w:pPr>
  </w:style>
  <w:style w:type="paragraph" w:styleId="7">
    <w:name w:val="Body Text"/>
    <w:basedOn w:val="1"/>
    <w:qFormat/>
    <w:uiPriority w:val="0"/>
    <w:pPr>
      <w:spacing w:after="120"/>
    </w:pPr>
    <w:rPr>
      <w:rFonts w:ascii="Calibri"/>
      <w:sz w:val="21"/>
      <w:szCs w:val="24"/>
    </w:rPr>
  </w:style>
  <w:style w:type="paragraph" w:styleId="8">
    <w:name w:val="Body Text Indent"/>
    <w:basedOn w:val="1"/>
    <w:unhideWhenUsed/>
    <w:qFormat/>
    <w:uiPriority w:val="99"/>
    <w:pPr>
      <w:spacing w:after="120"/>
      <w:ind w:left="420" w:leftChars="200"/>
    </w:pPr>
  </w:style>
  <w:style w:type="paragraph" w:styleId="9">
    <w:name w:val="List 2"/>
    <w:basedOn w:val="1"/>
    <w:unhideWhenUsed/>
    <w:qFormat/>
    <w:uiPriority w:val="99"/>
    <w:pPr>
      <w:contextualSpacing/>
    </w:pPr>
    <w:rPr>
      <w:rFonts w:eastAsia="黑体"/>
      <w:color w:val="FF0000"/>
    </w:rPr>
  </w:style>
  <w:style w:type="paragraph" w:styleId="10">
    <w:name w:val="toc 5"/>
    <w:basedOn w:val="1"/>
    <w:next w:val="1"/>
    <w:qFormat/>
    <w:uiPriority w:val="0"/>
    <w:pPr>
      <w:ind w:left="800" w:leftChars="800"/>
    </w:pPr>
    <w:rPr>
      <w:rFonts w:ascii="Times New Roman" w:hAnsi="Times New Roman" w:eastAsia="宋体" w:cs="Calibri"/>
      <w:sz w:val="21"/>
      <w:szCs w:val="24"/>
    </w:rPr>
  </w:style>
  <w:style w:type="paragraph" w:styleId="11">
    <w:name w:val="endnote text"/>
    <w:basedOn w:val="1"/>
    <w:semiHidden/>
    <w:qFormat/>
    <w:uiPriority w:val="0"/>
    <w:pPr>
      <w:snapToGrid w:val="0"/>
      <w:jc w:val="left"/>
    </w:pPr>
  </w:style>
  <w:style w:type="paragraph" w:styleId="12">
    <w:name w:val="Balloon Text"/>
    <w:basedOn w:val="1"/>
    <w:link w:val="43"/>
    <w:semiHidden/>
    <w:unhideWhenUsed/>
    <w:qFormat/>
    <w:uiPriority w:val="99"/>
    <w:rPr>
      <w:sz w:val="18"/>
      <w:szCs w:val="18"/>
    </w:rPr>
  </w:style>
  <w:style w:type="paragraph" w:styleId="13">
    <w:name w:val="footer"/>
    <w:basedOn w:val="1"/>
    <w:link w:val="37"/>
    <w:unhideWhenUsed/>
    <w:qFormat/>
    <w:uiPriority w:val="0"/>
    <w:pPr>
      <w:tabs>
        <w:tab w:val="center" w:pos="4153"/>
        <w:tab w:val="right" w:pos="8306"/>
      </w:tabs>
      <w:snapToGrid w:val="0"/>
      <w:jc w:val="left"/>
    </w:pPr>
    <w:rPr>
      <w:sz w:val="18"/>
      <w:szCs w:val="18"/>
    </w:rPr>
  </w:style>
  <w:style w:type="paragraph" w:styleId="14">
    <w:name w:val="header"/>
    <w:basedOn w:val="1"/>
    <w:link w:val="4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semiHidden/>
    <w:unhideWhenUsed/>
    <w:qFormat/>
    <w:uiPriority w:val="39"/>
    <w:rPr>
      <w:rFonts w:eastAsia="仿宋"/>
      <w:b/>
      <w:sz w:val="30"/>
    </w:rPr>
  </w:style>
  <w:style w:type="paragraph" w:styleId="16">
    <w:name w:val="footnote text"/>
    <w:basedOn w:val="1"/>
    <w:semiHidden/>
    <w:unhideWhenUsed/>
    <w:qFormat/>
    <w:uiPriority w:val="99"/>
    <w:pPr>
      <w:snapToGrid w:val="0"/>
      <w:jc w:val="left"/>
    </w:pPr>
    <w:rPr>
      <w:sz w:val="18"/>
      <w:szCs w:val="18"/>
    </w:rPr>
  </w:style>
  <w:style w:type="paragraph" w:styleId="17">
    <w:name w:val="toc 2"/>
    <w:basedOn w:val="1"/>
    <w:next w:val="1"/>
    <w:semiHidden/>
    <w:unhideWhenUsed/>
    <w:qFormat/>
    <w:uiPriority w:val="39"/>
    <w:pPr>
      <w:ind w:left="210"/>
      <w:jc w:val="left"/>
    </w:pPr>
    <w:rPr>
      <w:rFonts w:ascii="Times New Roman" w:hAnsi="Times New Roman" w:eastAsia="仿宋" w:cs="Times New Roman"/>
      <w:smallCaps/>
      <w:lang w:val="zh-CN" w:bidi="zh-CN"/>
    </w:rPr>
  </w:style>
  <w:style w:type="paragraph" w:styleId="18">
    <w:name w:val="Normal (Web)"/>
    <w:basedOn w:val="1"/>
    <w:semiHidden/>
    <w:unhideWhenUsed/>
    <w:qFormat/>
    <w:uiPriority w:val="99"/>
    <w:pPr>
      <w:spacing w:beforeAutospacing="1" w:afterAutospacing="1"/>
      <w:jc w:val="left"/>
    </w:pPr>
    <w:rPr>
      <w:rFonts w:cs="Times New Roman"/>
      <w:kern w:val="0"/>
      <w:sz w:val="24"/>
    </w:rPr>
  </w:style>
  <w:style w:type="paragraph" w:styleId="19">
    <w:name w:val="annotation subject"/>
    <w:basedOn w:val="6"/>
    <w:next w:val="6"/>
    <w:link w:val="52"/>
    <w:semiHidden/>
    <w:unhideWhenUsed/>
    <w:qFormat/>
    <w:uiPriority w:val="99"/>
    <w:rPr>
      <w:b/>
      <w:bCs/>
    </w:rPr>
  </w:style>
  <w:style w:type="paragraph" w:styleId="20">
    <w:name w:val="Body Text First Indent"/>
    <w:basedOn w:val="7"/>
    <w:qFormat/>
    <w:uiPriority w:val="0"/>
    <w:pPr>
      <w:ind w:firstLine="567"/>
    </w:pPr>
  </w:style>
  <w:style w:type="paragraph" w:styleId="21">
    <w:name w:val="Body Text First Indent 2"/>
    <w:basedOn w:val="8"/>
    <w:qFormat/>
    <w:uiPriority w:val="0"/>
    <w:pPr>
      <w:ind w:firstLine="420" w:firstLineChars="200"/>
    </w:pPr>
    <w:rPr>
      <w:rFonts w:ascii="Calibri" w:hAnsi="Calibri" w:eastAsia="宋体" w:cs="Times New Roman"/>
      <w:sz w:val="32"/>
    </w:rPr>
  </w:style>
  <w:style w:type="table" w:styleId="23">
    <w:name w:val="Table Grid"/>
    <w:basedOn w:val="2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99"/>
    <w:rPr>
      <w:rFonts w:cs="Times New Roman"/>
      <w:b/>
      <w:bCs/>
    </w:rPr>
  </w:style>
  <w:style w:type="character" w:styleId="26">
    <w:name w:val="Hyperlink"/>
    <w:basedOn w:val="24"/>
    <w:semiHidden/>
    <w:unhideWhenUsed/>
    <w:qFormat/>
    <w:uiPriority w:val="99"/>
    <w:rPr>
      <w:color w:val="0000FF"/>
      <w:u w:val="single"/>
    </w:rPr>
  </w:style>
  <w:style w:type="character" w:styleId="27">
    <w:name w:val="annotation reference"/>
    <w:basedOn w:val="24"/>
    <w:semiHidden/>
    <w:unhideWhenUsed/>
    <w:qFormat/>
    <w:uiPriority w:val="99"/>
    <w:rPr>
      <w:sz w:val="21"/>
      <w:szCs w:val="21"/>
    </w:rPr>
  </w:style>
  <w:style w:type="character" w:styleId="28">
    <w:name w:val="footnote reference"/>
    <w:basedOn w:val="24"/>
    <w:semiHidden/>
    <w:unhideWhenUsed/>
    <w:qFormat/>
    <w:uiPriority w:val="99"/>
    <w:rPr>
      <w:vertAlign w:val="superscript"/>
    </w:rPr>
  </w:style>
  <w:style w:type="paragraph" w:customStyle="1" w:styleId="29">
    <w:name w:val="表格"/>
    <w:next w:val="1"/>
    <w:qFormat/>
    <w:uiPriority w:val="0"/>
    <w:pPr>
      <w:adjustRightInd w:val="0"/>
      <w:jc w:val="center"/>
      <w:textAlignment w:val="baseline"/>
    </w:pPr>
    <w:rPr>
      <w:rFonts w:ascii="Times New Roman" w:hAnsi="Times New Roman" w:eastAsia="宋体" w:cstheme="minorBidi"/>
      <w:sz w:val="21"/>
      <w:lang w:val="en-US" w:eastAsia="zh-CN" w:bidi="ar-SA"/>
    </w:rPr>
  </w:style>
  <w:style w:type="paragraph" w:customStyle="1" w:styleId="3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customStyle="1" w:styleId="32">
    <w:name w:val="表头"/>
    <w:basedOn w:val="20"/>
    <w:next w:val="29"/>
    <w:qFormat/>
    <w:uiPriority w:val="0"/>
    <w:pPr>
      <w:adjustRightInd w:val="0"/>
      <w:spacing w:before="60" w:after="60"/>
      <w:ind w:firstLine="0"/>
      <w:jc w:val="center"/>
    </w:pPr>
    <w:rPr>
      <w:b/>
      <w:kern w:val="13"/>
      <w:u w:val="single"/>
    </w:rPr>
  </w:style>
  <w:style w:type="paragraph" w:customStyle="1" w:styleId="33">
    <w:name w:val="表标题"/>
    <w:qFormat/>
    <w:uiPriority w:val="0"/>
    <w:pPr>
      <w:tabs>
        <w:tab w:val="left" w:pos="0"/>
      </w:tabs>
      <w:adjustRightInd w:val="0"/>
      <w:snapToGrid w:val="0"/>
      <w:spacing w:line="360" w:lineRule="auto"/>
      <w:jc w:val="center"/>
    </w:pPr>
    <w:rPr>
      <w:rFonts w:ascii="Times New Roman" w:hAnsi="Times New Roman" w:eastAsia="宋体" w:cstheme="minorBidi"/>
      <w:b/>
      <w:sz w:val="24"/>
      <w:lang w:val="en-US" w:eastAsia="zh-CN" w:bidi="ar-SA"/>
    </w:rPr>
  </w:style>
  <w:style w:type="paragraph" w:customStyle="1" w:styleId="34">
    <w:name w:val="表格内容"/>
    <w:qFormat/>
    <w:uiPriority w:val="99"/>
    <w:pPr>
      <w:widowControl w:val="0"/>
      <w:jc w:val="center"/>
    </w:pPr>
    <w:rPr>
      <w:rFonts w:ascii="Times New Roman" w:hAnsi="Times New Roman" w:eastAsia="宋体" w:cs="Times New Roman"/>
      <w:sz w:val="21"/>
      <w:lang w:val="en-US" w:eastAsia="zh-CN" w:bidi="ar-SA"/>
    </w:rPr>
  </w:style>
  <w:style w:type="paragraph" w:customStyle="1" w:styleId="35">
    <w:name w:val="样式2"/>
    <w:basedOn w:val="1"/>
    <w:qFormat/>
    <w:uiPriority w:val="0"/>
    <w:pPr>
      <w:widowControl/>
      <w:shd w:val="clear" w:color="auto" w:fill="FFFFFF"/>
      <w:spacing w:before="100" w:beforeAutospacing="1" w:after="100" w:afterAutospacing="1"/>
      <w:ind w:left="562"/>
      <w:jc w:val="center"/>
    </w:pPr>
    <w:rPr>
      <w:rFonts w:ascii="宋体" w:hAnsi="宋体"/>
      <w:b/>
      <w:szCs w:val="21"/>
    </w:rPr>
  </w:style>
  <w:style w:type="character" w:customStyle="1" w:styleId="36">
    <w:name w:val="页脚 字符"/>
    <w:basedOn w:val="24"/>
    <w:semiHidden/>
    <w:qFormat/>
    <w:uiPriority w:val="99"/>
    <w:rPr>
      <w:sz w:val="18"/>
      <w:szCs w:val="18"/>
    </w:rPr>
  </w:style>
  <w:style w:type="character" w:customStyle="1" w:styleId="37">
    <w:name w:val="页脚 Char"/>
    <w:basedOn w:val="24"/>
    <w:link w:val="13"/>
    <w:qFormat/>
    <w:uiPriority w:val="0"/>
    <w:rPr>
      <w:sz w:val="18"/>
      <w:szCs w:val="18"/>
    </w:rPr>
  </w:style>
  <w:style w:type="paragraph" w:customStyle="1" w:styleId="38">
    <w:name w:val="标准文字"/>
    <w:basedOn w:val="1"/>
    <w:link w:val="39"/>
    <w:qFormat/>
    <w:uiPriority w:val="0"/>
    <w:pPr>
      <w:overflowPunct w:val="0"/>
      <w:spacing w:line="360" w:lineRule="auto"/>
      <w:ind w:firstLine="600" w:firstLineChars="200"/>
    </w:pPr>
    <w:rPr>
      <w:rFonts w:ascii="Times New Roman" w:hAnsi="Times New Roman" w:eastAsia="仿宋_GB2312" w:cs="Times New Roman"/>
      <w:sz w:val="30"/>
      <w:szCs w:val="30"/>
    </w:rPr>
  </w:style>
  <w:style w:type="character" w:customStyle="1" w:styleId="39">
    <w:name w:val="标准文字 Char"/>
    <w:link w:val="38"/>
    <w:qFormat/>
    <w:locked/>
    <w:uiPriority w:val="0"/>
    <w:rPr>
      <w:rFonts w:ascii="Times New Roman" w:hAnsi="Times New Roman" w:eastAsia="仿宋_GB2312" w:cs="Times New Roman"/>
      <w:sz w:val="30"/>
      <w:szCs w:val="30"/>
    </w:rPr>
  </w:style>
  <w:style w:type="character" w:customStyle="1" w:styleId="40">
    <w:name w:val="NormalCharacter"/>
    <w:qFormat/>
    <w:uiPriority w:val="0"/>
  </w:style>
  <w:style w:type="table" w:customStyle="1" w:styleId="41">
    <w:name w:val="TableGrid"/>
    <w:qFormat/>
    <w:uiPriority w:val="0"/>
    <w:tblPr>
      <w:tblCellMar>
        <w:top w:w="0" w:type="dxa"/>
        <w:left w:w="0" w:type="dxa"/>
        <w:bottom w:w="0" w:type="dxa"/>
        <w:right w:w="0" w:type="dxa"/>
      </w:tblCellMar>
    </w:tblPr>
  </w:style>
  <w:style w:type="character" w:customStyle="1" w:styleId="42">
    <w:name w:val="页眉 Char"/>
    <w:basedOn w:val="24"/>
    <w:link w:val="14"/>
    <w:qFormat/>
    <w:uiPriority w:val="99"/>
    <w:rPr>
      <w:sz w:val="18"/>
      <w:szCs w:val="18"/>
    </w:rPr>
  </w:style>
  <w:style w:type="character" w:customStyle="1" w:styleId="43">
    <w:name w:val="批注框文本 Char"/>
    <w:basedOn w:val="24"/>
    <w:link w:val="12"/>
    <w:semiHidden/>
    <w:qFormat/>
    <w:uiPriority w:val="99"/>
    <w:rPr>
      <w:sz w:val="18"/>
      <w:szCs w:val="18"/>
    </w:rPr>
  </w:style>
  <w:style w:type="paragraph" w:customStyle="1" w:styleId="44">
    <w:name w:val="表文字"/>
    <w:basedOn w:val="1"/>
    <w:qFormat/>
    <w:uiPriority w:val="0"/>
    <w:pPr>
      <w:jc w:val="center"/>
    </w:pPr>
    <w:rPr>
      <w:color w:val="000000"/>
      <w:sz w:val="21"/>
    </w:rPr>
  </w:style>
  <w:style w:type="paragraph" w:styleId="45">
    <w:name w:val="No Spacing"/>
    <w:qFormat/>
    <w:uiPriority w:val="1"/>
    <w:pPr>
      <w:widowControl w:val="0"/>
      <w:jc w:val="both"/>
    </w:pPr>
    <w:rPr>
      <w:rFonts w:ascii="Calibri" w:hAnsi="Calibri" w:eastAsia="宋体" w:cs="Times New Roman"/>
      <w:kern w:val="2"/>
      <w:sz w:val="21"/>
      <w:szCs w:val="22"/>
      <w:lang w:val="en-US" w:eastAsia="zh-CN" w:bidi="ar-SA"/>
    </w:rPr>
  </w:style>
  <w:style w:type="paragraph" w:styleId="46">
    <w:name w:val="List Paragraph"/>
    <w:basedOn w:val="1"/>
    <w:qFormat/>
    <w:uiPriority w:val="1"/>
    <w:pPr>
      <w:spacing w:before="161"/>
      <w:ind w:left="1281" w:hanging="602"/>
    </w:pPr>
    <w:rPr>
      <w:rFonts w:ascii="宋体" w:hAnsi="宋体" w:eastAsia="宋体" w:cs="宋体"/>
      <w:lang w:val="zh-CN" w:bidi="zh-CN"/>
    </w:rPr>
  </w:style>
  <w:style w:type="paragraph" w:customStyle="1" w:styleId="47">
    <w:name w:val="sheet"/>
    <w:basedOn w:val="1"/>
    <w:qFormat/>
    <w:uiPriority w:val="0"/>
    <w:pPr>
      <w:suppressAutoHyphens/>
      <w:topLinePunct/>
      <w:jc w:val="center"/>
    </w:pPr>
    <w:rPr>
      <w:rFonts w:ascii="Times New Roman"/>
      <w:sz w:val="21"/>
      <w:szCs w:val="21"/>
    </w:rPr>
  </w:style>
  <w:style w:type="paragraph" w:customStyle="1" w:styleId="48">
    <w:name w:val="表格正文"/>
    <w:qFormat/>
    <w:uiPriority w:val="0"/>
    <w:pPr>
      <w:adjustRightInd w:val="0"/>
      <w:snapToGrid w:val="0"/>
      <w:jc w:val="center"/>
    </w:pPr>
    <w:rPr>
      <w:rFonts w:ascii="Times New Roman" w:hAnsi="Times New Roman" w:eastAsia="宋体" w:cstheme="minorBidi"/>
      <w:sz w:val="21"/>
      <w:lang w:val="en-US" w:eastAsia="zh-CN" w:bidi="ar-SA"/>
    </w:rPr>
  </w:style>
  <w:style w:type="character" w:customStyle="1" w:styleId="49">
    <w:name w:val="文档结构图 Char"/>
    <w:basedOn w:val="24"/>
    <w:link w:val="5"/>
    <w:semiHidden/>
    <w:qFormat/>
    <w:uiPriority w:val="99"/>
    <w:rPr>
      <w:rFonts w:ascii="宋体" w:hAnsiTheme="minorHAnsi" w:cstheme="minorBidi"/>
      <w:kern w:val="2"/>
      <w:sz w:val="18"/>
      <w:szCs w:val="18"/>
    </w:rPr>
  </w:style>
  <w:style w:type="paragraph" w:customStyle="1" w:styleId="50">
    <w:name w:val="Table Paragraph"/>
    <w:qFormat/>
    <w:uiPriority w:val="1"/>
    <w:pPr>
      <w:widowControl w:val="0"/>
      <w:adjustRightInd w:val="0"/>
      <w:snapToGrid w:val="0"/>
      <w:jc w:val="both"/>
    </w:pPr>
    <w:rPr>
      <w:rFonts w:ascii="Times New Roman" w:hAnsi="Times New Roman" w:eastAsia="仿宋_GB2312" w:cs="仿宋"/>
      <w:kern w:val="2"/>
      <w:sz w:val="24"/>
      <w:szCs w:val="24"/>
      <w:lang w:val="en-US" w:eastAsia="zh-CN" w:bidi="ar-SA"/>
    </w:rPr>
  </w:style>
  <w:style w:type="character" w:customStyle="1" w:styleId="51">
    <w:name w:val="批注文字 Char"/>
    <w:basedOn w:val="24"/>
    <w:link w:val="6"/>
    <w:semiHidden/>
    <w:qFormat/>
    <w:uiPriority w:val="99"/>
    <w:rPr>
      <w:rFonts w:asciiTheme="minorHAnsi" w:hAnsiTheme="minorHAnsi" w:eastAsiaTheme="minorEastAsia" w:cstheme="minorBidi"/>
      <w:kern w:val="2"/>
      <w:sz w:val="28"/>
      <w:szCs w:val="22"/>
    </w:rPr>
  </w:style>
  <w:style w:type="character" w:customStyle="1" w:styleId="52">
    <w:name w:val="批注主题 Char"/>
    <w:basedOn w:val="51"/>
    <w:link w:val="19"/>
    <w:qFormat/>
    <w:uiPriority w:val="0"/>
  </w:style>
  <w:style w:type="paragraph" w:customStyle="1" w:styleId="53">
    <w:name w:val="7表格文字"/>
    <w:basedOn w:val="1"/>
    <w:qFormat/>
    <w:uiPriority w:val="0"/>
    <w:pPr>
      <w:jc w:val="center"/>
    </w:pPr>
    <w:rPr>
      <w:rFonts w:ascii="Times New Roman" w:hAnsi="Times New Roman"/>
      <w:szCs w:val="24"/>
    </w:rPr>
  </w:style>
  <w:style w:type="character" w:customStyle="1" w:styleId="54">
    <w:name w:val="font41"/>
    <w:basedOn w:val="24"/>
    <w:qFormat/>
    <w:uiPriority w:val="0"/>
    <w:rPr>
      <w:rFonts w:hint="default" w:ascii="Times New Roman" w:hAnsi="Times New Roman" w:cs="Times New Roman"/>
      <w:color w:val="000000"/>
      <w:sz w:val="24"/>
      <w:szCs w:val="24"/>
      <w:u w:val="none"/>
    </w:rPr>
  </w:style>
  <w:style w:type="character" w:customStyle="1" w:styleId="55">
    <w:name w:val="font31"/>
    <w:basedOn w:val="24"/>
    <w:qFormat/>
    <w:uiPriority w:val="0"/>
    <w:rPr>
      <w:rFonts w:hint="default"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01" textRotate="1"/>
    <customShpInfo spid="_x0000_s4099" textRotate="1"/>
    <customShpInfo spid="_x0000_s410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93C4D5-0E43-450E-AE89-A7FFC57DD90C}">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20</Pages>
  <Words>1379</Words>
  <Characters>1617</Characters>
  <Lines>134</Lines>
  <Paragraphs>37</Paragraphs>
  <TotalTime>5</TotalTime>
  <ScaleCrop>false</ScaleCrop>
  <LinksUpToDate>false</LinksUpToDate>
  <CharactersWithSpaces>1653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2024-06-20T06:49:00Z</dcterms:created>
  <dc:creator>加菲猫</dc:creator>
  <cp:lastModifiedBy>1</cp:lastModifiedBy>
  <cp:lastPrinted>2021-03-22T09:47:00Z</cp:lastPrinted>
  <dcterms:modified xsi:type="dcterms:W3CDTF">2026-04-01T07:16:14Z</dcterms:modified>
  <dc:title>天易经开区</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6050A0A4944E4EC5B6DE6F7145DB9F6B</vt:lpwstr>
  </property>
  <property fmtid="{D5CDD505-2E9C-101B-9397-08002B2CF9AE}" pid="4" name="commondata">
    <vt:lpwstr>eyJoZGlkIjoiMmU3YTc0NDNhZjcxZjVkYjBkNDk3OTI3OTM3MzM5OTgifQ==</vt:lpwstr>
  </property>
  <property fmtid="{D5CDD505-2E9C-101B-9397-08002B2CF9AE}" pid="5" name="KSOTemplateDocerSaveRecord">
    <vt:lpwstr>eyJoZGlkIjoiYmQyMWFhMTFkNzBmNzRkYzY3M2Q2OWNmNmYwMWVkMmEiLCJ1c2VySWQiOiIyNjIxMTU5NDgifQ==</vt:lpwstr>
  </property>
</Properties>
</file>