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AC41F">
      <w:pPr>
        <w:spacing w:line="1120" w:lineRule="exact"/>
        <w:rPr>
          <w:rFonts w:ascii="仿宋_GB2312" w:hAnsi="仿宋_GB2312" w:eastAsia="仿宋_GB2312"/>
          <w:b/>
          <w:w w:val="200"/>
          <w:kern w:val="1"/>
          <w:sz w:val="44"/>
          <w:szCs w:val="44"/>
        </w:rPr>
      </w:pPr>
    </w:p>
    <w:p w14:paraId="46265D71">
      <w:pPr>
        <w:pStyle w:val="30"/>
        <w:adjustRightInd w:val="0"/>
        <w:snapToGrid w:val="0"/>
        <w:spacing w:line="340" w:lineRule="exact"/>
      </w:pPr>
    </w:p>
    <w:p w14:paraId="1DCB7E1A">
      <w:pPr>
        <w:spacing w:afterLines="150" w:line="500" w:lineRule="exact"/>
        <w:jc w:val="center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_GB2312" w:hAnsi="仿宋_GB2312" w:eastAsia="仿宋_GB2312"/>
          <w:b/>
          <w:kern w:val="1"/>
          <w:sz w:val="44"/>
          <w:szCs w:val="44"/>
        </w:rPr>
        <w:t xml:space="preserve">                  </w:t>
      </w:r>
      <w:r>
        <w:rPr>
          <w:rFonts w:hint="eastAsia" w:ascii="仿宋_GB2312" w:hAnsi="仿宋_GB2312" w:eastAsia="仿宋_GB2312"/>
          <w:b/>
          <w:kern w:val="1"/>
          <w:sz w:val="44"/>
          <w:szCs w:val="44"/>
        </w:rPr>
        <w:t xml:space="preserve"> </w:t>
      </w:r>
      <w:r>
        <w:rPr>
          <w:rFonts w:ascii="仿宋" w:hAnsi="仿宋" w:eastAsia="仿宋" w:cs="仿宋"/>
          <w:kern w:val="1"/>
          <w:sz w:val="32"/>
          <w:szCs w:val="32"/>
        </w:rPr>
        <w:t>潭环审</w:t>
      </w:r>
      <w:r>
        <w:rPr>
          <w:rFonts w:hint="eastAsia" w:ascii="仿宋" w:hAnsi="仿宋" w:eastAsia="仿宋" w:cs="仿宋"/>
          <w:kern w:val="1"/>
          <w:sz w:val="32"/>
          <w:szCs w:val="32"/>
        </w:rPr>
        <w:t>(湘潭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</w:rPr>
        <w:t>县)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〔</w:t>
      </w:r>
      <w:r>
        <w:rPr>
          <w:rFonts w:ascii="仿宋" w:hAnsi="仿宋" w:eastAsia="仿宋" w:cs="宋体"/>
          <w:color w:val="auto"/>
          <w:sz w:val="32"/>
          <w:szCs w:val="32"/>
        </w:rPr>
        <w:t>20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26〕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9</w:t>
      </w:r>
      <w:r>
        <w:rPr>
          <w:rFonts w:ascii="仿宋" w:hAnsi="仿宋" w:eastAsia="仿宋" w:cs="仿宋"/>
          <w:color w:val="auto"/>
          <w:kern w:val="1"/>
          <w:sz w:val="32"/>
          <w:szCs w:val="32"/>
        </w:rPr>
        <w:t xml:space="preserve">号 </w:t>
      </w:r>
    </w:p>
    <w:p w14:paraId="341DC3A4">
      <w:pPr>
        <w:pStyle w:val="7"/>
        <w:widowControl/>
        <w:adjustRightInd w:val="0"/>
        <w:snapToGrid w:val="0"/>
        <w:spacing w:line="420" w:lineRule="exact"/>
      </w:pPr>
    </w:p>
    <w:p w14:paraId="3A0447BC">
      <w:pPr>
        <w:spacing w:line="520" w:lineRule="exact"/>
        <w:ind w:right="-42" w:rightChars="-2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关于《</w:t>
      </w:r>
      <w:bookmarkStart w:id="0" w:name="OLE_LINK17"/>
      <w:bookmarkStart w:id="1" w:name="OLE_LINK18"/>
      <w:bookmarkStart w:id="2" w:name="OLE_LINK19"/>
      <w:bookmarkStart w:id="3" w:name="OLE_LINK13"/>
      <w:bookmarkStart w:id="4" w:name="OLE_LINK12"/>
      <w:bookmarkStart w:id="5" w:name="OLE_LINK14"/>
      <w:r>
        <w:rPr>
          <w:rFonts w:hint="eastAsia" w:ascii="宋体" w:hAnsi="宋体"/>
          <w:b/>
          <w:bCs/>
          <w:sz w:val="44"/>
          <w:szCs w:val="44"/>
        </w:rPr>
        <w:t>湖南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沃地生态肥业</w:t>
      </w:r>
      <w:r>
        <w:rPr>
          <w:rFonts w:hint="eastAsia" w:ascii="宋体" w:hAnsi="宋体"/>
          <w:b/>
          <w:bCs/>
          <w:sz w:val="44"/>
          <w:szCs w:val="44"/>
        </w:rPr>
        <w:t>有限公司</w:t>
      </w:r>
      <w:bookmarkEnd w:id="0"/>
      <w:bookmarkEnd w:id="1"/>
      <w:bookmarkStart w:id="6" w:name="OLE_LINK29"/>
      <w:bookmarkStart w:id="7" w:name="OLE_LINK30"/>
      <w:r>
        <w:rPr>
          <w:rFonts w:hint="eastAsia" w:ascii="宋体" w:hAnsi="宋体"/>
          <w:b/>
          <w:bCs/>
          <w:sz w:val="44"/>
          <w:szCs w:val="44"/>
          <w:lang w:eastAsia="zh-CN"/>
        </w:rPr>
        <w:t>增建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5万</w:t>
      </w:r>
      <w:r>
        <w:rPr>
          <w:rFonts w:hint="default" w:ascii="宋体" w:hAnsi="宋体"/>
          <w:b/>
          <w:bCs/>
          <w:sz w:val="44"/>
          <w:szCs w:val="44"/>
          <w:lang w:val="en-US" w:eastAsia="zh-CN"/>
        </w:rPr>
        <w:t>t/a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肥料新生产线暨一期老线热风炉燃料升级建设项目</w:t>
      </w:r>
      <w:bookmarkEnd w:id="2"/>
      <w:bookmarkEnd w:id="3"/>
      <w:bookmarkEnd w:id="4"/>
      <w:bookmarkEnd w:id="5"/>
      <w:bookmarkEnd w:id="6"/>
      <w:bookmarkEnd w:id="7"/>
      <w:bookmarkStart w:id="8" w:name="OLE_LINK16"/>
      <w:bookmarkStart w:id="9" w:name="OLE_LINK15"/>
      <w:r>
        <w:rPr>
          <w:rFonts w:hint="eastAsia" w:ascii="宋体" w:hAnsi="宋体"/>
          <w:b/>
          <w:bCs/>
          <w:sz w:val="44"/>
          <w:szCs w:val="44"/>
        </w:rPr>
        <w:t>环境影响报告表</w:t>
      </w:r>
      <w:bookmarkEnd w:id="8"/>
      <w:bookmarkEnd w:id="9"/>
      <w:r>
        <w:rPr>
          <w:rFonts w:hint="eastAsia" w:ascii="宋体" w:hAnsi="宋体"/>
          <w:b/>
          <w:bCs/>
          <w:sz w:val="44"/>
          <w:szCs w:val="44"/>
        </w:rPr>
        <w:t>》的审批意见</w:t>
      </w:r>
    </w:p>
    <w:p w14:paraId="614720DE">
      <w:pPr>
        <w:spacing w:line="480" w:lineRule="exact"/>
        <w:ind w:right="-42" w:rightChars="-20"/>
        <w:jc w:val="center"/>
        <w:rPr>
          <w:rFonts w:ascii="仿宋" w:hAnsi="仿宋" w:eastAsia="仿宋"/>
          <w:color w:val="FF0000"/>
          <w:sz w:val="10"/>
          <w:szCs w:val="10"/>
        </w:rPr>
      </w:pPr>
    </w:p>
    <w:p w14:paraId="6F71D767">
      <w:pPr>
        <w:spacing w:line="480" w:lineRule="exact"/>
        <w:rPr>
          <w:rFonts w:ascii="仿宋" w:hAnsi="仿宋" w:eastAsia="仿宋" w:cs="仿宋"/>
          <w:sz w:val="32"/>
          <w:szCs w:val="32"/>
        </w:rPr>
      </w:pPr>
      <w:bookmarkStart w:id="10" w:name="OLE_LINK27"/>
      <w:bookmarkStart w:id="11" w:name="OLE_LINK28"/>
      <w:r>
        <w:rPr>
          <w:rFonts w:hint="eastAsia" w:ascii="仿宋" w:hAnsi="仿宋" w:eastAsia="仿宋" w:cs="仿宋"/>
          <w:sz w:val="32"/>
          <w:szCs w:val="32"/>
        </w:rPr>
        <w:t>湖南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沃地生态肥业</w:t>
      </w:r>
      <w:r>
        <w:rPr>
          <w:rFonts w:hint="eastAsia" w:ascii="仿宋" w:hAnsi="仿宋" w:eastAsia="仿宋" w:cs="仿宋"/>
          <w:sz w:val="32"/>
          <w:szCs w:val="32"/>
        </w:rPr>
        <w:t>有限公司</w:t>
      </w:r>
      <w:bookmarkEnd w:id="10"/>
      <w:bookmarkEnd w:id="11"/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715D9862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你公司由湖南国网环境科学研究院有限公司编制的《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湖南沃地生态肥业</w:t>
      </w:r>
      <w:r>
        <w:rPr>
          <w:rFonts w:hint="eastAsia" w:ascii="仿宋" w:hAnsi="仿宋" w:eastAsia="仿宋" w:cs="仿宋"/>
          <w:sz w:val="32"/>
          <w:szCs w:val="32"/>
        </w:rPr>
        <w:t>有限公司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增建</w:t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肥料新生产线暨一期老线热风炉燃料升级建设</w:t>
      </w:r>
      <w:r>
        <w:rPr>
          <w:rFonts w:hint="eastAsia" w:ascii="仿宋" w:hAnsi="仿宋" w:eastAsia="仿宋" w:cs="仿宋"/>
          <w:sz w:val="32"/>
          <w:szCs w:val="32"/>
        </w:rPr>
        <w:t>项目环境影响报告表》(以下简称报告表)及相关材料已收悉。经研究，批复如下：</w:t>
      </w:r>
      <w:bookmarkStart w:id="12" w:name="OLE_LINK25"/>
      <w:bookmarkStart w:id="13" w:name="OLE_LINK26"/>
    </w:p>
    <w:p w14:paraId="33F12F3D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湖南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沃地生态肥业</w:t>
      </w:r>
      <w:r>
        <w:rPr>
          <w:rFonts w:hint="eastAsia" w:ascii="仿宋" w:hAnsi="仿宋" w:eastAsia="仿宋" w:cs="仿宋"/>
          <w:sz w:val="32"/>
          <w:szCs w:val="32"/>
        </w:rPr>
        <w:t>有限公司位于湘潭县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杨嘉桥镇华东村，</w:t>
      </w:r>
      <w:r>
        <w:rPr>
          <w:rFonts w:hint="eastAsia" w:ascii="仿宋" w:hAnsi="仿宋" w:eastAsia="仿宋" w:cs="仿宋"/>
          <w:sz w:val="32"/>
          <w:szCs w:val="32"/>
        </w:rPr>
        <w:t>原“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年产20万吨肥料生产线建设项目</w:t>
      </w:r>
      <w:r>
        <w:rPr>
          <w:rFonts w:hint="eastAsia" w:ascii="仿宋" w:hAnsi="仿宋" w:eastAsia="仿宋" w:cs="仿宋"/>
          <w:sz w:val="32"/>
          <w:szCs w:val="32"/>
        </w:rPr>
        <w:t>”已于2019年4月通过环评审批（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潭县环审字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〔</w:t>
      </w:r>
      <w:r>
        <w:rPr>
          <w:rFonts w:ascii="仿宋" w:hAnsi="仿宋" w:eastAsia="仿宋" w:cs="宋体"/>
          <w:color w:val="auto"/>
          <w:sz w:val="32"/>
          <w:szCs w:val="32"/>
        </w:rPr>
        <w:t>20</w:t>
      </w:r>
      <w:r>
        <w:rPr>
          <w:rFonts w:hint="eastAsia" w:ascii="仿宋" w:hAnsi="仿宋" w:eastAsia="仿宋" w:cs="宋体"/>
          <w:color w:val="auto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43号</w:t>
      </w:r>
      <w:r>
        <w:rPr>
          <w:rFonts w:hint="eastAsia" w:ascii="仿宋" w:hAnsi="仿宋" w:eastAsia="仿宋" w:cs="仿宋"/>
          <w:sz w:val="32"/>
          <w:szCs w:val="32"/>
        </w:rPr>
        <w:t>），202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月完成了竣工环境保护自主验收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(一期)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投资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万元，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在现有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厂区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车间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内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不新增用地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将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/>
        </w:rPr>
        <w:t>原环评中二期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/>
        </w:rPr>
        <w:t>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设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/>
        </w:rPr>
        <w:t xml:space="preserve">的“5万t/a挤压/掺混肥生产线”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改为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万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肥料新生产线暨一期老线热风炉燃料升级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”，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/>
        </w:rPr>
        <w:t>总产能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不变（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/>
        </w:rPr>
        <w:t>20万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t/a）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/>
        </w:rPr>
        <w:t>。</w:t>
      </w:r>
      <w:bookmarkEnd w:id="12"/>
      <w:bookmarkEnd w:id="13"/>
      <w:bookmarkStart w:id="30" w:name="_GoBack"/>
      <w:bookmarkEnd w:id="30"/>
      <w:r>
        <w:rPr>
          <w:rFonts w:hint="eastAsia" w:ascii="仿宋" w:hAnsi="仿宋" w:eastAsia="仿宋" w:cs="仿宋"/>
          <w:sz w:val="32"/>
          <w:szCs w:val="32"/>
        </w:rPr>
        <w:t>主要建设内容包括: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(1)增</w:t>
      </w:r>
      <w:r>
        <w:rPr>
          <w:rFonts w:hint="eastAsia" w:ascii="仿宋" w:hAnsi="仿宋" w:eastAsia="仿宋" w:cs="仿宋"/>
          <w:sz w:val="32"/>
          <w:szCs w:val="32"/>
        </w:rPr>
        <w:t>建</w:t>
      </w:r>
      <w:r>
        <w:rPr>
          <w:rFonts w:hint="default" w:ascii="仿宋" w:hAnsi="仿宋" w:eastAsia="仿宋" w:cs="仿宋"/>
          <w:sz w:val="32"/>
          <w:szCs w:val="32"/>
          <w:lang w:val="en-US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条5万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团粒法颗粒肥新生产线。</w:t>
      </w:r>
      <w:r>
        <w:rPr>
          <w:rFonts w:hint="eastAsia" w:ascii="仿宋" w:hAnsi="仿宋" w:eastAsia="仿宋" w:cs="仿宋"/>
          <w:sz w:val="32"/>
          <w:szCs w:val="32"/>
        </w:rPr>
        <w:t>主要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新增</w:t>
      </w:r>
      <w:r>
        <w:rPr>
          <w:rFonts w:hint="eastAsia" w:ascii="仿宋" w:hAnsi="仿宋" w:eastAsia="仿宋" w:cs="仿宋"/>
          <w:sz w:val="32"/>
          <w:szCs w:val="32"/>
        </w:rPr>
        <w:t>产品包括: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颗粒有机肥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颗粒生物有机肥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、颗粒有机无机肥1万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、颗粒测土配方肥2万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主要原辅材料及能源消耗包括: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氯化铵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14400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磷酸一铵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6700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磷酸二铵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3400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粉状有机肥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外购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17400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氯化钾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2500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bookmarkStart w:id="14" w:name="OLE_LINK31"/>
      <w:bookmarkStart w:id="15" w:name="OLE_LINK32"/>
      <w:r>
        <w:rPr>
          <w:rFonts w:hint="eastAsia" w:ascii="仿宋" w:hAnsi="仿宋" w:eastAsia="仿宋" w:cs="仿宋"/>
          <w:sz w:val="32"/>
          <w:szCs w:val="32"/>
          <w:lang w:eastAsia="zh-CN"/>
        </w:rPr>
        <w:t>尿素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5600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bookmarkEnd w:id="14"/>
      <w:bookmarkEnd w:id="15"/>
      <w:r>
        <w:rPr>
          <w:rFonts w:hint="eastAsia" w:ascii="仿宋" w:hAnsi="仿宋" w:eastAsia="仿宋" w:cs="仿宋"/>
          <w:sz w:val="32"/>
          <w:szCs w:val="32"/>
          <w:lang w:eastAsia="zh-CN"/>
        </w:rPr>
        <w:t>生物菌剂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包膜油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bookmarkStart w:id="16" w:name="OLE_LINK34"/>
      <w:bookmarkStart w:id="17" w:name="OLE_LINK33"/>
      <w:r>
        <w:rPr>
          <w:rFonts w:hint="eastAsia" w:ascii="仿宋" w:hAnsi="仿宋" w:eastAsia="仿宋" w:cs="仿宋"/>
          <w:sz w:val="32"/>
          <w:szCs w:val="32"/>
          <w:lang w:eastAsia="zh-CN"/>
        </w:rPr>
        <w:t>防结粉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bookmarkEnd w:id="16"/>
      <w:bookmarkEnd w:id="17"/>
      <w:r>
        <w:rPr>
          <w:rFonts w:hint="eastAsia" w:ascii="仿宋" w:hAnsi="仿宋" w:eastAsia="仿宋" w:cs="仿宋"/>
          <w:sz w:val="32"/>
          <w:szCs w:val="32"/>
          <w:lang w:eastAsia="zh-CN"/>
        </w:rPr>
        <w:t>海泡石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膨润土750</w:t>
      </w:r>
      <w:r>
        <w:rPr>
          <w:rFonts w:hint="eastAsia" w:ascii="仿宋" w:hAnsi="仿宋" w:eastAsia="仿宋" w:cs="仿宋"/>
          <w:sz w:val="32"/>
          <w:szCs w:val="32"/>
        </w:rPr>
        <w:t>t/a、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润滑油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2t/a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、生物质颗粒1800</w:t>
      </w:r>
      <w:r>
        <w:rPr>
          <w:rFonts w:hint="eastAsia" w:ascii="仿宋" w:hAnsi="仿宋" w:eastAsia="仿宋" w:cs="仿宋"/>
          <w:sz w:val="32"/>
          <w:szCs w:val="32"/>
        </w:rPr>
        <w:t>t/a、电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</w:rPr>
        <w:t>万kw•h/a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2250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</w:rPr>
        <w:t>。主要生产设备包括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：自动配料系统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1套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原料破碎机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1台、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转鼓造粒机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1台、转筒式烘干机2台、转筒式冷却机2台、圆筒筛1台、双层振动筛1台、大颗粒定量破碎机2</w:t>
      </w:r>
      <w:r>
        <w:rPr>
          <w:rFonts w:hint="eastAsia" w:ascii="仿宋" w:hAnsi="仿宋" w:eastAsia="仿宋" w:cs="仿宋"/>
          <w:sz w:val="32"/>
          <w:szCs w:val="32"/>
        </w:rPr>
        <w:t>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(一备一用)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包膜机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1台、高位码包机1</w:t>
      </w:r>
      <w:r>
        <w:rPr>
          <w:rFonts w:hint="eastAsia" w:ascii="仿宋" w:hAnsi="仿宋" w:eastAsia="仿宋" w:cs="仿宋"/>
          <w:sz w:val="32"/>
          <w:szCs w:val="32"/>
        </w:rPr>
        <w:t>台、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原料输送皮带机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8条、斗链式提升机6套、链条炉排热风炉1台</w:t>
      </w:r>
      <w:r>
        <w:rPr>
          <w:rFonts w:hint="eastAsia" w:ascii="仿宋" w:hAnsi="仿宋" w:eastAsia="仿宋" w:cs="仿宋"/>
          <w:sz w:val="32"/>
          <w:szCs w:val="32"/>
        </w:rPr>
        <w:t>等。</w:t>
      </w:r>
      <w:bookmarkStart w:id="18" w:name="OLE_LINK48"/>
      <w:bookmarkStart w:id="19" w:name="OLE_LINK36"/>
      <w:bookmarkStart w:id="20" w:name="OLE_LINK35"/>
      <w:r>
        <w:rPr>
          <w:rFonts w:hint="eastAsia" w:ascii="仿宋" w:hAnsi="仿宋" w:eastAsia="仿宋" w:cs="仿宋"/>
          <w:sz w:val="32"/>
          <w:szCs w:val="32"/>
        </w:rPr>
        <w:t>主要生产工艺</w:t>
      </w:r>
      <w:bookmarkEnd w:id="18"/>
      <w:r>
        <w:rPr>
          <w:rFonts w:hint="eastAsia" w:ascii="仿宋" w:hAnsi="仿宋" w:eastAsia="仿宋" w:cs="仿宋"/>
          <w:sz w:val="32"/>
          <w:szCs w:val="32"/>
        </w:rPr>
        <w:t>包括</w:t>
      </w:r>
      <w:bookmarkEnd w:id="19"/>
      <w:bookmarkEnd w:id="20"/>
      <w:r>
        <w:rPr>
          <w:rFonts w:hint="eastAsia" w:ascii="仿宋" w:hAnsi="仿宋" w:eastAsia="仿宋" w:cs="仿宋"/>
          <w:sz w:val="32"/>
          <w:szCs w:val="32"/>
          <w:lang w:eastAsia="zh-CN"/>
        </w:rPr>
        <w:t>：配料、混料破碎、转鼓造粒、烘干、冷却、圆筒筛分、包膜抛光、计量</w:t>
      </w:r>
      <w:r>
        <w:rPr>
          <w:rFonts w:hint="eastAsia" w:ascii="仿宋" w:hAnsi="仿宋" w:eastAsia="仿宋" w:cs="仿宋"/>
          <w:sz w:val="32"/>
          <w:szCs w:val="32"/>
        </w:rPr>
        <w:t>包装等</w:t>
      </w:r>
      <w:bookmarkStart w:id="21" w:name="OLE_LINK7"/>
      <w:bookmarkStart w:id="22" w:name="OLE_LINK6"/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(2)一期10万t/a团粒法复混肥老生产线热风炉燃料升级，燃料由无烟煤(1000t/a)改为生物质颗粒(1820t/a); 老线产品及生产规模、原辅料消耗、生产工艺与设备、环保设施等均无变化，仅限于单纯的热风炉燃料升级。</w:t>
      </w:r>
    </w:p>
    <w:p w14:paraId="04E8553C">
      <w:pPr>
        <w:spacing w:line="480" w:lineRule="exact"/>
        <w:ind w:firstLine="640" w:firstLineChars="200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该项目符合国家相关产业政策，根据环评结论及专家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审查</w:t>
      </w:r>
      <w:r>
        <w:rPr>
          <w:rFonts w:hint="eastAsia" w:ascii="仿宋" w:hAnsi="仿宋" w:eastAsia="仿宋" w:cs="仿宋"/>
          <w:sz w:val="32"/>
          <w:szCs w:val="32"/>
        </w:rPr>
        <w:t>意见，经现场勘察，从环境保护的角度分析，</w:t>
      </w:r>
      <w:r>
        <w:rPr>
          <w:rFonts w:hint="default" w:ascii="仿宋" w:hAnsi="仿宋" w:eastAsia="仿宋" w:cs="仿宋"/>
          <w:sz w:val="32"/>
          <w:szCs w:val="32"/>
        </w:rPr>
        <w:t>同意该项目按报告</w:t>
      </w:r>
      <w:r>
        <w:rPr>
          <w:rFonts w:hint="eastAsia" w:ascii="仿宋" w:hAnsi="仿宋" w:eastAsia="仿宋" w:cs="仿宋"/>
          <w:sz w:val="32"/>
          <w:szCs w:val="32"/>
        </w:rPr>
        <w:t>表</w:t>
      </w:r>
      <w:r>
        <w:rPr>
          <w:rFonts w:hint="default" w:ascii="仿宋" w:hAnsi="仿宋" w:eastAsia="仿宋" w:cs="仿宋"/>
          <w:sz w:val="32"/>
          <w:szCs w:val="32"/>
        </w:rPr>
        <w:t>中所列内容进行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改建</w:t>
      </w:r>
      <w:r>
        <w:rPr>
          <w:rFonts w:hint="default" w:ascii="仿宋" w:hAnsi="仿宋" w:eastAsia="仿宋" w:cs="仿宋"/>
          <w:sz w:val="32"/>
          <w:szCs w:val="32"/>
        </w:rPr>
        <w:t>。</w:t>
      </w:r>
    </w:p>
    <w:bookmarkEnd w:id="21"/>
    <w:bookmarkEnd w:id="22"/>
    <w:p w14:paraId="0A0BABE0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二、项目在营运期间，建设单位必须认真落实环评报告表中提出的各项环保要求，落实环保“三同时”措施，确保各项污染物稳定达标排放，并须着重做好以下工作：</w:t>
      </w:r>
    </w:p>
    <w:p w14:paraId="39127CD9">
      <w:pPr>
        <w:spacing w:line="48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1、废气污染防治工作。严格落实报告表中提出的各项废气污染防治措施，确保大气污染物排放满足国家和地方相关标准。加强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工艺</w:t>
      </w:r>
      <w:r>
        <w:rPr>
          <w:rFonts w:hint="eastAsia" w:ascii="仿宋" w:hAnsi="仿宋" w:eastAsia="仿宋" w:cs="仿宋"/>
          <w:sz w:val="32"/>
          <w:szCs w:val="32"/>
        </w:rPr>
        <w:t>废气收集和处理，做好生产和储存场所密闭措施，严格控制废气无组织排放。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新线造粒尾气、烘干废气经“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风除尘+重力沉降+旋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流板塔洗涤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除雾”处理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后，</w:t>
      </w:r>
      <w:r>
        <w:rPr>
          <w:rFonts w:hint="eastAsia" w:ascii="仿宋" w:hAnsi="仿宋" w:eastAsia="仿宋" w:cs="仿宋"/>
          <w:sz w:val="32"/>
          <w:szCs w:val="32"/>
        </w:rPr>
        <w:t>通过15米高排气筒（DA005）高空排放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，颗粒物、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SO</w:t>
      </w:r>
      <w:r>
        <w:rPr>
          <w:rFonts w:hint="default" w:ascii="仿宋" w:hAnsi="仿宋" w:eastAsia="仿宋" w:cs="仿宋"/>
          <w:sz w:val="32"/>
          <w:szCs w:val="32"/>
          <w:vertAlign w:val="subscript"/>
          <w:lang w:val="zh-C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NOx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排放浓度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达到《湖南省工业炉窑大气污染物综合治理实施方案》湘环发〔202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〕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号中要求；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氨、硫化氢排放达到《恶臭污染物排放标准》（GB14554-93）表2中排放标准要求。新线冷却尾气经“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风除尘+重力沉降+旋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流板塔洗涤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除雾”处理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后，</w:t>
      </w:r>
      <w:r>
        <w:rPr>
          <w:rFonts w:hint="eastAsia" w:ascii="仿宋" w:hAnsi="仿宋" w:eastAsia="仿宋" w:cs="仿宋"/>
          <w:sz w:val="32"/>
          <w:szCs w:val="32"/>
        </w:rPr>
        <w:t>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15m</w:t>
      </w:r>
      <w:r>
        <w:rPr>
          <w:rFonts w:hint="eastAsia" w:ascii="仿宋" w:hAnsi="仿宋" w:eastAsia="仿宋" w:cs="仿宋"/>
          <w:sz w:val="32"/>
          <w:szCs w:val="32"/>
        </w:rPr>
        <w:t>高排气筒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（DA006）</w:t>
      </w:r>
      <w:r>
        <w:rPr>
          <w:rFonts w:hint="eastAsia" w:ascii="仿宋" w:hAnsi="仿宋" w:eastAsia="仿宋" w:cs="仿宋"/>
          <w:sz w:val="32"/>
          <w:szCs w:val="32"/>
        </w:rPr>
        <w:t>高空排放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，颗粒物排放浓度达到《大气污染物综合排放标准》GB16297-1996表2中二级排放标准要求。老线热风炉燃料升级后，烘干尾气经现有处理设施“旋风+重力沉降+旋流板塔洗涤+除雾”处理后，由现有35m高排气筒(DA001)</w:t>
      </w:r>
      <w:r>
        <w:rPr>
          <w:rFonts w:hint="eastAsia" w:ascii="仿宋" w:hAnsi="仿宋" w:eastAsia="仿宋" w:cs="仿宋"/>
          <w:sz w:val="32"/>
          <w:szCs w:val="32"/>
        </w:rPr>
        <w:t>高空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排放，颗粒物、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SO</w:t>
      </w:r>
      <w:r>
        <w:rPr>
          <w:rFonts w:hint="default" w:ascii="仿宋" w:hAnsi="仿宋" w:eastAsia="仿宋" w:cs="仿宋"/>
          <w:sz w:val="32"/>
          <w:szCs w:val="32"/>
          <w:vertAlign w:val="subscript"/>
          <w:lang w:val="zh-C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NOx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排放确保达到《湖南省工业炉窑大气污染物综合治理实施方案》湘环发〔202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〕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号中要求；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氨、硫化氢达到《恶臭污染物排放标准》（GB14554-93）表2中排放要求。生物质锅炉烟气经“多管除尘+高温布袋除尘”设施处理后，由现有35m高排气筒(DA001)</w:t>
      </w:r>
      <w:r>
        <w:rPr>
          <w:rFonts w:hint="eastAsia" w:ascii="仿宋" w:hAnsi="仿宋" w:eastAsia="仿宋" w:cs="仿宋"/>
          <w:sz w:val="32"/>
          <w:szCs w:val="32"/>
        </w:rPr>
        <w:t>高空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排放，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颗粒物、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SO</w:t>
      </w:r>
      <w:r>
        <w:rPr>
          <w:rFonts w:hint="default" w:ascii="仿宋" w:hAnsi="仿宋" w:eastAsia="仿宋" w:cs="仿宋"/>
          <w:sz w:val="32"/>
          <w:szCs w:val="32"/>
          <w:vertAlign w:val="subscript"/>
          <w:lang w:val="zh-C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、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NOx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排放浓度达到《锅炉大气污染物排放标准》（</w:t>
      </w:r>
      <w:r>
        <w:rPr>
          <w:rFonts w:hint="default" w:ascii="仿宋" w:hAnsi="仿宋" w:eastAsia="仿宋" w:cs="仿宋"/>
          <w:sz w:val="32"/>
          <w:szCs w:val="32"/>
          <w:lang w:val="zh-CN" w:eastAsia="zh-CN"/>
        </w:rPr>
        <w:t>GB13271-2014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表3大气污染物特别排放限值中的燃煤锅炉排放浓度限值。</w:t>
      </w:r>
      <w:r>
        <w:rPr>
          <w:rFonts w:hint="eastAsia" w:ascii="仿宋" w:hAnsi="仿宋" w:eastAsia="仿宋" w:cs="仿宋"/>
          <w:sz w:val="32"/>
          <w:szCs w:val="32"/>
        </w:rPr>
        <w:t>厂界无组织颗粒物达到《大气污染物综合排放标准》（GB16297-1996）表2中无组织排放监控浓度限值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氨、硫化氢、臭气浓度满足《恶臭污染物排放标准》（GB14554-93）表1中二级(新扩改建)限值要求。</w:t>
      </w:r>
      <w:r>
        <w:rPr>
          <w:rFonts w:hint="eastAsia" w:ascii="仿宋" w:hAnsi="仿宋" w:eastAsia="仿宋" w:cs="仿宋"/>
          <w:sz w:val="32"/>
          <w:szCs w:val="32"/>
        </w:rPr>
        <w:t>项目须按照相关规定要求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安装</w:t>
      </w:r>
      <w:r>
        <w:rPr>
          <w:rFonts w:hint="eastAsia" w:ascii="仿宋" w:hAnsi="仿宋" w:eastAsia="仿宋" w:cs="仿宋"/>
          <w:sz w:val="32"/>
          <w:szCs w:val="32"/>
        </w:rPr>
        <w:t>自动监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测装置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1BFDE02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、废水污染防治工作。按照“雨污分流”的原则建设厂区排水管网。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厂区设置雨水收集池、沉淀池。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所有生产性废水均不外排，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物料调湿、除尘废水、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锅炉锅炉软水制备设施弃水等废水循环使用；生活污水经化粪池处理后回用于现有粉状有机肥生产线堆肥工序。</w:t>
      </w:r>
    </w:p>
    <w:p w14:paraId="56380542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、噪声污染防治工作。优化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厂区</w:t>
      </w:r>
      <w:r>
        <w:rPr>
          <w:rFonts w:hint="eastAsia" w:ascii="仿宋" w:hAnsi="仿宋" w:eastAsia="仿宋" w:cs="仿宋"/>
          <w:sz w:val="32"/>
          <w:szCs w:val="32"/>
        </w:rPr>
        <w:t>设备布局，选用低噪声设备，</w:t>
      </w:r>
      <w:bookmarkStart w:id="23" w:name="OLE_LINK2"/>
      <w:bookmarkStart w:id="24" w:name="OLE_LINK1"/>
      <w:bookmarkStart w:id="25" w:name="OLE_LINK3"/>
      <w:r>
        <w:rPr>
          <w:rFonts w:hint="eastAsia" w:ascii="仿宋" w:hAnsi="仿宋" w:eastAsia="仿宋" w:cs="仿宋"/>
          <w:sz w:val="32"/>
          <w:szCs w:val="32"/>
        </w:rPr>
        <w:t>并采取隔音、降噪和减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振</w:t>
      </w:r>
      <w:r>
        <w:rPr>
          <w:rFonts w:hint="eastAsia" w:ascii="仿宋" w:hAnsi="仿宋" w:eastAsia="仿宋" w:cs="仿宋"/>
          <w:sz w:val="32"/>
          <w:szCs w:val="32"/>
        </w:rPr>
        <w:t>等措施，确保厂界噪声达到《工业企业厂界环境噪声排放标准》（GB12348-2008）中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类标准要求。</w:t>
      </w:r>
    </w:p>
    <w:bookmarkEnd w:id="23"/>
    <w:bookmarkEnd w:id="24"/>
    <w:bookmarkEnd w:id="25"/>
    <w:p w14:paraId="0BEB4F1C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、固体废物污染防治工作。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除尘灰、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灰渣、废水沉淀池沉渣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收集后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回用于生产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；废包装袋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等一般固废分类收集后，</w:t>
      </w:r>
      <w:r>
        <w:rPr>
          <w:rFonts w:hint="eastAsia" w:ascii="仿宋" w:hAnsi="仿宋" w:eastAsia="仿宋" w:cs="仿宋"/>
          <w:sz w:val="32"/>
          <w:szCs w:val="32"/>
        </w:rPr>
        <w:t>外售回收单位进行综合利用；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废润滑油、废矿物油桶等危险废物，</w:t>
      </w:r>
      <w:r>
        <w:rPr>
          <w:rFonts w:hint="eastAsia" w:ascii="仿宋" w:hAnsi="仿宋" w:eastAsia="仿宋" w:cs="仿宋"/>
          <w:sz w:val="32"/>
          <w:szCs w:val="32"/>
        </w:rPr>
        <w:t>须按照《危险废物贮存污染控制标准》（GB18597-2023）要求进行收集贮存后，交由资质单位进行处理并报县分局备案，危废暂存间须按要求设置并建立相关台账，规范设立标识标牌等;生活垃圾分类收集后，定期交由当地环卫部门妥善处理。</w:t>
      </w:r>
    </w:p>
    <w:p w14:paraId="662C83DA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5</w:t>
      </w:r>
      <w:r>
        <w:rPr>
          <w:rFonts w:hint="eastAsia" w:ascii="仿宋" w:hAnsi="仿宋" w:eastAsia="仿宋" w:cs="仿宋"/>
          <w:sz w:val="32"/>
          <w:szCs w:val="32"/>
        </w:rPr>
        <w:t>、</w:t>
      </w:r>
      <w:bookmarkStart w:id="26" w:name="OLE_LINK40"/>
      <w:bookmarkStart w:id="27" w:name="OLE_LINK41"/>
      <w:r>
        <w:rPr>
          <w:rFonts w:hint="eastAsia" w:ascii="仿宋" w:hAnsi="仿宋" w:eastAsia="仿宋" w:cs="仿宋"/>
          <w:sz w:val="32"/>
          <w:szCs w:val="32"/>
        </w:rPr>
        <w:t>环境风险防范工作。</w:t>
      </w:r>
      <w:bookmarkEnd w:id="26"/>
      <w:bookmarkEnd w:id="27"/>
      <w:bookmarkStart w:id="28" w:name="OLE_LINK5"/>
      <w:bookmarkStart w:id="29" w:name="OLE_LINK4"/>
      <w:r>
        <w:rPr>
          <w:rFonts w:hint="eastAsia" w:ascii="仿宋" w:hAnsi="仿宋" w:eastAsia="仿宋" w:cs="仿宋"/>
          <w:sz w:val="32"/>
          <w:szCs w:val="32"/>
        </w:rPr>
        <w:t>严格履行建设单位环保主体责任，加强生产和环保管理，安排环保专员负责环保设施运转维护。制定突发环境事件应急预案和定期监测制度，杜绝环境污染事故的发生。</w:t>
      </w:r>
    </w:p>
    <w:p w14:paraId="78CC6D97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三、根据湘潭市生态环境局总量部门核定，项目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改扩</w:t>
      </w:r>
      <w:r>
        <w:rPr>
          <w:rFonts w:hint="eastAsia" w:ascii="仿宋" w:hAnsi="仿宋" w:eastAsia="仿宋" w:cs="仿宋"/>
          <w:sz w:val="32"/>
          <w:szCs w:val="32"/>
        </w:rPr>
        <w:t>建后，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全厂</w:t>
      </w:r>
      <w:r>
        <w:rPr>
          <w:rFonts w:hint="eastAsia" w:ascii="仿宋" w:hAnsi="仿宋" w:eastAsia="仿宋" w:cs="仿宋"/>
          <w:sz w:val="32"/>
          <w:szCs w:val="32"/>
        </w:rPr>
        <w:t>主要污染物总量排放指标为：SO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4.1</w:t>
      </w:r>
      <w:r>
        <w:rPr>
          <w:rFonts w:hint="eastAsia" w:ascii="仿宋" w:hAnsi="仿宋" w:eastAsia="仿宋" w:cs="仿宋"/>
          <w:sz w:val="32"/>
          <w:szCs w:val="32"/>
        </w:rPr>
        <w:t>t/a、NO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X</w:t>
      </w:r>
      <w:r>
        <w:rPr>
          <w:rFonts w:hint="eastAsia" w:ascii="仿宋" w:hAnsi="仿宋" w:eastAsia="仿宋" w:cs="仿宋"/>
          <w:sz w:val="32"/>
          <w:szCs w:val="32"/>
        </w:rPr>
        <w:t>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12.2</w:t>
      </w:r>
      <w:r>
        <w:rPr>
          <w:rFonts w:hint="eastAsia" w:ascii="仿宋" w:hAnsi="仿宋" w:eastAsia="仿宋" w:cs="仿宋"/>
          <w:sz w:val="32"/>
          <w:szCs w:val="32"/>
        </w:rPr>
        <w:t>t/a。</w:t>
      </w:r>
    </w:p>
    <w:bookmarkEnd w:id="28"/>
    <w:bookmarkEnd w:id="29"/>
    <w:p w14:paraId="4F3776AF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项目启动生产设施或实际排污之前，须取得排污许可手续，并按照规定依法开展竣工环境保护验收工作。</w:t>
      </w:r>
    </w:p>
    <w:p w14:paraId="4567CFDB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项目建设的性质、规模、地点、采用的生产工艺或者防治污染、防止生态破坏的措施发生重大变动的，建设单位应当重新报批建设项目环境影响评价文件。建设项目的环境影响评价文件自批准之日起超过5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Fonts w:hint="eastAsia" w:ascii="仿宋" w:hAnsi="仿宋" w:eastAsia="仿宋" w:cs="仿宋"/>
          <w:sz w:val="32"/>
          <w:szCs w:val="32"/>
        </w:rPr>
        <w:t>才开工建设的，其环境影响评价文件应当报原审批部门重新审核。</w:t>
      </w:r>
    </w:p>
    <w:p w14:paraId="5538B31B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0EF0471B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0AAE58DD">
      <w:pPr>
        <w:pStyle w:val="2"/>
        <w:rPr>
          <w:rFonts w:hint="eastAsia"/>
        </w:rPr>
      </w:pPr>
    </w:p>
    <w:p w14:paraId="091D6FD1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1049E4FF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6E516574">
      <w:pPr>
        <w:spacing w:line="480" w:lineRule="exact"/>
        <w:ind w:firstLine="5440" w:firstLineChars="17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（盖 章）</w:t>
      </w:r>
    </w:p>
    <w:p w14:paraId="664ACBC9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2026年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644" w:right="1474" w:bottom="1474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0552C6">
    <w:pPr>
      <w:pStyle w:val="21"/>
      <w:tabs>
        <w:tab w:val="clear" w:pos="4153"/>
        <w:tab w:val="clear" w:pos="8306"/>
      </w:tabs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D7EBE">
    <w:pPr>
      <w:pStyle w:val="21"/>
      <w:framePr w:wrap="around" w:vAnchor="text" w:hAnchor="margin" w:xAlign="center" w:y="1"/>
      <w:tabs>
        <w:tab w:val="clear" w:pos="4153"/>
        <w:tab w:val="clear" w:pos="8306"/>
      </w:tabs>
    </w:pPr>
    <w:r>
      <w:fldChar w:fldCharType="begin"/>
    </w:r>
    <w:r>
      <w:rPr>
        <w:rStyle w:val="29"/>
      </w:rPr>
      <w:instrText xml:space="preserve">PAGE  </w:instrText>
    </w:r>
    <w:r>
      <w:fldChar w:fldCharType="end"/>
    </w:r>
  </w:p>
  <w:p w14:paraId="2DA84F58">
    <w:pPr>
      <w:pStyle w:val="21"/>
      <w:tabs>
        <w:tab w:val="clear" w:pos="4153"/>
        <w:tab w:val="clear" w:pos="8306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41FE3E">
    <w:pPr>
      <w:pStyle w:val="21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3FA13">
    <w:pPr>
      <w:pStyle w:val="23"/>
      <w:pBdr>
        <w:bottom w:val="none" w:color="auto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wMmVhNjhiMjkzZjZlODFiOWI3MGVmZjljZTg5NjEifQ=="/>
  </w:docVars>
  <w:rsids>
    <w:rsidRoot w:val="00172A27"/>
    <w:rsid w:val="00000031"/>
    <w:rsid w:val="000126F3"/>
    <w:rsid w:val="0002123C"/>
    <w:rsid w:val="00022388"/>
    <w:rsid w:val="000363AE"/>
    <w:rsid w:val="00041E32"/>
    <w:rsid w:val="00042445"/>
    <w:rsid w:val="000466E7"/>
    <w:rsid w:val="00051952"/>
    <w:rsid w:val="00051AD5"/>
    <w:rsid w:val="0006234B"/>
    <w:rsid w:val="00062B5D"/>
    <w:rsid w:val="00070CC6"/>
    <w:rsid w:val="00075BF7"/>
    <w:rsid w:val="00075F19"/>
    <w:rsid w:val="00077AFE"/>
    <w:rsid w:val="000809E7"/>
    <w:rsid w:val="00080F84"/>
    <w:rsid w:val="0008102C"/>
    <w:rsid w:val="00081E45"/>
    <w:rsid w:val="000A0F7A"/>
    <w:rsid w:val="000C6ABA"/>
    <w:rsid w:val="000E23FF"/>
    <w:rsid w:val="000F0103"/>
    <w:rsid w:val="000F33DA"/>
    <w:rsid w:val="000F373C"/>
    <w:rsid w:val="000F648C"/>
    <w:rsid w:val="000F72FA"/>
    <w:rsid w:val="00107ECE"/>
    <w:rsid w:val="00123C4C"/>
    <w:rsid w:val="0013424C"/>
    <w:rsid w:val="00140957"/>
    <w:rsid w:val="00152429"/>
    <w:rsid w:val="00161C8D"/>
    <w:rsid w:val="001648FF"/>
    <w:rsid w:val="001668D5"/>
    <w:rsid w:val="001708EC"/>
    <w:rsid w:val="00172A27"/>
    <w:rsid w:val="00173C74"/>
    <w:rsid w:val="00184A82"/>
    <w:rsid w:val="00195BBF"/>
    <w:rsid w:val="001A132B"/>
    <w:rsid w:val="001C77CD"/>
    <w:rsid w:val="001D0C7B"/>
    <w:rsid w:val="001F6EF7"/>
    <w:rsid w:val="00202EA9"/>
    <w:rsid w:val="00214948"/>
    <w:rsid w:val="0021543E"/>
    <w:rsid w:val="00226E99"/>
    <w:rsid w:val="0023679F"/>
    <w:rsid w:val="00237AD9"/>
    <w:rsid w:val="00237F99"/>
    <w:rsid w:val="00245D33"/>
    <w:rsid w:val="00250B97"/>
    <w:rsid w:val="00254A2C"/>
    <w:rsid w:val="0026300B"/>
    <w:rsid w:val="00265B6A"/>
    <w:rsid w:val="002766C3"/>
    <w:rsid w:val="00282D54"/>
    <w:rsid w:val="002876F2"/>
    <w:rsid w:val="002958A0"/>
    <w:rsid w:val="002A14FD"/>
    <w:rsid w:val="002A3A02"/>
    <w:rsid w:val="002C1515"/>
    <w:rsid w:val="002D43F1"/>
    <w:rsid w:val="002E4393"/>
    <w:rsid w:val="002E5621"/>
    <w:rsid w:val="002F3CEA"/>
    <w:rsid w:val="00303D67"/>
    <w:rsid w:val="003070E5"/>
    <w:rsid w:val="00307D60"/>
    <w:rsid w:val="00311238"/>
    <w:rsid w:val="003137F8"/>
    <w:rsid w:val="003236F2"/>
    <w:rsid w:val="00325D16"/>
    <w:rsid w:val="003376B3"/>
    <w:rsid w:val="0035761E"/>
    <w:rsid w:val="003A194B"/>
    <w:rsid w:val="003A4475"/>
    <w:rsid w:val="003A476B"/>
    <w:rsid w:val="003A50CA"/>
    <w:rsid w:val="003A5639"/>
    <w:rsid w:val="003B2057"/>
    <w:rsid w:val="003C00BE"/>
    <w:rsid w:val="003C3C75"/>
    <w:rsid w:val="003C7288"/>
    <w:rsid w:val="003E022D"/>
    <w:rsid w:val="003E0C2E"/>
    <w:rsid w:val="003E34C1"/>
    <w:rsid w:val="003F0CF6"/>
    <w:rsid w:val="00402F79"/>
    <w:rsid w:val="00414810"/>
    <w:rsid w:val="0041595F"/>
    <w:rsid w:val="00417581"/>
    <w:rsid w:val="004333CA"/>
    <w:rsid w:val="004363C5"/>
    <w:rsid w:val="0044522C"/>
    <w:rsid w:val="004564D3"/>
    <w:rsid w:val="00464D02"/>
    <w:rsid w:val="0048295A"/>
    <w:rsid w:val="00495892"/>
    <w:rsid w:val="00495967"/>
    <w:rsid w:val="004A4279"/>
    <w:rsid w:val="004B1E5C"/>
    <w:rsid w:val="004B3C6A"/>
    <w:rsid w:val="004B7883"/>
    <w:rsid w:val="004B7D7A"/>
    <w:rsid w:val="004D0187"/>
    <w:rsid w:val="0050173E"/>
    <w:rsid w:val="005069F1"/>
    <w:rsid w:val="00514D1D"/>
    <w:rsid w:val="00517CF8"/>
    <w:rsid w:val="00520A98"/>
    <w:rsid w:val="00546369"/>
    <w:rsid w:val="00550282"/>
    <w:rsid w:val="005538C4"/>
    <w:rsid w:val="005606F2"/>
    <w:rsid w:val="0058646A"/>
    <w:rsid w:val="005906D6"/>
    <w:rsid w:val="005923D4"/>
    <w:rsid w:val="005C1390"/>
    <w:rsid w:val="005C5E7E"/>
    <w:rsid w:val="005D775F"/>
    <w:rsid w:val="006011DF"/>
    <w:rsid w:val="006101F5"/>
    <w:rsid w:val="00624824"/>
    <w:rsid w:val="006375C5"/>
    <w:rsid w:val="0064117E"/>
    <w:rsid w:val="0065451A"/>
    <w:rsid w:val="00660970"/>
    <w:rsid w:val="00672BF6"/>
    <w:rsid w:val="0069053D"/>
    <w:rsid w:val="006A2E5C"/>
    <w:rsid w:val="006B0523"/>
    <w:rsid w:val="006B50DA"/>
    <w:rsid w:val="006C503A"/>
    <w:rsid w:val="006F4326"/>
    <w:rsid w:val="006F7177"/>
    <w:rsid w:val="00700983"/>
    <w:rsid w:val="00706C93"/>
    <w:rsid w:val="007133D1"/>
    <w:rsid w:val="007503AC"/>
    <w:rsid w:val="007530AB"/>
    <w:rsid w:val="00754895"/>
    <w:rsid w:val="00760DAF"/>
    <w:rsid w:val="00784FB5"/>
    <w:rsid w:val="007875DF"/>
    <w:rsid w:val="00790787"/>
    <w:rsid w:val="007A071D"/>
    <w:rsid w:val="007A2679"/>
    <w:rsid w:val="007A2E5F"/>
    <w:rsid w:val="007A3F89"/>
    <w:rsid w:val="007B05B0"/>
    <w:rsid w:val="007B1A68"/>
    <w:rsid w:val="007C5D09"/>
    <w:rsid w:val="007C63DC"/>
    <w:rsid w:val="007D2620"/>
    <w:rsid w:val="007F2F1B"/>
    <w:rsid w:val="007F309F"/>
    <w:rsid w:val="007F6F49"/>
    <w:rsid w:val="00812F9B"/>
    <w:rsid w:val="008212F2"/>
    <w:rsid w:val="00836E59"/>
    <w:rsid w:val="008378AE"/>
    <w:rsid w:val="008450D2"/>
    <w:rsid w:val="00862B9A"/>
    <w:rsid w:val="00862E76"/>
    <w:rsid w:val="008673C9"/>
    <w:rsid w:val="00881C57"/>
    <w:rsid w:val="008A6344"/>
    <w:rsid w:val="008A7152"/>
    <w:rsid w:val="008B19A2"/>
    <w:rsid w:val="008B4E1A"/>
    <w:rsid w:val="008B776C"/>
    <w:rsid w:val="008C424E"/>
    <w:rsid w:val="008D3C4F"/>
    <w:rsid w:val="008D4DBC"/>
    <w:rsid w:val="008D70AB"/>
    <w:rsid w:val="008E6483"/>
    <w:rsid w:val="008E76B3"/>
    <w:rsid w:val="009012E2"/>
    <w:rsid w:val="00906663"/>
    <w:rsid w:val="00915376"/>
    <w:rsid w:val="009153F0"/>
    <w:rsid w:val="009170B7"/>
    <w:rsid w:val="0091767B"/>
    <w:rsid w:val="00923628"/>
    <w:rsid w:val="0092710D"/>
    <w:rsid w:val="00930D99"/>
    <w:rsid w:val="0093153E"/>
    <w:rsid w:val="0093750A"/>
    <w:rsid w:val="00941A96"/>
    <w:rsid w:val="00946EC9"/>
    <w:rsid w:val="00950561"/>
    <w:rsid w:val="009663B3"/>
    <w:rsid w:val="009712EA"/>
    <w:rsid w:val="00975726"/>
    <w:rsid w:val="0099426F"/>
    <w:rsid w:val="00996E5E"/>
    <w:rsid w:val="009A4633"/>
    <w:rsid w:val="009B0A53"/>
    <w:rsid w:val="009C220E"/>
    <w:rsid w:val="009C239E"/>
    <w:rsid w:val="00A000A5"/>
    <w:rsid w:val="00A041E1"/>
    <w:rsid w:val="00A06489"/>
    <w:rsid w:val="00A15BB4"/>
    <w:rsid w:val="00A21889"/>
    <w:rsid w:val="00A23015"/>
    <w:rsid w:val="00A3698C"/>
    <w:rsid w:val="00A44AE3"/>
    <w:rsid w:val="00A469AA"/>
    <w:rsid w:val="00A520B0"/>
    <w:rsid w:val="00A55267"/>
    <w:rsid w:val="00A5576E"/>
    <w:rsid w:val="00A677A1"/>
    <w:rsid w:val="00A72E57"/>
    <w:rsid w:val="00A7704B"/>
    <w:rsid w:val="00A80CE5"/>
    <w:rsid w:val="00A90A23"/>
    <w:rsid w:val="00A94013"/>
    <w:rsid w:val="00AD1993"/>
    <w:rsid w:val="00AD42A7"/>
    <w:rsid w:val="00AE1116"/>
    <w:rsid w:val="00AE292C"/>
    <w:rsid w:val="00AE3BF9"/>
    <w:rsid w:val="00AF24AE"/>
    <w:rsid w:val="00AF5896"/>
    <w:rsid w:val="00B10CFF"/>
    <w:rsid w:val="00B14223"/>
    <w:rsid w:val="00B209B1"/>
    <w:rsid w:val="00B24A20"/>
    <w:rsid w:val="00B34D33"/>
    <w:rsid w:val="00B359DB"/>
    <w:rsid w:val="00B447A6"/>
    <w:rsid w:val="00B52A50"/>
    <w:rsid w:val="00B64D0C"/>
    <w:rsid w:val="00B82EF0"/>
    <w:rsid w:val="00B94A02"/>
    <w:rsid w:val="00BA1C6F"/>
    <w:rsid w:val="00BC4FD3"/>
    <w:rsid w:val="00BD5DC3"/>
    <w:rsid w:val="00BD6CE5"/>
    <w:rsid w:val="00BE5758"/>
    <w:rsid w:val="00BF0A1B"/>
    <w:rsid w:val="00BF5DA5"/>
    <w:rsid w:val="00C107B0"/>
    <w:rsid w:val="00C12B57"/>
    <w:rsid w:val="00C14850"/>
    <w:rsid w:val="00C14968"/>
    <w:rsid w:val="00C22B12"/>
    <w:rsid w:val="00C238A1"/>
    <w:rsid w:val="00C3094F"/>
    <w:rsid w:val="00C315CD"/>
    <w:rsid w:val="00C377FF"/>
    <w:rsid w:val="00C43A77"/>
    <w:rsid w:val="00C43F74"/>
    <w:rsid w:val="00C633D1"/>
    <w:rsid w:val="00C679C5"/>
    <w:rsid w:val="00C82F80"/>
    <w:rsid w:val="00C9061C"/>
    <w:rsid w:val="00CB4DFD"/>
    <w:rsid w:val="00CB7F98"/>
    <w:rsid w:val="00CC7151"/>
    <w:rsid w:val="00CD627A"/>
    <w:rsid w:val="00CD65AB"/>
    <w:rsid w:val="00CE2484"/>
    <w:rsid w:val="00CE3FF0"/>
    <w:rsid w:val="00CF3516"/>
    <w:rsid w:val="00CF3D99"/>
    <w:rsid w:val="00CF48D9"/>
    <w:rsid w:val="00D02730"/>
    <w:rsid w:val="00D1729B"/>
    <w:rsid w:val="00D4073A"/>
    <w:rsid w:val="00D41C8B"/>
    <w:rsid w:val="00D46900"/>
    <w:rsid w:val="00D56187"/>
    <w:rsid w:val="00D761E9"/>
    <w:rsid w:val="00D82F6B"/>
    <w:rsid w:val="00DC02C1"/>
    <w:rsid w:val="00DD28B6"/>
    <w:rsid w:val="00DD59D5"/>
    <w:rsid w:val="00DD5DEA"/>
    <w:rsid w:val="00DE16CF"/>
    <w:rsid w:val="00DE4912"/>
    <w:rsid w:val="00DF03D9"/>
    <w:rsid w:val="00E41B9C"/>
    <w:rsid w:val="00E51370"/>
    <w:rsid w:val="00E56554"/>
    <w:rsid w:val="00E574F2"/>
    <w:rsid w:val="00E62223"/>
    <w:rsid w:val="00E63263"/>
    <w:rsid w:val="00E669EB"/>
    <w:rsid w:val="00E72722"/>
    <w:rsid w:val="00E831E1"/>
    <w:rsid w:val="00EA5A7F"/>
    <w:rsid w:val="00EA79F4"/>
    <w:rsid w:val="00EB41A5"/>
    <w:rsid w:val="00EB5973"/>
    <w:rsid w:val="00EC01ED"/>
    <w:rsid w:val="00ED3CBE"/>
    <w:rsid w:val="00EE2435"/>
    <w:rsid w:val="00EF55C1"/>
    <w:rsid w:val="00EF57A9"/>
    <w:rsid w:val="00EF5EA8"/>
    <w:rsid w:val="00F13D85"/>
    <w:rsid w:val="00F2117D"/>
    <w:rsid w:val="00F21E00"/>
    <w:rsid w:val="00F243BE"/>
    <w:rsid w:val="00F3177F"/>
    <w:rsid w:val="00F321F3"/>
    <w:rsid w:val="00F55A2C"/>
    <w:rsid w:val="00F64BBC"/>
    <w:rsid w:val="00F709A3"/>
    <w:rsid w:val="00F80E72"/>
    <w:rsid w:val="00F84516"/>
    <w:rsid w:val="00FA0A47"/>
    <w:rsid w:val="00FA1F4B"/>
    <w:rsid w:val="00FA5A16"/>
    <w:rsid w:val="00FB1AE2"/>
    <w:rsid w:val="00FB632E"/>
    <w:rsid w:val="00FC078E"/>
    <w:rsid w:val="00FD2E04"/>
    <w:rsid w:val="00FD3907"/>
    <w:rsid w:val="00FD41A1"/>
    <w:rsid w:val="00FE0595"/>
    <w:rsid w:val="00FE42C2"/>
    <w:rsid w:val="00FF1CF2"/>
    <w:rsid w:val="00FF3F54"/>
    <w:rsid w:val="01120ED3"/>
    <w:rsid w:val="02F019DF"/>
    <w:rsid w:val="04554EEF"/>
    <w:rsid w:val="0AC26C98"/>
    <w:rsid w:val="0ACB09F1"/>
    <w:rsid w:val="0AD14069"/>
    <w:rsid w:val="0EAD5C4D"/>
    <w:rsid w:val="12D965F6"/>
    <w:rsid w:val="13877103"/>
    <w:rsid w:val="13F24102"/>
    <w:rsid w:val="167A7865"/>
    <w:rsid w:val="17B44FF8"/>
    <w:rsid w:val="20D936F1"/>
    <w:rsid w:val="225D0766"/>
    <w:rsid w:val="23052FE5"/>
    <w:rsid w:val="23360FB7"/>
    <w:rsid w:val="234907C8"/>
    <w:rsid w:val="247942D8"/>
    <w:rsid w:val="26C650FD"/>
    <w:rsid w:val="2700223F"/>
    <w:rsid w:val="2C4D4725"/>
    <w:rsid w:val="2DA134D1"/>
    <w:rsid w:val="30097B6B"/>
    <w:rsid w:val="31605B7D"/>
    <w:rsid w:val="34260F9E"/>
    <w:rsid w:val="369E2CA4"/>
    <w:rsid w:val="3A7E6576"/>
    <w:rsid w:val="40A2010B"/>
    <w:rsid w:val="42BF4FFA"/>
    <w:rsid w:val="46381AFD"/>
    <w:rsid w:val="4C7A6CDF"/>
    <w:rsid w:val="4EA027D3"/>
    <w:rsid w:val="51257FDD"/>
    <w:rsid w:val="53C573A9"/>
    <w:rsid w:val="54E10F57"/>
    <w:rsid w:val="551E5791"/>
    <w:rsid w:val="55546EF7"/>
    <w:rsid w:val="559372B9"/>
    <w:rsid w:val="57BE68AA"/>
    <w:rsid w:val="59F86EE9"/>
    <w:rsid w:val="5BD561CB"/>
    <w:rsid w:val="605C3C09"/>
    <w:rsid w:val="609D24A5"/>
    <w:rsid w:val="613A5DE1"/>
    <w:rsid w:val="61B725A1"/>
    <w:rsid w:val="621041A6"/>
    <w:rsid w:val="665A1871"/>
    <w:rsid w:val="672F50CE"/>
    <w:rsid w:val="67726944"/>
    <w:rsid w:val="69296E29"/>
    <w:rsid w:val="6C3C5ECB"/>
    <w:rsid w:val="6D965EA7"/>
    <w:rsid w:val="6EBF31DC"/>
    <w:rsid w:val="70051865"/>
    <w:rsid w:val="709F7DD6"/>
    <w:rsid w:val="72EE6C9D"/>
    <w:rsid w:val="73183407"/>
    <w:rsid w:val="76EA7054"/>
    <w:rsid w:val="78D35D05"/>
    <w:rsid w:val="7B526CD1"/>
    <w:rsid w:val="7BE06FE6"/>
    <w:rsid w:val="7EC6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360" w:lineRule="auto"/>
      <w:ind w:left="0" w:leftChars="0" w:firstLine="0" w:firstLineChars="0"/>
    </w:pPr>
    <w:rPr>
      <w:rFonts w:ascii="Verdana" w:hAnsi="Verdana"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line="336" w:lineRule="auto"/>
      <w:ind w:firstLine="539"/>
    </w:pPr>
    <w:rPr>
      <w:spacing w:val="6"/>
    </w:rPr>
  </w:style>
  <w:style w:type="paragraph" w:customStyle="1" w:styleId="4">
    <w:name w:val="样式 正文文本缩进 + 行距: 1.5 倍行距"/>
    <w:basedOn w:val="5"/>
    <w:qFormat/>
    <w:uiPriority w:val="0"/>
    <w:pPr>
      <w:tabs>
        <w:tab w:val="left" w:pos="3600"/>
      </w:tabs>
      <w:spacing w:after="120" w:line="360" w:lineRule="auto"/>
      <w:ind w:left="90" w:leftChars="32" w:firstLine="560" w:firstLineChars="200"/>
    </w:pPr>
    <w:rPr>
      <w:rFonts w:cs="宋体"/>
    </w:rPr>
  </w:style>
  <w:style w:type="paragraph" w:customStyle="1" w:styleId="5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Times New Roman" w:hAnsi="Times New Roman" w:eastAsia="宋体"/>
      <w:sz w:val="24"/>
    </w:rPr>
  </w:style>
  <w:style w:type="paragraph" w:styleId="6">
    <w:name w:val="Normal Indent"/>
    <w:qFormat/>
    <w:uiPriority w:val="0"/>
    <w:pPr>
      <w:widowControl w:val="0"/>
      <w:spacing w:line="0" w:lineRule="atLeast"/>
      <w:ind w:firstLine="42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7">
    <w:name w:val="Body Text Indent 2"/>
    <w:basedOn w:val="1"/>
    <w:qFormat/>
    <w:uiPriority w:val="0"/>
    <w:pPr>
      <w:spacing w:line="560" w:lineRule="exact"/>
      <w:ind w:firstLine="482"/>
    </w:pPr>
    <w:rPr>
      <w:spacing w:val="-20"/>
      <w:sz w:val="28"/>
    </w:rPr>
  </w:style>
  <w:style w:type="paragraph" w:styleId="8">
    <w:name w:val="Balloon Text"/>
    <w:basedOn w:val="1"/>
    <w:link w:val="34"/>
    <w:qFormat/>
    <w:uiPriority w:val="0"/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2">
    <w:name w:val="正文文字"/>
    <w:basedOn w:val="13"/>
    <w:next w:val="1"/>
    <w:qFormat/>
    <w:uiPriority w:val="0"/>
    <w:pPr>
      <w:snapToGrid w:val="0"/>
      <w:spacing w:line="480" w:lineRule="exact"/>
      <w:ind w:firstLine="200" w:firstLineChars="200"/>
    </w:pPr>
    <w:rPr>
      <w:sz w:val="24"/>
      <w:szCs w:val="24"/>
    </w:rPr>
  </w:style>
  <w:style w:type="paragraph" w:customStyle="1" w:styleId="13">
    <w:name w:val="正文缩进1"/>
    <w:basedOn w:val="1"/>
    <w:qFormat/>
    <w:uiPriority w:val="0"/>
    <w:pPr>
      <w:spacing w:line="0" w:lineRule="atLeast"/>
      <w:ind w:firstLine="420"/>
    </w:pPr>
    <w:rPr>
      <w:szCs w:val="20"/>
    </w:rPr>
  </w:style>
  <w:style w:type="character" w:customStyle="1" w:styleId="14">
    <w:name w:val="默认段落字体1"/>
    <w:semiHidden/>
    <w:qFormat/>
    <w:uiPriority w:val="0"/>
  </w:style>
  <w:style w:type="table" w:customStyle="1" w:styleId="15">
    <w:name w:val="普通表格1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正文文本1"/>
    <w:qFormat/>
    <w:uiPriority w:val="0"/>
    <w:pPr>
      <w:widowControl w:val="0"/>
      <w:spacing w:line="460" w:lineRule="exact"/>
      <w:jc w:val="center"/>
    </w:pPr>
    <w:rPr>
      <w:rFonts w:ascii="宋体" w:hAnsi="Calibri" w:eastAsia="宋体" w:cs="Times New Roman"/>
      <w:spacing w:val="6"/>
      <w:kern w:val="2"/>
      <w:sz w:val="28"/>
      <w:lang w:val="en-US" w:eastAsia="zh-CN" w:bidi="ar-SA"/>
    </w:rPr>
  </w:style>
  <w:style w:type="paragraph" w:customStyle="1" w:styleId="17">
    <w:name w:val="xl27"/>
    <w:qFormat/>
    <w:uiPriority w:val="0"/>
    <w:pPr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Arial Unicode MS" w:cs="Times New Roman"/>
      <w:sz w:val="21"/>
      <w:szCs w:val="21"/>
      <w:lang w:val="en-US" w:eastAsia="zh-CN" w:bidi="ar-SA"/>
    </w:rPr>
  </w:style>
  <w:style w:type="paragraph" w:customStyle="1" w:styleId="18">
    <w:name w:val="正文文本缩进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批注框文本1"/>
    <w:basedOn w:val="1"/>
    <w:link w:val="20"/>
    <w:qFormat/>
    <w:uiPriority w:val="0"/>
    <w:rPr>
      <w:sz w:val="18"/>
      <w:szCs w:val="18"/>
    </w:rPr>
  </w:style>
  <w:style w:type="character" w:customStyle="1" w:styleId="20">
    <w:name w:val="批注框文本 Char"/>
    <w:link w:val="19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21">
    <w:name w:val="页脚1"/>
    <w:link w:val="22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22">
    <w:name w:val="页脚 Char"/>
    <w:link w:val="21"/>
    <w:qFormat/>
    <w:uiPriority w:val="0"/>
    <w:rPr>
      <w:rFonts w:ascii="Calibri" w:hAnsi="Calibri"/>
      <w:kern w:val="2"/>
      <w:sz w:val="18"/>
      <w:szCs w:val="18"/>
      <w:lang w:bidi="ar-SA"/>
    </w:rPr>
  </w:style>
  <w:style w:type="paragraph" w:customStyle="1" w:styleId="23">
    <w:name w:val="页眉1"/>
    <w:link w:val="24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24">
    <w:name w:val="页眉 Char"/>
    <w:link w:val="23"/>
    <w:qFormat/>
    <w:uiPriority w:val="0"/>
    <w:rPr>
      <w:rFonts w:ascii="Calibri" w:hAnsi="Calibri"/>
      <w:kern w:val="2"/>
      <w:sz w:val="18"/>
      <w:szCs w:val="18"/>
      <w:lang w:bidi="ar-SA"/>
    </w:rPr>
  </w:style>
  <w:style w:type="paragraph" w:customStyle="1" w:styleId="25">
    <w:name w:val="普通(网站)1"/>
    <w:basedOn w:val="1"/>
    <w:link w:val="26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6">
    <w:name w:val="普通(网站) Char"/>
    <w:link w:val="25"/>
    <w:qFormat/>
    <w:uiPriority w:val="0"/>
    <w:rPr>
      <w:rFonts w:ascii="宋体" w:hAnsi="宋体"/>
      <w:sz w:val="24"/>
      <w:szCs w:val="24"/>
    </w:rPr>
  </w:style>
  <w:style w:type="paragraph" w:customStyle="1" w:styleId="27">
    <w:name w:val="正文首行缩进1"/>
    <w:qFormat/>
    <w:uiPriority w:val="0"/>
    <w:pPr>
      <w:widowControl w:val="0"/>
      <w:overflowPunct w:val="0"/>
      <w:autoSpaceDE w:val="0"/>
      <w:autoSpaceDN w:val="0"/>
      <w:spacing w:line="360" w:lineRule="auto"/>
      <w:ind w:firstLine="539"/>
      <w:jc w:val="center"/>
    </w:pPr>
    <w:rPr>
      <w:rFonts w:ascii="宋体" w:hAnsi="Calibri" w:eastAsia="宋体" w:cs="Times New Roman"/>
      <w:spacing w:val="6"/>
      <w:sz w:val="28"/>
      <w:lang w:val="en-US" w:eastAsia="zh-CN" w:bidi="ar-SA"/>
    </w:rPr>
  </w:style>
  <w:style w:type="paragraph" w:customStyle="1" w:styleId="28">
    <w:name w:val="正文首行缩进 21"/>
    <w:qFormat/>
    <w:uiPriority w:val="0"/>
    <w:pPr>
      <w:widowControl w:val="0"/>
      <w:spacing w:after="120" w:line="360" w:lineRule="auto"/>
      <w:ind w:left="200" w:leftChars="200" w:firstLine="1446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9">
    <w:name w:val="页码1"/>
    <w:qFormat/>
    <w:uiPriority w:val="0"/>
  </w:style>
  <w:style w:type="paragraph" w:customStyle="1" w:styleId="30">
    <w:name w:val="Default"/>
    <w:basedOn w:val="31"/>
    <w:next w:val="1"/>
    <w:qFormat/>
    <w:uiPriority w:val="0"/>
    <w:pPr>
      <w:autoSpaceDE w:val="0"/>
      <w:autoSpaceDN w:val="0"/>
      <w:ind w:firstLine="480"/>
    </w:pPr>
    <w:rPr>
      <w:rFonts w:ascii="Calibri" w:hAnsi="Calibri" w:cs="Times New Roman"/>
      <w:color w:val="000000"/>
      <w:sz w:val="24"/>
      <w:szCs w:val="24"/>
    </w:rPr>
  </w:style>
  <w:style w:type="paragraph" w:customStyle="1" w:styleId="31">
    <w:name w:val="纯文本1"/>
    <w:basedOn w:val="1"/>
    <w:qFormat/>
    <w:uiPriority w:val="0"/>
    <w:pPr>
      <w:spacing w:line="360" w:lineRule="auto"/>
    </w:pPr>
    <w:rPr>
      <w:rFonts w:ascii="宋体" w:hAnsi="Courier New" w:cs="Courier New"/>
      <w:szCs w:val="21"/>
    </w:rPr>
  </w:style>
  <w:style w:type="paragraph" w:customStyle="1" w:styleId="32">
    <w:name w:val="文本"/>
    <w:qFormat/>
    <w:uiPriority w:val="0"/>
    <w:pPr>
      <w:widowControl w:val="0"/>
      <w:autoSpaceDE w:val="0"/>
      <w:autoSpaceDN w:val="0"/>
      <w:ind w:firstLine="480"/>
      <w:jc w:val="both"/>
    </w:pPr>
    <w:rPr>
      <w:rFonts w:ascii="Calibri" w:hAnsi="Calibri" w:eastAsia="宋体" w:cs="Times New Roman"/>
      <w:kern w:val="2"/>
      <w:sz w:val="21"/>
      <w:szCs w:val="24"/>
      <w:lang w:val="zh-CN" w:eastAsia="zh-CN" w:bidi="ar-SA"/>
    </w:rPr>
  </w:style>
  <w:style w:type="paragraph" w:styleId="3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4">
    <w:name w:val="批注框文本 Char1"/>
    <w:basedOn w:val="11"/>
    <w:link w:val="8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35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2323</Words>
  <Characters>2642</Characters>
  <Lines>25</Lines>
  <Paragraphs>7</Paragraphs>
  <TotalTime>37</TotalTime>
  <ScaleCrop>false</ScaleCrop>
  <LinksUpToDate>false</LinksUpToDate>
  <CharactersWithSpaces>2711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2026-03-31T02:04:00Z</dcterms:created>
  <dc:creator>Tang</dc:creator>
  <cp:lastModifiedBy>小兵</cp:lastModifiedBy>
  <cp:lastPrinted>2026-04-10T03:32:57Z</cp:lastPrinted>
  <dcterms:modified xsi:type="dcterms:W3CDTF">2026-04-10T03:37:06Z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eyJoZGlkIjoiN2RmNTk2MGE5NGRiODIzNjcyMGE0MTRiNDczN2U4OTUiLCJ1c2VySWQiOiIzMjUxNjMwODgifQ==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C5525E91EB4A4CB49CAA277A0865CAE2_13</vt:lpwstr>
  </property>
</Properties>
</file>