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B9545C">
      <w:pPr>
        <w:widowControl/>
        <w:spacing w:beforeLines="20" w:afterLines="10" w:line="540" w:lineRule="atLeast"/>
        <w:ind w:right="1280"/>
        <w:rPr>
          <w:rFonts w:ascii="仿宋" w:hAnsi="仿宋" w:eastAsia="仿宋" w:cs="仿宋"/>
          <w:color w:val="FF0000"/>
          <w:sz w:val="32"/>
          <w:szCs w:val="32"/>
        </w:rPr>
      </w:pPr>
    </w:p>
    <w:p w14:paraId="5B6BE82F">
      <w:pPr>
        <w:widowControl/>
        <w:spacing w:beforeLines="20" w:afterLines="10" w:line="540" w:lineRule="atLeast"/>
        <w:ind w:right="1280"/>
        <w:rPr>
          <w:rFonts w:ascii="仿宋" w:hAnsi="仿宋" w:eastAsia="仿宋" w:cs="仿宋"/>
          <w:color w:val="FF0000"/>
          <w:sz w:val="32"/>
          <w:szCs w:val="32"/>
        </w:rPr>
      </w:pPr>
    </w:p>
    <w:p w14:paraId="6259F3AF">
      <w:pPr>
        <w:widowControl/>
        <w:spacing w:beforeLines="20" w:afterLines="10" w:line="540" w:lineRule="atLeast"/>
        <w:jc w:val="right"/>
        <w:rPr>
          <w:rFonts w:ascii="仿宋" w:hAnsi="仿宋" w:eastAsia="仿宋" w:cs="仿宋"/>
          <w:sz w:val="32"/>
          <w:szCs w:val="32"/>
        </w:rPr>
      </w:pPr>
      <w:r>
        <w:rPr>
          <w:rFonts w:hint="eastAsia" w:ascii="仿宋" w:hAnsi="仿宋" w:eastAsia="仿宋" w:cs="仿宋"/>
          <w:sz w:val="32"/>
          <w:szCs w:val="32"/>
        </w:rPr>
        <w:t>潭环审(湘潭县)〔2026〕</w:t>
      </w:r>
      <w:r>
        <w:rPr>
          <w:rFonts w:hint="eastAsia" w:ascii="仿宋" w:hAnsi="仿宋" w:eastAsia="仿宋" w:cs="仿宋"/>
          <w:sz w:val="32"/>
          <w:szCs w:val="32"/>
          <w:lang w:val="en-US" w:eastAsia="zh-CN"/>
        </w:rPr>
        <w:t>6</w:t>
      </w:r>
      <w:r>
        <w:rPr>
          <w:rFonts w:hint="eastAsia" w:ascii="仿宋" w:hAnsi="仿宋" w:eastAsia="仿宋" w:cs="仿宋"/>
          <w:sz w:val="32"/>
          <w:szCs w:val="32"/>
        </w:rPr>
        <w:t>号</w:t>
      </w:r>
    </w:p>
    <w:p w14:paraId="763F323F">
      <w:pPr>
        <w:widowControl/>
        <w:spacing w:line="540" w:lineRule="atLeast"/>
        <w:jc w:val="right"/>
        <w:rPr>
          <w:rFonts w:ascii="仿宋" w:hAnsi="仿宋" w:eastAsia="仿宋" w:cs="仿宋"/>
          <w:color w:val="FF0000"/>
          <w:sz w:val="52"/>
          <w:szCs w:val="52"/>
        </w:rPr>
      </w:pPr>
    </w:p>
    <w:p w14:paraId="3A228D37">
      <w:pPr>
        <w:spacing w:line="520" w:lineRule="exact"/>
        <w:ind w:right="-42" w:rightChars="-20"/>
        <w:jc w:val="center"/>
        <w:rPr>
          <w:rFonts w:ascii="宋体" w:hAnsi="宋体"/>
          <w:b/>
          <w:bCs/>
          <w:sz w:val="44"/>
          <w:szCs w:val="44"/>
        </w:rPr>
      </w:pPr>
      <w:r>
        <w:rPr>
          <w:rFonts w:hint="eastAsia" w:ascii="宋体" w:hAnsi="宋体"/>
          <w:b/>
          <w:bCs/>
          <w:sz w:val="44"/>
          <w:szCs w:val="44"/>
        </w:rPr>
        <w:t>关于《</w:t>
      </w:r>
      <w:bookmarkStart w:id="0" w:name="OLE_LINK5"/>
      <w:bookmarkStart w:id="1" w:name="OLE_LINK6"/>
      <w:r>
        <w:rPr>
          <w:rFonts w:hint="eastAsia" w:ascii="宋体" w:hAnsi="宋体"/>
          <w:b/>
          <w:bCs/>
          <w:sz w:val="44"/>
          <w:szCs w:val="44"/>
        </w:rPr>
        <w:t>湘潭彬海塑业有限公司年产150吨聚乙烯膜（保护膜/包装膜）建设项目</w:t>
      </w:r>
      <w:bookmarkEnd w:id="0"/>
      <w:bookmarkEnd w:id="1"/>
      <w:r>
        <w:rPr>
          <w:rFonts w:hint="eastAsia" w:ascii="宋体" w:hAnsi="宋体"/>
          <w:b/>
          <w:bCs/>
          <w:sz w:val="44"/>
          <w:szCs w:val="44"/>
        </w:rPr>
        <w:t>环境影响报告表》的审批意见</w:t>
      </w:r>
    </w:p>
    <w:p w14:paraId="2D5F1926">
      <w:pPr>
        <w:spacing w:line="480" w:lineRule="exact"/>
        <w:ind w:right="-42" w:rightChars="-20"/>
        <w:jc w:val="center"/>
        <w:rPr>
          <w:rFonts w:ascii="仿宋" w:hAnsi="仿宋" w:eastAsia="仿宋"/>
          <w:color w:val="FF0000"/>
          <w:sz w:val="10"/>
          <w:szCs w:val="10"/>
        </w:rPr>
      </w:pPr>
    </w:p>
    <w:p w14:paraId="58784649">
      <w:pPr>
        <w:spacing w:line="480" w:lineRule="exact"/>
        <w:rPr>
          <w:rFonts w:ascii="仿宋" w:hAnsi="仿宋" w:eastAsia="仿宋" w:cs="仿宋"/>
          <w:sz w:val="32"/>
          <w:szCs w:val="32"/>
        </w:rPr>
      </w:pPr>
      <w:bookmarkStart w:id="2" w:name="OLE_LINK3"/>
      <w:bookmarkStart w:id="3" w:name="OLE_LINK4"/>
      <w:r>
        <w:rPr>
          <w:rFonts w:hint="eastAsia" w:ascii="仿宋" w:hAnsi="仿宋" w:eastAsia="仿宋" w:cs="仿宋"/>
          <w:sz w:val="32"/>
          <w:szCs w:val="32"/>
        </w:rPr>
        <w:t>湘潭彬海塑业有限公司</w:t>
      </w:r>
      <w:bookmarkEnd w:id="2"/>
      <w:bookmarkEnd w:id="3"/>
      <w:r>
        <w:rPr>
          <w:rFonts w:hint="eastAsia" w:ascii="仿宋" w:hAnsi="仿宋" w:eastAsia="仿宋" w:cs="仿宋"/>
          <w:sz w:val="32"/>
          <w:szCs w:val="32"/>
        </w:rPr>
        <w:t>：</w:t>
      </w:r>
    </w:p>
    <w:p w14:paraId="07392AE4">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你公司由湖南振澜环保有限公司编制的《湘潭彬海塑业有限公司</w:t>
      </w:r>
      <w:bookmarkStart w:id="4" w:name="OLE_LINK8"/>
      <w:bookmarkStart w:id="5" w:name="OLE_LINK7"/>
      <w:r>
        <w:rPr>
          <w:rFonts w:hint="eastAsia" w:ascii="仿宋" w:hAnsi="仿宋" w:eastAsia="仿宋" w:cs="仿宋"/>
          <w:sz w:val="32"/>
          <w:szCs w:val="32"/>
        </w:rPr>
        <w:t>年产150吨聚乙烯膜（保护膜/包装膜）建设项目</w:t>
      </w:r>
      <w:bookmarkEnd w:id="4"/>
      <w:bookmarkEnd w:id="5"/>
      <w:r>
        <w:rPr>
          <w:rFonts w:hint="eastAsia" w:ascii="仿宋" w:hAnsi="仿宋" w:eastAsia="仿宋" w:cs="仿宋"/>
          <w:sz w:val="32"/>
          <w:szCs w:val="32"/>
        </w:rPr>
        <w:t>环境影响报告表》(以下简称报告表)及相关附件材料已收悉。经研究，批复如下：</w:t>
      </w:r>
    </w:p>
    <w:p w14:paraId="564C80ED">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一、湘潭彬海塑业有限公司拟投资500万元，选址于湘潭天易经开区柏屹自主创新园一期4栋已建标准化厂房内，建设年产150吨聚乙烯膜（保护膜/包装膜）项目。项目总占地面积</w:t>
      </w:r>
      <w:r>
        <w:rPr>
          <w:rFonts w:ascii="仿宋" w:hAnsi="仿宋" w:eastAsia="仿宋" w:cs="仿宋"/>
          <w:sz w:val="32"/>
          <w:szCs w:val="32"/>
        </w:rPr>
        <w:t>2960</w:t>
      </w:r>
      <w:r>
        <w:rPr>
          <w:rFonts w:hint="eastAsia" w:ascii="仿宋" w:hAnsi="仿宋" w:eastAsia="仿宋" w:cs="仿宋"/>
          <w:sz w:val="32"/>
          <w:szCs w:val="32"/>
        </w:rPr>
        <w:t>m</w:t>
      </w:r>
      <w:r>
        <w:rPr>
          <w:rFonts w:hint="eastAsia" w:ascii="仿宋" w:hAnsi="仿宋" w:eastAsia="仿宋" w:cs="仿宋"/>
          <w:sz w:val="32"/>
          <w:szCs w:val="32"/>
          <w:vertAlign w:val="superscript"/>
        </w:rPr>
        <w:t>2</w:t>
      </w:r>
      <w:r>
        <w:rPr>
          <w:rFonts w:hint="eastAsia" w:ascii="仿宋" w:hAnsi="仿宋" w:eastAsia="仿宋" w:cs="仿宋"/>
          <w:sz w:val="32"/>
          <w:szCs w:val="32"/>
        </w:rPr>
        <w:t>，主要建设内容包括：生产车间、办公区、仓库及相关公辅工程和环保设施等。主要产品方案包括：包装膜135t/a、保护膜15t/a。主要生产设备包括</w:t>
      </w:r>
      <w:bookmarkStart w:id="6" w:name="OLE_LINK9"/>
      <w:bookmarkStart w:id="7" w:name="OLE_LINK10"/>
      <w:r>
        <w:rPr>
          <w:rFonts w:hint="eastAsia" w:ascii="仿宋" w:hAnsi="仿宋" w:eastAsia="仿宋" w:cs="仿宋"/>
          <w:sz w:val="32"/>
          <w:szCs w:val="32"/>
        </w:rPr>
        <w:t>：淋膜机组1台、</w:t>
      </w:r>
      <w:bookmarkEnd w:id="6"/>
      <w:bookmarkEnd w:id="7"/>
      <w:r>
        <w:rPr>
          <w:rFonts w:hint="eastAsia" w:ascii="仿宋" w:hAnsi="仿宋" w:eastAsia="仿宋" w:cs="仿宋"/>
          <w:sz w:val="32"/>
          <w:szCs w:val="32"/>
        </w:rPr>
        <w:t>淋膜机组1台、印刷机组1台、缠绕膜机组1台、气泡膜机组1台、吹膜机组1台、分切机3台等环保设施。主要原辅材料及能源消耗包括：聚乙烯塑料薄膜80t/a、编织布15t/a、无纺布10t/a、EVA卷材13t/a、热熔胶12t/a、水性油墨7.1t/a、聚乙烯颗粒15.2t/a、印刷铜板0.01t/a、水455t/a、电5万kw</w:t>
      </w:r>
      <w:r>
        <w:rPr>
          <w:rFonts w:hint="eastAsia" w:ascii="宋体" w:hAnsi="宋体" w:cs="宋体"/>
          <w:sz w:val="32"/>
          <w:szCs w:val="32"/>
        </w:rPr>
        <w:t>•</w:t>
      </w:r>
      <w:r>
        <w:rPr>
          <w:rFonts w:hint="eastAsia" w:ascii="仿宋" w:hAnsi="仿宋" w:eastAsia="仿宋" w:cs="仿宋"/>
          <w:sz w:val="32"/>
          <w:szCs w:val="32"/>
        </w:rPr>
        <w:t>h/a等。包装膜主要生产工艺包括：分切、印刷、烘干、淋膜、刷胶覆膜、成品等；保护膜主要生产工艺包括：熔融、挤出、分切、成品等。</w:t>
      </w:r>
    </w:p>
    <w:p w14:paraId="74FEBAC7">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该项目符合国家相关产业政策，根据天易经开区联合预审会议纪要和环评结论，经现场勘察，从环境保护的角度分析，同意该项目按报告表中所列内容进行建设。</w:t>
      </w:r>
    </w:p>
    <w:p w14:paraId="709A475A">
      <w:pPr>
        <w:spacing w:line="480" w:lineRule="exact"/>
        <w:ind w:firstLine="645"/>
        <w:rPr>
          <w:rFonts w:ascii="仿宋" w:hAnsi="仿宋" w:eastAsia="仿宋" w:cs="仿宋"/>
          <w:sz w:val="32"/>
          <w:szCs w:val="32"/>
        </w:rPr>
      </w:pPr>
      <w:r>
        <w:rPr>
          <w:rFonts w:hint="eastAsia" w:ascii="仿宋" w:hAnsi="仿宋" w:eastAsia="仿宋" w:cs="仿宋"/>
          <w:sz w:val="32"/>
          <w:szCs w:val="32"/>
        </w:rPr>
        <w:t>二、在项目营运期间，建设单位必须认真落实环评报告表中提出的各项环保要求，落实环保“三同时”措施，确保各项污染物稳定达标排放，并须着重做好以下工作：</w:t>
      </w:r>
    </w:p>
    <w:p w14:paraId="652A3C5F">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1、废气污染防治工作。厂区内必须使用天然气、液化气或电等清洁能源。</w:t>
      </w:r>
      <w:bookmarkStart w:id="8" w:name="OLE_LINK79"/>
      <w:bookmarkStart w:id="9" w:name="OLE_LINK80"/>
      <w:r>
        <w:rPr>
          <w:rFonts w:hint="eastAsia" w:ascii="仿宋" w:hAnsi="仿宋" w:eastAsia="仿宋" w:cs="宋体"/>
          <w:sz w:val="32"/>
          <w:szCs w:val="32"/>
        </w:rPr>
        <w:t>加强车间废气收集和处理，严格控制废气无组织排放。印刷、烘干工序产生的废气经密闭负压收集，淋膜、气泡膜、缠绕膜、吹膜、刷胶覆膜工序产生的废气分别经集气罩收集，采取二级活性炭吸附处理后，</w:t>
      </w:r>
      <w:r>
        <w:rPr>
          <w:rFonts w:hint="eastAsia" w:ascii="仿宋" w:hAnsi="仿宋" w:eastAsia="仿宋" w:cs="宋体"/>
          <w:color w:val="000000"/>
          <w:sz w:val="32"/>
          <w:szCs w:val="32"/>
        </w:rPr>
        <w:t>通过1根不低于15米高排气筒（DA001）高空排放，</w:t>
      </w:r>
      <w:bookmarkStart w:id="10" w:name="OLE_LINK14"/>
      <w:bookmarkStart w:id="11" w:name="OLE_LINK13"/>
      <w:r>
        <w:rPr>
          <w:rFonts w:hint="eastAsia" w:ascii="仿宋" w:hAnsi="仿宋" w:eastAsia="仿宋" w:cs="宋体"/>
          <w:sz w:val="32"/>
          <w:szCs w:val="32"/>
        </w:rPr>
        <w:t>非甲烷总烃（</w:t>
      </w:r>
      <w:r>
        <w:rPr>
          <w:rFonts w:hint="eastAsia" w:ascii="仿宋" w:hAnsi="仿宋" w:eastAsia="仿宋" w:cs="仿宋"/>
          <w:sz w:val="32"/>
          <w:szCs w:val="32"/>
        </w:rPr>
        <w:t>VOCs</w:t>
      </w:r>
      <w:r>
        <w:rPr>
          <w:rFonts w:hint="eastAsia" w:ascii="仿宋" w:hAnsi="仿宋" w:eastAsia="仿宋" w:cs="宋体"/>
          <w:sz w:val="32"/>
          <w:szCs w:val="32"/>
        </w:rPr>
        <w:t>）</w:t>
      </w:r>
      <w:bookmarkEnd w:id="8"/>
      <w:bookmarkEnd w:id="9"/>
      <w:bookmarkEnd w:id="10"/>
      <w:bookmarkEnd w:id="11"/>
      <w:r>
        <w:rPr>
          <w:rFonts w:hint="eastAsia" w:ascii="仿宋" w:hAnsi="仿宋" w:eastAsia="仿宋" w:cs="仿宋"/>
          <w:sz w:val="32"/>
          <w:szCs w:val="32"/>
        </w:rPr>
        <w:t>排放确保达到</w:t>
      </w:r>
      <w:bookmarkStart w:id="12" w:name="OLE_LINK16"/>
      <w:bookmarkStart w:id="13" w:name="OLE_LINK15"/>
      <w:r>
        <w:rPr>
          <w:rFonts w:hint="eastAsia" w:ascii="仿宋" w:hAnsi="仿宋" w:eastAsia="仿宋" w:cs="仿宋"/>
          <w:sz w:val="32"/>
          <w:szCs w:val="32"/>
        </w:rPr>
        <w:t>《印刷业挥发性有机物排放标准》（DB43/1357-2017）表1中排放限值标准，</w:t>
      </w:r>
      <w:bookmarkEnd w:id="12"/>
      <w:bookmarkEnd w:id="13"/>
      <w:r>
        <w:rPr>
          <w:rFonts w:hint="eastAsia" w:ascii="仿宋" w:hAnsi="仿宋" w:eastAsia="仿宋" w:cs="仿宋"/>
          <w:sz w:val="32"/>
          <w:szCs w:val="32"/>
        </w:rPr>
        <w:t>臭气浓度达到《恶臭污染物排放标准》（GB14554-93）表2中相关标准限值。厂界非甲烷总烃</w:t>
      </w:r>
      <w:bookmarkStart w:id="14" w:name="OLE_LINK18"/>
      <w:bookmarkStart w:id="15" w:name="OLE_LINK17"/>
      <w:r>
        <w:rPr>
          <w:rFonts w:hint="eastAsia" w:ascii="仿宋" w:hAnsi="仿宋" w:eastAsia="仿宋" w:cs="仿宋"/>
          <w:sz w:val="32"/>
          <w:szCs w:val="32"/>
        </w:rPr>
        <w:t>无组织排放达到</w:t>
      </w:r>
      <w:bookmarkEnd w:id="14"/>
      <w:bookmarkEnd w:id="15"/>
      <w:r>
        <w:rPr>
          <w:rFonts w:hint="eastAsia" w:ascii="仿宋" w:hAnsi="仿宋" w:eastAsia="仿宋" w:cs="仿宋"/>
          <w:sz w:val="32"/>
          <w:szCs w:val="32"/>
        </w:rPr>
        <w:t>《合成树脂工业污染物排放标准》（GB31572-2015）及2024年修改单表9中排放限值,挥发性有机物无组织排放达到《印刷业挥发性有机物排放标准》（DB43/1357-2017）表2中排放限值，臭气浓度确保达到《恶臭污染物排放标准》（GB14554-93）表1中二级新改扩建限值。厂区内VOCs无组织排放达到《挥发性有机物无组织排放控制标准》（GB37822-2019）附录A表A.1中限值要求。</w:t>
      </w:r>
    </w:p>
    <w:p w14:paraId="44416E4A">
      <w:pPr>
        <w:pStyle w:val="26"/>
        <w:autoSpaceDE/>
        <w:autoSpaceDN/>
        <w:spacing w:line="4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2、废水污染防治工作。按照“雨污分流”的原则建设厂区内排水管网。项目冷却废水</w:t>
      </w:r>
      <w:r>
        <w:rPr>
          <w:rFonts w:hint="eastAsia" w:ascii="仿宋" w:hAnsi="仿宋" w:eastAsia="仿宋"/>
          <w:color w:val="auto"/>
          <w:sz w:val="32"/>
          <w:szCs w:val="32"/>
        </w:rPr>
        <w:t>经循环水池处理后循环使用，不得外排。</w:t>
      </w:r>
      <w:r>
        <w:rPr>
          <w:rFonts w:hint="eastAsia" w:ascii="仿宋" w:hAnsi="仿宋" w:eastAsia="仿宋" w:cs="仿宋"/>
          <w:color w:val="auto"/>
          <w:sz w:val="32"/>
          <w:szCs w:val="32"/>
        </w:rPr>
        <w:t>生活污水经隔油、化粪池处理后，确保达到《污水综合排放标准》(GB8978-1996)表4中三级标准和湘潭县第一污水处理厂进水水质接纳标准后排入城市污水管网。</w:t>
      </w:r>
    </w:p>
    <w:p w14:paraId="22DB100A">
      <w:pPr>
        <w:pStyle w:val="26"/>
        <w:autoSpaceDE/>
        <w:autoSpaceDN/>
        <w:spacing w:line="480" w:lineRule="exact"/>
        <w:ind w:firstLine="640" w:firstLineChars="200"/>
        <w:rPr>
          <w:rFonts w:ascii="仿宋" w:hAnsi="仿宋" w:eastAsia="仿宋" w:cs="仿宋"/>
          <w:color w:val="FF0000"/>
          <w:sz w:val="32"/>
          <w:szCs w:val="32"/>
        </w:rPr>
      </w:pPr>
      <w:r>
        <w:rPr>
          <w:rFonts w:hint="eastAsia" w:ascii="仿宋" w:hAnsi="仿宋" w:eastAsia="仿宋" w:cs="仿宋"/>
          <w:color w:val="auto"/>
          <w:sz w:val="32"/>
          <w:szCs w:val="32"/>
        </w:rPr>
        <w:t>3、噪声污染防治工作。优化厂区内设备布局，选用低噪声设备，并采取隔音、降噪和减震等措施，确保厂界噪声达到《工业企业厂界环境噪声排放标准》（GB12348-2008）中3类标准。</w:t>
      </w:r>
    </w:p>
    <w:p w14:paraId="2B654C79">
      <w:pPr>
        <w:pStyle w:val="26"/>
        <w:autoSpaceDE/>
        <w:autoSpaceDN/>
        <w:spacing w:line="48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4、固体废物污染防治工作。不合格产品、废包装材料、废边角料等一般固废分类收集后，可外售回收单位综合利用。废印刷版、废活性炭、废水性油墨桶、废胶内包装材料、废机油、废机油桶、含油抹布手套等危险废物，须按照《危险废物贮存污染控制标准》（GB/18597-2023）要求进行收集贮存后，交由资质单位进行处理并报县分局备案，危废暂存间须按相关要求设置并建立相关台账，规范设立标识标牌等；生活垃圾分类收集后，定期交由环卫部门妥善处理。</w:t>
      </w:r>
    </w:p>
    <w:p w14:paraId="4C25ADCE">
      <w:pPr>
        <w:spacing w:line="48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5、环境风险防范工作。严格履行建设单位环保主体责任，提高清洁生产水平，加强生产和环保管理，安排环保专员负责环保设施运转维护。建立健全污染事故应急处理和定期监测制度，落实事故风险防范措施，切实防范各类环境风险事故。</w:t>
      </w:r>
    </w:p>
    <w:p w14:paraId="68C55CDE">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6、严格控制项目原料的种类及来源，不得对外收购其它废塑料、废边角料进行加工生产。</w:t>
      </w:r>
    </w:p>
    <w:p w14:paraId="0CE5919C">
      <w:pPr>
        <w:pStyle w:val="21"/>
        <w:shd w:val="clear" w:color="auto" w:fill="FFFFFF"/>
        <w:spacing w:before="0" w:beforeAutospacing="0" w:after="0" w:afterAutospacing="0" w:line="48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三、根据湘潭市生态环境局总量部门核定，该项目实施后，主要污染物年排放总量为：</w:t>
      </w:r>
      <w:bookmarkStart w:id="16" w:name="OLE_LINK11"/>
      <w:bookmarkStart w:id="17" w:name="OLE_LINK12"/>
      <w:r>
        <w:rPr>
          <w:rFonts w:hint="eastAsia" w:ascii="仿宋" w:hAnsi="仿宋" w:eastAsia="仿宋" w:cs="仿宋"/>
          <w:sz w:val="32"/>
          <w:szCs w:val="32"/>
        </w:rPr>
        <w:t>VOCs</w:t>
      </w:r>
      <w:bookmarkEnd w:id="16"/>
      <w:bookmarkEnd w:id="17"/>
      <w:r>
        <w:rPr>
          <w:rFonts w:hint="eastAsia" w:ascii="仿宋" w:hAnsi="仿宋" w:eastAsia="仿宋" w:cs="仿宋"/>
          <w:sz w:val="32"/>
          <w:szCs w:val="32"/>
        </w:rPr>
        <w:t>≤0.</w:t>
      </w:r>
      <w:bookmarkStart w:id="18" w:name="OLE_LINK1"/>
      <w:bookmarkStart w:id="19" w:name="OLE_LINK2"/>
      <w:r>
        <w:rPr>
          <w:rFonts w:hint="eastAsia" w:ascii="仿宋" w:hAnsi="仿宋" w:eastAsia="仿宋" w:cs="仿宋"/>
          <w:sz w:val="32"/>
          <w:szCs w:val="32"/>
        </w:rPr>
        <w:t>433t/a</w:t>
      </w:r>
      <w:bookmarkEnd w:id="18"/>
      <w:bookmarkEnd w:id="19"/>
      <w:r>
        <w:rPr>
          <w:rFonts w:hint="eastAsia" w:ascii="仿宋" w:hAnsi="仿宋" w:eastAsia="仿宋" w:cs="仿宋"/>
          <w:sz w:val="32"/>
          <w:szCs w:val="32"/>
        </w:rPr>
        <w:t>(有组织0.208</w:t>
      </w:r>
      <w:r>
        <w:rPr>
          <w:rFonts w:ascii="仿宋" w:hAnsi="仿宋" w:eastAsia="仿宋" w:cs="仿宋"/>
          <w:sz w:val="32"/>
          <w:szCs w:val="32"/>
        </w:rPr>
        <w:t>t/a</w:t>
      </w:r>
      <w:r>
        <w:rPr>
          <w:rFonts w:hint="eastAsia" w:ascii="仿宋" w:hAnsi="仿宋" w:eastAsia="仿宋" w:cs="仿宋"/>
          <w:sz w:val="32"/>
          <w:szCs w:val="32"/>
        </w:rPr>
        <w:t>)。</w:t>
      </w:r>
    </w:p>
    <w:p w14:paraId="233E7A3F">
      <w:pPr>
        <w:spacing w:line="480" w:lineRule="exact"/>
        <w:ind w:firstLine="640" w:firstLineChars="200"/>
        <w:rPr>
          <w:rFonts w:ascii="仿宋" w:hAnsi="仿宋" w:eastAsia="仿宋" w:cs="仿宋"/>
          <w:sz w:val="32"/>
          <w:szCs w:val="32"/>
          <w:shd w:val="clear" w:color="050000" w:fill="auto"/>
        </w:rPr>
      </w:pPr>
      <w:r>
        <w:rPr>
          <w:rFonts w:hint="eastAsia" w:ascii="仿宋" w:hAnsi="仿宋" w:eastAsia="仿宋" w:cs="仿宋"/>
          <w:sz w:val="32"/>
          <w:szCs w:val="32"/>
          <w:shd w:val="clear" w:color="050000" w:fill="auto"/>
        </w:rPr>
        <w:t>四、</w:t>
      </w:r>
      <w:r>
        <w:rPr>
          <w:rFonts w:hint="eastAsia" w:ascii="仿宋" w:hAnsi="仿宋" w:eastAsia="仿宋" w:cs="仿宋"/>
          <w:sz w:val="32"/>
          <w:szCs w:val="32"/>
        </w:rPr>
        <w:t>项目启动生产设施或实际排污之前，须取得排污许可手续，并按照规</w:t>
      </w:r>
      <w:bookmarkStart w:id="20" w:name="_GoBack"/>
      <w:bookmarkEnd w:id="20"/>
      <w:r>
        <w:rPr>
          <w:rFonts w:hint="eastAsia" w:ascii="仿宋" w:hAnsi="仿宋" w:eastAsia="仿宋" w:cs="仿宋"/>
          <w:sz w:val="32"/>
          <w:szCs w:val="32"/>
        </w:rPr>
        <w:t>定依法开展竣工环境保护验收工作。</w:t>
      </w:r>
    </w:p>
    <w:p w14:paraId="59310156">
      <w:pPr>
        <w:spacing w:line="480" w:lineRule="exact"/>
        <w:ind w:firstLine="640" w:firstLineChars="200"/>
        <w:rPr>
          <w:rFonts w:ascii="仿宋" w:hAnsi="仿宋" w:eastAsia="仿宋" w:cs="仿宋"/>
          <w:sz w:val="32"/>
          <w:szCs w:val="32"/>
          <w:shd w:val="clear" w:color="050000" w:fill="auto"/>
        </w:rPr>
      </w:pPr>
      <w:r>
        <w:rPr>
          <w:rFonts w:hint="eastAsia" w:ascii="仿宋" w:hAnsi="仿宋" w:eastAsia="仿宋" w:cs="仿宋"/>
          <w:sz w:val="32"/>
          <w:szCs w:val="32"/>
          <w:shd w:val="clear" w:color="050000" w:fill="auto"/>
        </w:rPr>
        <w:t>五</w:t>
      </w:r>
      <w:r>
        <w:rPr>
          <w:rFonts w:hint="eastAsia" w:ascii="仿宋" w:hAnsi="仿宋" w:eastAsia="仿宋" w:cs="仿宋"/>
          <w:sz w:val="32"/>
          <w:szCs w:val="32"/>
        </w:rPr>
        <w:t>、项目建设的性质、规模、地点、采用的生产工艺或者防治污染、防止生态破坏的措施发生重大变动的，建设单位应当重新报批建设项目环境影响评价文件。建设项目的环境影响评价文件自批准之日起超过5年，才开工建设的，其环境影响评价文件应当报原审批部门重新审核。</w:t>
      </w:r>
    </w:p>
    <w:p w14:paraId="60DEC595">
      <w:pPr>
        <w:pStyle w:val="17"/>
        <w:tabs>
          <w:tab w:val="clear" w:pos="4153"/>
          <w:tab w:val="clear" w:pos="8306"/>
        </w:tabs>
        <w:spacing w:line="480" w:lineRule="exact"/>
        <w:rPr>
          <w:rFonts w:ascii="仿宋" w:hAnsi="仿宋" w:eastAsia="仿宋" w:cs="仿宋"/>
          <w:color w:val="FF0000"/>
          <w:sz w:val="32"/>
          <w:szCs w:val="32"/>
        </w:rPr>
      </w:pPr>
    </w:p>
    <w:p w14:paraId="403F7343">
      <w:pPr>
        <w:pStyle w:val="17"/>
        <w:tabs>
          <w:tab w:val="clear" w:pos="4153"/>
          <w:tab w:val="clear" w:pos="8306"/>
        </w:tabs>
        <w:spacing w:line="480" w:lineRule="exact"/>
        <w:rPr>
          <w:rFonts w:ascii="仿宋" w:hAnsi="仿宋" w:eastAsia="仿宋" w:cs="仿宋"/>
          <w:color w:val="FF0000"/>
          <w:sz w:val="32"/>
          <w:szCs w:val="32"/>
        </w:rPr>
      </w:pPr>
    </w:p>
    <w:p w14:paraId="0C30D317">
      <w:pPr>
        <w:spacing w:line="480" w:lineRule="exact"/>
        <w:ind w:right="640" w:firstLine="5280" w:firstLineChars="1650"/>
        <w:rPr>
          <w:rFonts w:ascii="仿宋" w:hAnsi="仿宋" w:eastAsia="仿宋" w:cs="仿宋"/>
          <w:color w:val="auto"/>
          <w:kern w:val="1"/>
          <w:sz w:val="32"/>
          <w:szCs w:val="32"/>
        </w:rPr>
      </w:pPr>
      <w:r>
        <w:rPr>
          <w:rFonts w:hint="eastAsia" w:ascii="仿宋" w:hAnsi="仿宋" w:eastAsia="仿宋" w:cs="仿宋"/>
          <w:color w:val="FF0000"/>
          <w:kern w:val="1"/>
          <w:sz w:val="32"/>
          <w:szCs w:val="32"/>
        </w:rPr>
        <w:t xml:space="preserve">   </w:t>
      </w:r>
      <w:r>
        <w:rPr>
          <w:rFonts w:hint="eastAsia" w:ascii="仿宋" w:hAnsi="仿宋" w:eastAsia="仿宋" w:cs="仿宋"/>
          <w:color w:val="auto"/>
          <w:kern w:val="1"/>
          <w:sz w:val="32"/>
          <w:szCs w:val="32"/>
        </w:rPr>
        <w:t>（盖 章）</w:t>
      </w:r>
    </w:p>
    <w:p w14:paraId="603F97B5">
      <w:pPr>
        <w:spacing w:line="480" w:lineRule="exact"/>
        <w:ind w:right="640"/>
        <w:jc w:val="center"/>
        <w:rPr>
          <w:rFonts w:ascii="仿宋" w:hAnsi="仿宋" w:eastAsia="仿宋" w:cs="仿宋"/>
          <w:color w:val="auto"/>
          <w:kern w:val="1"/>
          <w:sz w:val="32"/>
          <w:szCs w:val="32"/>
        </w:rPr>
      </w:pPr>
      <w:r>
        <w:rPr>
          <w:rFonts w:hint="eastAsia" w:ascii="仿宋" w:hAnsi="仿宋" w:eastAsia="仿宋" w:cs="仿宋"/>
          <w:color w:val="auto"/>
          <w:kern w:val="1"/>
          <w:sz w:val="32"/>
          <w:szCs w:val="32"/>
        </w:rPr>
        <w:t xml:space="preserve">                            2026年3月</w:t>
      </w:r>
      <w:r>
        <w:rPr>
          <w:rFonts w:hint="eastAsia" w:ascii="仿宋" w:hAnsi="仿宋" w:eastAsia="仿宋" w:cs="仿宋"/>
          <w:color w:val="auto"/>
          <w:kern w:val="1"/>
          <w:sz w:val="32"/>
          <w:szCs w:val="32"/>
          <w:lang w:val="en-US" w:eastAsia="zh-CN"/>
        </w:rPr>
        <w:t>30</w:t>
      </w:r>
      <w:r>
        <w:rPr>
          <w:rFonts w:hint="eastAsia" w:ascii="仿宋" w:hAnsi="仿宋" w:eastAsia="仿宋" w:cs="仿宋"/>
          <w:color w:val="auto"/>
          <w:kern w:val="1"/>
          <w:sz w:val="32"/>
          <w:szCs w:val="32"/>
        </w:rPr>
        <w:t>日</w:t>
      </w:r>
    </w:p>
    <w:sectPr>
      <w:footerReference r:id="rId6" w:type="first"/>
      <w:headerReference r:id="rId3" w:type="default"/>
      <w:footerReference r:id="rId4" w:type="default"/>
      <w:footerReference r:id="rId5" w:type="even"/>
      <w:pgSz w:w="11906" w:h="16838"/>
      <w:pgMar w:top="1644" w:right="1474" w:bottom="1474" w:left="1531"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821F3">
    <w:pPr>
      <w:pStyle w:val="17"/>
      <w:tabs>
        <w:tab w:val="clear" w:pos="4153"/>
        <w:tab w:val="clear" w:pos="8306"/>
      </w:tabs>
      <w:jc w:val="both"/>
    </w:pPr>
    <w:r>
      <w:rPr>
        <w:sz w:val="18"/>
      </w:rPr>
      <w:pict>
        <v:shape id="_x0000_s3073" o:spid="_x0000_s3073"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95BB855">
                <w:pPr>
                  <w:pStyle w:val="6"/>
                </w:pPr>
                <w:r>
                  <w:fldChar w:fldCharType="begin"/>
                </w:r>
                <w:r>
                  <w:instrText xml:space="preserve"> PAGE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D2A46">
    <w:pPr>
      <w:pStyle w:val="17"/>
      <w:framePr w:wrap="around" w:vAnchor="text" w:hAnchor="margin" w:xAlign="center" w:y="1"/>
      <w:tabs>
        <w:tab w:val="clear" w:pos="4153"/>
        <w:tab w:val="clear" w:pos="8306"/>
      </w:tabs>
    </w:pPr>
    <w:r>
      <w:fldChar w:fldCharType="begin"/>
    </w:r>
    <w:r>
      <w:rPr>
        <w:rStyle w:val="25"/>
      </w:rPr>
      <w:instrText xml:space="preserve">PAGE  </w:instrText>
    </w:r>
    <w:r>
      <w:fldChar w:fldCharType="end"/>
    </w:r>
  </w:p>
  <w:p w14:paraId="6BA7C575">
    <w:pPr>
      <w:pStyle w:val="17"/>
      <w:tabs>
        <w:tab w:val="clear" w:pos="4153"/>
        <w:tab w:val="clear" w:pos="8306"/>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2CC75">
    <w:pPr>
      <w:pStyle w:val="17"/>
      <w:tabs>
        <w:tab w:val="clear" w:pos="4153"/>
        <w:tab w:val="clear" w:pos="8306"/>
      </w:tabs>
    </w:pPr>
    <w:r>
      <w:rPr>
        <w:sz w:val="18"/>
      </w:rPr>
      <w:pict>
        <v:shape id="_x0000_s3074" o:spid="_x0000_s3074" o:spt="202" type="#_x0000_t202" style="position:absolute;left:0pt;margin-top:0pt;height:144pt;width:144pt;mso-position-horizontal:right;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1AC02B84">
                <w:pPr>
                  <w:pStyle w:val="6"/>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5F082">
    <w:pPr>
      <w:pStyle w:val="19"/>
      <w:pBdr>
        <w:bottom w:val="none" w:color="auto" w:sz="0" w:space="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isplayHorizontalDrawingGridEvery w:val="0"/>
  <w:displayVerticalDrawingGridEvery w:val="2"/>
  <w:characterSpacingControl w:val="compressPunctuation"/>
  <w:hdrShapeDefaults>
    <o:shapelayout v:ext="edit">
      <o:idmap v:ext="edit" data="3"/>
    </o:shapelayout>
  </w:hdrShapeDefaults>
  <w:compat>
    <w:balanceSingleByteDoubleByteWidth/>
    <w:doNotLeaveBackslashAlone/>
    <w:ulTrailSpace/>
    <w:doNotExpandShiftReturn/>
    <w:adjustLineHeightInTable/>
    <w:useFELayout/>
    <w:compatSetting w:name="compatibilityMode" w:uri="http://schemas.microsoft.com/office/word" w:val="12"/>
  </w:compat>
  <w:rsids>
    <w:rsidRoot w:val="008450D2"/>
    <w:rsid w:val="000126F3"/>
    <w:rsid w:val="0009306E"/>
    <w:rsid w:val="000944C6"/>
    <w:rsid w:val="000F64D7"/>
    <w:rsid w:val="000F6CF5"/>
    <w:rsid w:val="0010787A"/>
    <w:rsid w:val="001151B6"/>
    <w:rsid w:val="00123C4C"/>
    <w:rsid w:val="00154521"/>
    <w:rsid w:val="00167805"/>
    <w:rsid w:val="001C1E27"/>
    <w:rsid w:val="001F514A"/>
    <w:rsid w:val="002A137B"/>
    <w:rsid w:val="003018EE"/>
    <w:rsid w:val="00302ABC"/>
    <w:rsid w:val="00330F79"/>
    <w:rsid w:val="003542C3"/>
    <w:rsid w:val="00391006"/>
    <w:rsid w:val="003C1A3D"/>
    <w:rsid w:val="003D0E3A"/>
    <w:rsid w:val="00403970"/>
    <w:rsid w:val="0040619F"/>
    <w:rsid w:val="004537B9"/>
    <w:rsid w:val="00473F06"/>
    <w:rsid w:val="00485E9E"/>
    <w:rsid w:val="004B0BBF"/>
    <w:rsid w:val="00516431"/>
    <w:rsid w:val="00536407"/>
    <w:rsid w:val="00537D87"/>
    <w:rsid w:val="005473C4"/>
    <w:rsid w:val="006343F9"/>
    <w:rsid w:val="00637F87"/>
    <w:rsid w:val="00642EDF"/>
    <w:rsid w:val="00655C56"/>
    <w:rsid w:val="00665B01"/>
    <w:rsid w:val="00674A45"/>
    <w:rsid w:val="006821D2"/>
    <w:rsid w:val="00693158"/>
    <w:rsid w:val="00694246"/>
    <w:rsid w:val="006B3AC5"/>
    <w:rsid w:val="006F3163"/>
    <w:rsid w:val="007043B9"/>
    <w:rsid w:val="00722FE4"/>
    <w:rsid w:val="00742EA5"/>
    <w:rsid w:val="00744472"/>
    <w:rsid w:val="00765D7D"/>
    <w:rsid w:val="00774511"/>
    <w:rsid w:val="0079496A"/>
    <w:rsid w:val="00825165"/>
    <w:rsid w:val="008450D2"/>
    <w:rsid w:val="0085032A"/>
    <w:rsid w:val="00864D4B"/>
    <w:rsid w:val="008762C6"/>
    <w:rsid w:val="008A7152"/>
    <w:rsid w:val="00940B5F"/>
    <w:rsid w:val="00972530"/>
    <w:rsid w:val="009D0A25"/>
    <w:rsid w:val="00A0679B"/>
    <w:rsid w:val="00A50114"/>
    <w:rsid w:val="00AC2CC7"/>
    <w:rsid w:val="00AC6CDF"/>
    <w:rsid w:val="00AD498E"/>
    <w:rsid w:val="00AF038C"/>
    <w:rsid w:val="00B241CD"/>
    <w:rsid w:val="00B2510D"/>
    <w:rsid w:val="00B4516E"/>
    <w:rsid w:val="00B46A5F"/>
    <w:rsid w:val="00BA2442"/>
    <w:rsid w:val="00C45770"/>
    <w:rsid w:val="00C525C3"/>
    <w:rsid w:val="00CC29B7"/>
    <w:rsid w:val="00CD2516"/>
    <w:rsid w:val="00DB0E15"/>
    <w:rsid w:val="00DC401E"/>
    <w:rsid w:val="00DD7BA7"/>
    <w:rsid w:val="00E62BBE"/>
    <w:rsid w:val="00E82339"/>
    <w:rsid w:val="00E8431C"/>
    <w:rsid w:val="00E9044C"/>
    <w:rsid w:val="00EA5BF3"/>
    <w:rsid w:val="00EB1FA9"/>
    <w:rsid w:val="00ED6ACB"/>
    <w:rsid w:val="00EF57A9"/>
    <w:rsid w:val="00F243BE"/>
    <w:rsid w:val="00F3003D"/>
    <w:rsid w:val="00F321F3"/>
    <w:rsid w:val="00F4670B"/>
    <w:rsid w:val="00FC1E28"/>
    <w:rsid w:val="00FD3907"/>
    <w:rsid w:val="09D0518B"/>
    <w:rsid w:val="0F0A381B"/>
    <w:rsid w:val="0FF53773"/>
    <w:rsid w:val="12C94730"/>
    <w:rsid w:val="13F001AD"/>
    <w:rsid w:val="13F24102"/>
    <w:rsid w:val="2869704A"/>
    <w:rsid w:val="2EC66E71"/>
    <w:rsid w:val="30E9239E"/>
    <w:rsid w:val="34260F9E"/>
    <w:rsid w:val="35E433B0"/>
    <w:rsid w:val="36C9721A"/>
    <w:rsid w:val="43754D8C"/>
    <w:rsid w:val="520E3CCE"/>
    <w:rsid w:val="53C573A9"/>
    <w:rsid w:val="562B56CE"/>
    <w:rsid w:val="5B076B17"/>
    <w:rsid w:val="70051865"/>
    <w:rsid w:val="72EE6C9D"/>
    <w:rsid w:val="7B526CD1"/>
    <w:rsid w:val="7E602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文字"/>
    <w:basedOn w:val="3"/>
    <w:next w:val="1"/>
    <w:qFormat/>
    <w:uiPriority w:val="0"/>
    <w:pPr>
      <w:snapToGrid w:val="0"/>
      <w:spacing w:line="480" w:lineRule="exact"/>
      <w:ind w:firstLine="200" w:firstLineChars="200"/>
    </w:pPr>
    <w:rPr>
      <w:sz w:val="24"/>
      <w:szCs w:val="24"/>
    </w:rPr>
  </w:style>
  <w:style w:type="paragraph" w:customStyle="1" w:styleId="3">
    <w:name w:val="正文缩进1"/>
    <w:basedOn w:val="1"/>
    <w:qFormat/>
    <w:uiPriority w:val="0"/>
    <w:pPr>
      <w:spacing w:line="0" w:lineRule="atLeast"/>
      <w:ind w:firstLine="420"/>
    </w:pPr>
    <w:rPr>
      <w:szCs w:val="20"/>
    </w:rPr>
  </w:style>
  <w:style w:type="paragraph" w:styleId="4">
    <w:name w:val="Normal Indent"/>
    <w:qFormat/>
    <w:uiPriority w:val="0"/>
    <w:pPr>
      <w:widowControl w:val="0"/>
      <w:spacing w:line="0" w:lineRule="atLeast"/>
      <w:ind w:firstLine="420"/>
      <w:jc w:val="both"/>
    </w:pPr>
    <w:rPr>
      <w:rFonts w:ascii="Calibri" w:hAnsi="Calibri" w:eastAsia="宋体" w:cs="Times New Roman"/>
      <w:kern w:val="2"/>
      <w:sz w:val="21"/>
      <w:lang w:val="en-US" w:eastAsia="zh-CN" w:bidi="ar-SA"/>
    </w:rPr>
  </w:style>
  <w:style w:type="paragraph" w:styleId="5">
    <w:name w:val="Balloon Text"/>
    <w:basedOn w:val="1"/>
    <w:link w:val="29"/>
    <w:qFormat/>
    <w:uiPriority w:val="0"/>
    <w:rPr>
      <w:sz w:val="18"/>
      <w:szCs w:val="18"/>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10">
    <w:name w:val="默认段落字体1"/>
    <w:semiHidden/>
    <w:qFormat/>
    <w:uiPriority w:val="0"/>
  </w:style>
  <w:style w:type="table" w:customStyle="1" w:styleId="11">
    <w:name w:val="普通表格1"/>
    <w:semiHidden/>
    <w:qFormat/>
    <w:uiPriority w:val="0"/>
    <w:tblPr>
      <w:tblCellMar>
        <w:top w:w="0" w:type="dxa"/>
        <w:left w:w="0" w:type="dxa"/>
        <w:bottom w:w="0" w:type="dxa"/>
        <w:right w:w="0" w:type="dxa"/>
      </w:tblCellMar>
    </w:tblPr>
  </w:style>
  <w:style w:type="paragraph" w:customStyle="1" w:styleId="12">
    <w:name w:val="正文文本1"/>
    <w:qFormat/>
    <w:uiPriority w:val="0"/>
    <w:pPr>
      <w:widowControl w:val="0"/>
      <w:spacing w:line="460" w:lineRule="exact"/>
      <w:jc w:val="center"/>
    </w:pPr>
    <w:rPr>
      <w:rFonts w:ascii="宋体" w:hAnsi="Calibri" w:eastAsia="宋体" w:cs="Times New Roman"/>
      <w:spacing w:val="6"/>
      <w:kern w:val="2"/>
      <w:sz w:val="28"/>
      <w:lang w:val="en-US" w:eastAsia="zh-CN" w:bidi="ar-SA"/>
    </w:rPr>
  </w:style>
  <w:style w:type="paragraph" w:customStyle="1" w:styleId="13">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4">
    <w:name w:val="正文文本缩进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customStyle="1" w:styleId="15">
    <w:name w:val="批注框文本1"/>
    <w:basedOn w:val="1"/>
    <w:link w:val="16"/>
    <w:qFormat/>
    <w:uiPriority w:val="0"/>
    <w:rPr>
      <w:sz w:val="18"/>
      <w:szCs w:val="18"/>
    </w:rPr>
  </w:style>
  <w:style w:type="character" w:customStyle="1" w:styleId="16">
    <w:name w:val="批注框文本 Char"/>
    <w:link w:val="15"/>
    <w:qFormat/>
    <w:uiPriority w:val="0"/>
    <w:rPr>
      <w:rFonts w:ascii="Calibri" w:hAnsi="Calibri"/>
      <w:kern w:val="2"/>
      <w:sz w:val="18"/>
      <w:szCs w:val="18"/>
    </w:rPr>
  </w:style>
  <w:style w:type="paragraph" w:customStyle="1" w:styleId="17">
    <w:name w:val="页脚1"/>
    <w:link w:val="18"/>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character" w:customStyle="1" w:styleId="18">
    <w:name w:val="页脚 Char"/>
    <w:link w:val="17"/>
    <w:qFormat/>
    <w:uiPriority w:val="0"/>
    <w:rPr>
      <w:rFonts w:ascii="Calibri" w:hAnsi="Calibri"/>
      <w:kern w:val="2"/>
      <w:sz w:val="18"/>
      <w:szCs w:val="18"/>
      <w:lang w:bidi="ar-SA"/>
    </w:rPr>
  </w:style>
  <w:style w:type="paragraph" w:customStyle="1" w:styleId="19">
    <w:name w:val="页眉1"/>
    <w:link w:val="20"/>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character" w:customStyle="1" w:styleId="20">
    <w:name w:val="页眉 Char"/>
    <w:link w:val="19"/>
    <w:qFormat/>
    <w:uiPriority w:val="0"/>
    <w:rPr>
      <w:rFonts w:ascii="Calibri" w:hAnsi="Calibri"/>
      <w:kern w:val="2"/>
      <w:sz w:val="18"/>
      <w:szCs w:val="18"/>
      <w:lang w:bidi="ar-SA"/>
    </w:rPr>
  </w:style>
  <w:style w:type="paragraph" w:customStyle="1" w:styleId="21">
    <w:name w:val="普通(网站)1"/>
    <w:basedOn w:val="1"/>
    <w:link w:val="22"/>
    <w:qFormat/>
    <w:uiPriority w:val="0"/>
    <w:pPr>
      <w:widowControl/>
      <w:spacing w:before="100" w:beforeAutospacing="1" w:after="100" w:afterAutospacing="1"/>
      <w:jc w:val="left"/>
    </w:pPr>
    <w:rPr>
      <w:rFonts w:ascii="宋体" w:hAnsi="宋体"/>
      <w:kern w:val="0"/>
      <w:sz w:val="24"/>
    </w:rPr>
  </w:style>
  <w:style w:type="character" w:customStyle="1" w:styleId="22">
    <w:name w:val="普通(网站) Char"/>
    <w:link w:val="21"/>
    <w:qFormat/>
    <w:uiPriority w:val="0"/>
    <w:rPr>
      <w:rFonts w:ascii="宋体" w:hAnsi="宋体"/>
      <w:sz w:val="24"/>
      <w:szCs w:val="24"/>
    </w:rPr>
  </w:style>
  <w:style w:type="paragraph" w:customStyle="1" w:styleId="23">
    <w:name w:val="正文首行缩进1"/>
    <w:qFormat/>
    <w:uiPriority w:val="0"/>
    <w:pPr>
      <w:widowControl w:val="0"/>
      <w:overflowPunct w:val="0"/>
      <w:autoSpaceDE w:val="0"/>
      <w:autoSpaceDN w:val="0"/>
      <w:spacing w:line="360" w:lineRule="auto"/>
      <w:ind w:firstLine="539"/>
      <w:jc w:val="center"/>
    </w:pPr>
    <w:rPr>
      <w:rFonts w:ascii="宋体" w:hAnsi="Calibri" w:eastAsia="宋体" w:cs="Times New Roman"/>
      <w:spacing w:val="6"/>
      <w:sz w:val="28"/>
      <w:lang w:val="en-US" w:eastAsia="zh-CN" w:bidi="ar-SA"/>
    </w:rPr>
  </w:style>
  <w:style w:type="paragraph" w:customStyle="1" w:styleId="24">
    <w:name w:val="正文首行缩进 21"/>
    <w:qFormat/>
    <w:uiPriority w:val="0"/>
    <w:pPr>
      <w:widowControl w:val="0"/>
      <w:spacing w:after="120" w:line="360" w:lineRule="auto"/>
      <w:ind w:left="200" w:leftChars="200" w:firstLine="1446" w:firstLineChars="200"/>
      <w:jc w:val="both"/>
    </w:pPr>
    <w:rPr>
      <w:rFonts w:ascii="Times New Roman" w:hAnsi="Times New Roman" w:eastAsia="宋体" w:cs="Times New Roman"/>
      <w:kern w:val="2"/>
      <w:sz w:val="21"/>
      <w:szCs w:val="24"/>
      <w:lang w:val="en-US" w:eastAsia="zh-CN" w:bidi="ar-SA"/>
    </w:rPr>
  </w:style>
  <w:style w:type="character" w:customStyle="1" w:styleId="25">
    <w:name w:val="页码1"/>
    <w:qFormat/>
    <w:uiPriority w:val="0"/>
  </w:style>
  <w:style w:type="paragraph" w:customStyle="1" w:styleId="26">
    <w:name w:val="Default"/>
    <w:qFormat/>
    <w:uiPriority w:val="0"/>
    <w:pPr>
      <w:widowControl w:val="0"/>
      <w:autoSpaceDE w:val="0"/>
      <w:autoSpaceDN w:val="0"/>
      <w:ind w:firstLine="480"/>
      <w:jc w:val="both"/>
    </w:pPr>
    <w:rPr>
      <w:rFonts w:ascii="Calibri" w:hAnsi="Calibri" w:eastAsia="宋体" w:cs="Times New Roman"/>
      <w:color w:val="000000"/>
      <w:kern w:val="2"/>
      <w:sz w:val="24"/>
      <w:szCs w:val="24"/>
      <w:lang w:val="en-US" w:eastAsia="zh-CN" w:bidi="ar-SA"/>
    </w:rPr>
  </w:style>
  <w:style w:type="paragraph" w:customStyle="1" w:styleId="27">
    <w:name w:val="文本"/>
    <w:qFormat/>
    <w:uiPriority w:val="0"/>
    <w:pPr>
      <w:widowControl w:val="0"/>
      <w:autoSpaceDE w:val="0"/>
      <w:autoSpaceDN w:val="0"/>
      <w:ind w:firstLine="480"/>
      <w:jc w:val="both"/>
    </w:pPr>
    <w:rPr>
      <w:rFonts w:ascii="Calibri" w:hAnsi="Calibri" w:eastAsia="宋体" w:cs="Times New Roman"/>
      <w:kern w:val="2"/>
      <w:sz w:val="21"/>
      <w:szCs w:val="24"/>
      <w:lang w:val="zh-CN" w:eastAsia="zh-CN" w:bidi="ar-SA"/>
    </w:rPr>
  </w:style>
  <w:style w:type="paragraph" w:styleId="28">
    <w:name w:val="List Paragraph"/>
    <w:basedOn w:val="1"/>
    <w:unhideWhenUsed/>
    <w:qFormat/>
    <w:uiPriority w:val="99"/>
    <w:pPr>
      <w:ind w:firstLine="420" w:firstLineChars="200"/>
    </w:pPr>
  </w:style>
  <w:style w:type="character" w:customStyle="1" w:styleId="29">
    <w:name w:val="批注框文本 Char1"/>
    <w:basedOn w:val="9"/>
    <w:link w:val="5"/>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textRotate="1"/>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1777</Words>
  <Characters>1988</Characters>
  <Lines>14</Lines>
  <Paragraphs>4</Paragraphs>
  <TotalTime>4903</TotalTime>
  <ScaleCrop>false</ScaleCrop>
  <LinksUpToDate>false</LinksUpToDate>
  <CharactersWithSpaces>2021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2025-06-05T06:36:00Z</dcterms:created>
  <dc:creator>Tang</dc:creator>
  <cp:lastModifiedBy>小兵</cp:lastModifiedBy>
  <cp:lastPrinted>2026-03-25T03:53:27Z</cp:lastPrinted>
  <dcterms:modified xsi:type="dcterms:W3CDTF">2026-03-25T03:55:33Z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eyJoZGlkIjoiN2RmNTk2MGE5NGRiODIzNjcyMGE0MTRiNDczN2U4OTUiLCJ1c2VySWQiOiIzMjUxNjMwODgifQ==</vt:lpwstr>
  </property>
  <property fmtid="{D5CDD505-2E9C-101B-9397-08002B2CF9AE}" pid="3" name="KSOProductBuildVer">
    <vt:lpwstr>2052-12.1.0.25225</vt:lpwstr>
  </property>
  <property fmtid="{D5CDD505-2E9C-101B-9397-08002B2CF9AE}" pid="4" name="ICV">
    <vt:lpwstr>4D7891418D5540BDA475EBBD55EA5C65_13</vt:lpwstr>
  </property>
</Properties>
</file>