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1829A">
      <w:pPr>
        <w:spacing w:line="560" w:lineRule="exact"/>
        <w:ind w:left="0" w:leftChars="0" w:firstLine="0" w:firstLineChars="0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XTCR-2025-01004</w:t>
      </w:r>
    </w:p>
    <w:p w14:paraId="26F6D798">
      <w:pPr>
        <w:spacing w:line="560" w:lineRule="exact"/>
        <w:rPr>
          <w:rFonts w:ascii="宋体" w:hAnsi="宋体" w:eastAsia="黑体"/>
        </w:rPr>
      </w:pPr>
    </w:p>
    <w:p w14:paraId="67D4BA3C">
      <w:pPr>
        <w:spacing w:line="420" w:lineRule="exact"/>
        <w:rPr>
          <w:rFonts w:ascii="宋体" w:hAnsi="宋体" w:eastAsia="黑体"/>
        </w:rPr>
      </w:pPr>
    </w:p>
    <w:p w14:paraId="2EF17093">
      <w:pPr>
        <w:spacing w:line="420" w:lineRule="exact"/>
        <w:rPr>
          <w:rFonts w:ascii="宋体" w:hAnsi="宋体" w:eastAsia="黑体"/>
        </w:rPr>
      </w:pPr>
    </w:p>
    <w:p w14:paraId="59D69B39">
      <w:pPr>
        <w:spacing w:line="300" w:lineRule="exact"/>
        <w:rPr>
          <w:rFonts w:ascii="宋体" w:hAnsi="宋体"/>
        </w:rPr>
      </w:pPr>
    </w:p>
    <w:p w14:paraId="64CB29C9">
      <w:pPr>
        <w:pStyle w:val="24"/>
        <w:spacing w:before="0" w:beforeAutospacing="0" w:after="0" w:afterAutospacing="0" w:line="300" w:lineRule="exact"/>
        <w:rPr>
          <w:rFonts w:ascii="宋体" w:hAnsi="宋体"/>
        </w:rPr>
      </w:pPr>
    </w:p>
    <w:p w14:paraId="6800F787">
      <w:pPr>
        <w:pStyle w:val="24"/>
        <w:spacing w:before="0" w:beforeAutospacing="0" w:after="0" w:afterAutospacing="0" w:line="300" w:lineRule="exact"/>
        <w:rPr>
          <w:rFonts w:ascii="宋体" w:hAnsi="宋体"/>
        </w:rPr>
      </w:pPr>
    </w:p>
    <w:p w14:paraId="23341CFC">
      <w:pPr>
        <w:pStyle w:val="24"/>
        <w:overflowPunct w:val="0"/>
        <w:spacing w:before="0" w:beforeAutospacing="0" w:after="0" w:afterAutospacing="0" w:line="300" w:lineRule="exact"/>
        <w:rPr>
          <w:rFonts w:ascii="宋体" w:hAnsi="宋体" w:eastAsia="方正小标宋_GBK" w:cs="方正小标宋_GBK"/>
          <w:sz w:val="44"/>
          <w:szCs w:val="44"/>
        </w:rPr>
      </w:pPr>
    </w:p>
    <w:p w14:paraId="0D0548F7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ind w:left="0" w:right="0"/>
        <w:jc w:val="center"/>
        <w:textAlignment w:val="auto"/>
        <w:rPr>
          <w:rFonts w:hint="eastAsia" w:ascii="宋体" w:hAnsi="宋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</w:p>
    <w:p w14:paraId="2AB47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952" w:hanging="1760" w:hangingChars="400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  <w:lang w:bidi="ar-SA"/>
        </w:rPr>
      </w:pPr>
      <w:r>
        <w:rPr>
          <w:rFonts w:hint="eastAsia" w:ascii="宋体" w:hAnsi="宋体" w:eastAsia="方正小标宋_GBK" w:cs="方正小标宋_GBK"/>
          <w:sz w:val="44"/>
          <w:szCs w:val="44"/>
          <w:lang w:bidi="ar-SA"/>
        </w:rPr>
        <w:t>湘潭市人民政府办公室</w:t>
      </w:r>
    </w:p>
    <w:p w14:paraId="65BAE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方正小标宋_GBK" w:cs="Times New Roman"/>
          <w:color w:val="auto"/>
          <w:spacing w:val="-6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方正小标宋_GBK" w:cs="方正小标宋_GBK"/>
          <w:spacing w:val="-6"/>
          <w:sz w:val="44"/>
          <w:szCs w:val="44"/>
          <w:lang w:bidi="ar-SA"/>
        </w:rPr>
        <w:t>关于印发《</w:t>
      </w:r>
      <w:r>
        <w:rPr>
          <w:rFonts w:ascii="宋体" w:hAnsi="宋体" w:eastAsia="方正小标宋_GBK" w:cs="Times New Roman"/>
          <w:color w:val="auto"/>
          <w:spacing w:val="-6"/>
          <w:sz w:val="44"/>
          <w:szCs w:val="44"/>
          <w:shd w:val="clear" w:color="auto" w:fill="FFFFFF"/>
        </w:rPr>
        <w:t>湘潭市推动营商环境优化提升</w:t>
      </w:r>
    </w:p>
    <w:p w14:paraId="63355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方正小标宋_GBK" w:cs="方正小标宋_GBK"/>
          <w:sz w:val="44"/>
          <w:szCs w:val="44"/>
          <w:lang w:bidi="ar-SA"/>
        </w:rPr>
      </w:pPr>
      <w:r>
        <w:rPr>
          <w:rFonts w:hint="eastAsia" w:ascii="宋体" w:hAnsi="宋体" w:eastAsia="仿宋_GB2312" w:cs="Times New Roman"/>
          <w:color w:val="000000"/>
          <w:spacing w:val="-6"/>
          <w:kern w:val="2"/>
          <w:sz w:val="44"/>
          <w:szCs w:val="44"/>
          <w:lang w:val="en-US" w:eastAsia="zh-CN" w:bidi="ar-SA"/>
          <w14:ligatures w14:val="none"/>
        </w:rPr>
        <w:t>28</w:t>
      </w:r>
      <w:r>
        <w:rPr>
          <w:rFonts w:hint="eastAsia" w:ascii="宋体" w:hAnsi="宋体" w:eastAsia="方正小标宋_GBK" w:cs="Times New Roman"/>
          <w:color w:val="auto"/>
          <w:spacing w:val="-6"/>
          <w:sz w:val="44"/>
          <w:szCs w:val="44"/>
          <w:shd w:val="clear" w:color="auto" w:fill="FFFFFF"/>
          <w:lang w:val="en-US" w:eastAsia="zh-CN"/>
        </w:rPr>
        <w:t>条</w:t>
      </w:r>
      <w:r>
        <w:rPr>
          <w:rFonts w:hint="eastAsia" w:ascii="宋体" w:hAnsi="宋体" w:eastAsia="方正小标宋_GBK" w:cs="Times New Roman"/>
          <w:color w:val="auto"/>
          <w:sz w:val="44"/>
          <w:szCs w:val="44"/>
          <w:shd w:val="clear" w:color="auto" w:fill="FFFFFF"/>
          <w:lang w:eastAsia="zh-CN"/>
        </w:rPr>
        <w:t>措施</w:t>
      </w:r>
      <w:r>
        <w:rPr>
          <w:rFonts w:hint="eastAsia" w:ascii="宋体" w:hAnsi="宋体" w:eastAsia="方正小标宋_GBK" w:cs="方正小标宋_GBK"/>
          <w:sz w:val="44"/>
          <w:szCs w:val="44"/>
          <w:lang w:bidi="ar-SA"/>
        </w:rPr>
        <w:t>》的通知</w:t>
      </w:r>
    </w:p>
    <w:p w14:paraId="23D78D65">
      <w:pPr>
        <w:pStyle w:val="2"/>
        <w:rPr>
          <w:rFonts w:hint="eastAsia"/>
        </w:rPr>
      </w:pPr>
    </w:p>
    <w:p w14:paraId="4B92982E">
      <w:pPr>
        <w:ind w:firstLine="198" w:firstLineChars="62"/>
        <w:jc w:val="center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潭政办发〔</w:t>
      </w:r>
      <w:r>
        <w:rPr>
          <w:rFonts w:hint="eastAsia" w:ascii="宋体" w:hAnsi="宋体" w:eastAsia="仿宋_GB2312"/>
          <w:sz w:val="32"/>
          <w:szCs w:val="32"/>
        </w:rPr>
        <w:t>202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仿宋_GB2312" w:cs="仿宋_GB2312"/>
          <w:sz w:val="32"/>
          <w:szCs w:val="32"/>
        </w:rPr>
        <w:t>〕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仿宋_GB2312" w:cs="仿宋_GB2312"/>
          <w:sz w:val="32"/>
          <w:szCs w:val="32"/>
        </w:rPr>
        <w:t>号</w:t>
      </w:r>
    </w:p>
    <w:p w14:paraId="35BA228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firstLine="0" w:firstLineChars="0"/>
        <w:textAlignment w:val="auto"/>
        <w:rPr>
          <w:rFonts w:hint="eastAsia" w:ascii="宋体" w:hAnsi="宋体" w:eastAsia="仿宋_GB2312" w:cs="仿宋_GB2312"/>
          <w:sz w:val="32"/>
          <w:szCs w:val="32"/>
          <w:lang w:bidi="ar-SA"/>
        </w:rPr>
      </w:pPr>
    </w:p>
    <w:p w14:paraId="0F92319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0" w:firstLineChars="0"/>
        <w:textAlignment w:val="auto"/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</w:pP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各县市区人民政府，湘潭高新区和经开区管委会，市直机关各单位，市属和驻市各企事业单位，各人民团体：</w:t>
      </w:r>
    </w:p>
    <w:p w14:paraId="1A3EEC3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/>
        <w:textAlignment w:val="auto"/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</w:pP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《湘潭市推动营商环境优化提升</w:t>
      </w:r>
      <w:r>
        <w:rPr>
          <w:rFonts w:hint="eastAsia" w:ascii="宋体" w:hAnsi="宋体" w:eastAsia="仿宋_GB2312" w:cs="Times New Roman"/>
          <w:color w:val="000000"/>
          <w:kern w:val="2"/>
          <w:sz w:val="32"/>
          <w:szCs w:val="32"/>
          <w:lang w:val="en-US" w:eastAsia="zh-CN" w:bidi="ar-SA"/>
          <w14:ligatures w14:val="none"/>
        </w:rPr>
        <w:t>28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条措施》已经市委、市人民政府同意，现予印发，请认真组织实施。</w:t>
      </w:r>
    </w:p>
    <w:p w14:paraId="6E9299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</w:pPr>
    </w:p>
    <w:p w14:paraId="38A1BB8C">
      <w:pPr>
        <w:pStyle w:val="3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</w:pPr>
    </w:p>
    <w:p w14:paraId="566C2B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1280" w:hanging="1280" w:hangingChars="400"/>
        <w:jc w:val="center"/>
        <w:textAlignment w:val="auto"/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</w:pP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 xml:space="preserve">                         湘潭市人民政府办公室</w:t>
      </w:r>
    </w:p>
    <w:p w14:paraId="006A6E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5097" w:firstLineChars="1593"/>
        <w:textAlignment w:val="auto"/>
        <w:rPr>
          <w:rFonts w:hint="eastAsia" w:ascii="宋体" w:hAnsi="宋体" w:eastAsia="方正楷体_GBK" w:cs="仿宋_GB2312"/>
          <w:sz w:val="32"/>
          <w:szCs w:val="32"/>
          <w:lang w:bidi="ar-SA"/>
        </w:rPr>
      </w:pPr>
      <w:r>
        <w:rPr>
          <w:rFonts w:hint="eastAsia" w:ascii="宋体" w:hAnsi="宋体" w:eastAsia="仿宋_GB2312" w:cs="Times New Roman"/>
          <w:color w:val="000000"/>
          <w:kern w:val="2"/>
          <w:sz w:val="32"/>
          <w:szCs w:val="32"/>
          <w:lang w:val="en-US" w:eastAsia="zh-CN" w:bidi="ar-SA"/>
          <w14:ligatures w14:val="none"/>
        </w:rPr>
        <w:t>202</w:t>
      </w:r>
      <w:r>
        <w:rPr>
          <w:rFonts w:hint="default" w:ascii="宋体" w:hAnsi="宋体" w:eastAsia="仿宋_GB2312" w:cs="Times New Roman"/>
          <w:color w:val="000000"/>
          <w:kern w:val="2"/>
          <w:sz w:val="32"/>
          <w:szCs w:val="32"/>
          <w:lang w:val="en" w:eastAsia="zh-CN" w:bidi="ar-SA"/>
          <w14:ligatures w14:val="none"/>
        </w:rPr>
        <w:t>5</w:t>
      </w:r>
      <w:r>
        <w:rPr>
          <w:rFonts w:hint="eastAsia" w:ascii="宋体" w:hAnsi="宋体" w:eastAsia="仿宋_GB2312" w:cs="Times New Roman"/>
          <w:color w:val="000000"/>
          <w:kern w:val="2"/>
          <w:sz w:val="32"/>
          <w:szCs w:val="32"/>
          <w:lang w:val="en-US" w:eastAsia="zh-CN" w:bidi="ar-SA"/>
          <w14:ligatures w14:val="none"/>
        </w:rPr>
        <w:t>年10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月</w:t>
      </w:r>
      <w:r>
        <w:rPr>
          <w:rFonts w:hint="eastAsia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10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日</w:t>
      </w:r>
    </w:p>
    <w:p w14:paraId="4EEB7D1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textAlignment w:val="auto"/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</w:pP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（此件主动公开）</w:t>
      </w:r>
    </w:p>
    <w:p w14:paraId="61950E04">
      <w:pPr>
        <w:pStyle w:val="18"/>
        <w:rPr>
          <w:rFonts w:hint="default" w:ascii="宋体" w:hAnsi="宋体"/>
          <w:lang w:val="en-US" w:eastAsia="zh-CN"/>
        </w:rPr>
      </w:pPr>
    </w:p>
    <w:p w14:paraId="32E18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ascii="宋体" w:hAnsi="宋体" w:eastAsia="方正小标宋_GBK" w:cs="Times New Roman"/>
          <w:color w:val="auto"/>
          <w:sz w:val="44"/>
          <w:szCs w:val="44"/>
          <w:shd w:val="clear" w:color="auto" w:fill="FFFFFF"/>
        </w:rPr>
      </w:pPr>
    </w:p>
    <w:p w14:paraId="0F60E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hint="eastAsia" w:ascii="宋体" w:hAnsi="宋体" w:eastAsia="方正小标宋_GBK" w:cs="Times New Roman"/>
          <w:color w:val="auto"/>
          <w:sz w:val="44"/>
          <w:szCs w:val="44"/>
          <w:shd w:val="clear" w:color="auto" w:fill="FFFFFF"/>
          <w:lang w:eastAsia="zh-CN"/>
        </w:rPr>
      </w:pPr>
      <w:r>
        <w:rPr>
          <w:rFonts w:ascii="宋体" w:hAnsi="宋体" w:eastAsia="方正小标宋_GBK" w:cs="Times New Roman"/>
          <w:color w:val="auto"/>
          <w:sz w:val="44"/>
          <w:szCs w:val="44"/>
          <w:shd w:val="clear" w:color="auto" w:fill="FFFFFF"/>
        </w:rPr>
        <w:t>湘潭市推动营商环境优化提升</w:t>
      </w:r>
      <w:r>
        <w:rPr>
          <w:rFonts w:hint="eastAsia" w:ascii="宋体" w:hAnsi="宋体" w:eastAsia="仿宋_GB2312" w:cs="Times New Roman"/>
          <w:color w:val="000000"/>
          <w:kern w:val="2"/>
          <w:sz w:val="44"/>
          <w:szCs w:val="44"/>
          <w:lang w:val="en-US" w:eastAsia="zh-CN" w:bidi="ar-SA"/>
          <w14:ligatures w14:val="none"/>
        </w:rPr>
        <w:t>28</w:t>
      </w:r>
      <w:r>
        <w:rPr>
          <w:rFonts w:hint="eastAsia" w:ascii="宋体" w:hAnsi="宋体" w:eastAsia="方正小标宋_GBK" w:cs="Times New Roman"/>
          <w:color w:val="auto"/>
          <w:sz w:val="44"/>
          <w:szCs w:val="44"/>
          <w:shd w:val="clear" w:color="auto" w:fill="FFFFFF"/>
          <w:lang w:val="en-US" w:eastAsia="zh-CN"/>
        </w:rPr>
        <w:t>条</w:t>
      </w:r>
      <w:r>
        <w:rPr>
          <w:rFonts w:hint="eastAsia" w:ascii="宋体" w:hAnsi="宋体" w:eastAsia="方正小标宋_GBK" w:cs="Times New Roman"/>
          <w:color w:val="auto"/>
          <w:sz w:val="44"/>
          <w:szCs w:val="44"/>
          <w:shd w:val="clear" w:color="auto" w:fill="FFFFFF"/>
          <w:lang w:eastAsia="zh-CN"/>
        </w:rPr>
        <w:t>措施</w:t>
      </w:r>
    </w:p>
    <w:p w14:paraId="289D5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</w:pPr>
    </w:p>
    <w:p w14:paraId="4E7C5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为深入贯彻落实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国省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关于优化营商环境的决策部署，持续打造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三化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一流营商环境，</w:t>
      </w:r>
      <w:bookmarkStart w:id="0" w:name="OLE_LINK441"/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根据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《</w:t>
      </w:r>
      <w:bookmarkStart w:id="1" w:name="OLE_LINK440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湖南省推动</w:t>
      </w:r>
      <w:bookmarkStart w:id="2" w:name="OLE_LINK439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营商环境优化提升若干举措</w:t>
      </w:r>
      <w:bookmarkEnd w:id="1"/>
      <w:bookmarkEnd w:id="2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》</w:t>
      </w:r>
      <w:bookmarkEnd w:id="0"/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（湘政办发</w:t>
      </w:r>
      <w:r>
        <w:rPr>
          <w:rFonts w:hint="default"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〔</w:t>
      </w:r>
      <w:r>
        <w:rPr>
          <w:rFonts w:hint="eastAsia" w:ascii="宋体" w:hAnsi="宋体" w:eastAsia="仿宋_GB2312" w:cs="Times New Roman"/>
          <w:color w:val="000000"/>
          <w:kern w:val="2"/>
          <w:sz w:val="32"/>
          <w:szCs w:val="32"/>
          <w:lang w:val="en-US" w:eastAsia="zh-CN" w:bidi="ar-SA"/>
          <w14:ligatures w14:val="none"/>
        </w:rPr>
        <w:t>2025</w:t>
      </w:r>
      <w:r>
        <w:rPr>
          <w:rFonts w:hint="default"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〕</w:t>
      </w:r>
      <w:r>
        <w:rPr>
          <w:rFonts w:hint="eastAsia" w:ascii="宋体" w:hAnsi="宋体" w:eastAsia="仿宋_GB2312" w:cs="Times New Roman"/>
          <w:color w:val="000000"/>
          <w:kern w:val="2"/>
          <w:sz w:val="32"/>
          <w:szCs w:val="32"/>
          <w:lang w:val="en-US" w:eastAsia="zh-CN" w:bidi="ar-SA"/>
          <w14:ligatures w14:val="none"/>
        </w:rPr>
        <w:t>26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号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）精神，结合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实际，制定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如下措施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。</w:t>
      </w:r>
    </w:p>
    <w:p w14:paraId="36CC1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</w:pPr>
      <w:bookmarkStart w:id="3" w:name="OLE_LINK445"/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一、加强惠企政策解读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与推送。</w:t>
      </w:r>
      <w:bookmarkStart w:id="4" w:name="OLE_LINK149"/>
      <w:bookmarkStart w:id="5" w:name="OLE_LINK187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建立惠企政策集中统一发布机制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，并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将政策核心要素与企业类型进行匹配，实现精准推送。</w:t>
      </w:r>
      <w:bookmarkEnd w:id="4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惠企政策出台后3个工作日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内，要在“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湘易办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政策兑现服务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系统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、市人民政府门户网站等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发布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政策解读，公布惠企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支持对象、实施范围、额度标准等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核心要素。借助行业峰会、展会等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平台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，设置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惠企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政策咨询展位，现场为企业提供政策指导服务。针对不同产业，组织亲清政企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轻骑兵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送政策入企。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</w:rPr>
        <w:t>责任单位：市发改委、市工信局</w:t>
      </w:r>
      <w:r>
        <w:rPr>
          <w:rFonts w:hint="eastAsia" w:eastAsia="楷体_GB2312" w:cs="楷体_GB2312"/>
          <w:color w:val="auto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</w:rPr>
        <w:t>惠企政策制定单位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</w:rPr>
        <w:t>市数据局、市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优化营商环境协调事务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</w:rPr>
        <w:t>中心，各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</w:rPr>
        <w:t>县市区人民政府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eastAsia="zh-CN"/>
        </w:rPr>
        <w:t>。以下各项均需各县市区人民政府落实，不再列出</w:t>
      </w:r>
      <w:r>
        <w:rPr>
          <w:rFonts w:hint="eastAsia" w:ascii="宋体" w:hAnsi="宋体" w:eastAsia="仿宋_GB2312" w:cs="Times New Roman"/>
          <w:color w:val="auto"/>
          <w:spacing w:val="-6"/>
          <w:sz w:val="32"/>
          <w:szCs w:val="32"/>
          <w:shd w:val="clear" w:color="auto" w:fill="FFFFFF"/>
          <w:lang w:val="en" w:eastAsia="zh-CN"/>
        </w:rPr>
        <w:t>）</w:t>
      </w:r>
    </w:p>
    <w:bookmarkEnd w:id="3"/>
    <w:bookmarkEnd w:id="5"/>
    <w:p w14:paraId="5CFDB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实行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惠企政策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”评估机制。</w:t>
      </w:r>
      <w:bookmarkStart w:id="6" w:name="OLE_LINK151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制定惠企政策时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须</w:t>
      </w:r>
      <w:bookmarkStart w:id="7" w:name="OLE_LINK152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进行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bookmarkEnd w:id="7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可行性评估，并优先采用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方式执行。梳理形成全市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惠企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清单，原则上当年政策当年兑现。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建立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落实效果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评估机制，根据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评估情况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及时调整、新增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惠企政策事项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并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纳入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湘易办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免申即享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专区模块。</w:t>
      </w:r>
      <w:bookmarkEnd w:id="6"/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责任单位：惠企政策制定单位，市数据局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54182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三、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强化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惠企政策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直达快享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”和资金监管。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推进惠企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政策申领审核系统与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湘易办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政策兑现系统、财政预算管理一体化系统深度对接，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探索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惠企项目申报在政策兑现系统统一取码、一码贯通。对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涉企奖补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资金进行实时跟踪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，实现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从预算下达、审核拨付到企业接收的全过程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监管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，确保资金流向清晰、可追溯。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严肃查处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财政留存、拖延、挪用应拨付企业资金等行为。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责任单位：惠企政策制定单位，市财政局、市数据局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7AE98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四、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优化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惠企政策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申报流程。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编制申报指南，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明确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申报流程、所需材料、办理时限等信息。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按有关规定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建立申报材料容缺受理机制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，对于非关键性材料缺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失的企业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可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先行开展审核工作，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由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其在规定期限内补齐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缺失材料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。在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湘易办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政策兑现系统中，进一步优化申报进度、申报结果实时展示功能。对于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未申报成功的企业，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在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反馈原因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的同时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，提供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有针对性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的改进建议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和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指导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服务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责任单位：惠企政策制定单位，市数据局、市财政局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3E2D5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bookmarkStart w:id="8" w:name="OLE_LINK447"/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五、全面推广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机器管招投标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宋体" w:hAnsi="宋体" w:eastAsia="黑体" w:cs="Times New Roman"/>
          <w:color w:val="auto"/>
          <w:sz w:val="32"/>
          <w:szCs w:val="32"/>
          <w:shd w:val="clear" w:color="auto" w:fill="FFFFFF"/>
          <w:lang w:val="en" w:eastAsia="zh-CN"/>
        </w:rPr>
        <w:t>与保函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代替保证金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  <w:lang w:val="en"/>
        </w:rPr>
        <w:t>制度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全面</w:t>
      </w:r>
      <w:r>
        <w:rPr>
          <w:rFonts w:ascii="宋体" w:hAnsi="宋体" w:eastAsia="仿宋_GB2312" w:cs="Times New Roman"/>
          <w:color w:val="auto"/>
          <w:sz w:val="32"/>
          <w:szCs w:val="32"/>
        </w:rPr>
        <w:t>推进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全市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公共资源交易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机器管招投标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”工作，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" w:eastAsia="zh-CN"/>
        </w:rPr>
        <w:t>用好电子招标投标平台</w:t>
      </w:r>
      <w:r>
        <w:rPr>
          <w:rFonts w:ascii="宋体" w:hAnsi="宋体" w:eastAsia="仿宋_GB2312" w:cs="Times New Roman"/>
          <w:color w:val="auto"/>
          <w:sz w:val="32"/>
          <w:szCs w:val="32"/>
        </w:rPr>
        <w:t>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确保</w:t>
      </w:r>
      <w:r>
        <w:rPr>
          <w:rFonts w:ascii="宋体" w:hAnsi="宋体" w:eastAsia="仿宋_GB2312" w:cs="Times New Roman"/>
          <w:color w:val="auto"/>
          <w:sz w:val="32"/>
          <w:szCs w:val="32"/>
        </w:rPr>
        <w:t>招标项目应进尽进。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聚焦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机器管招投标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政策文件解读、系统实操等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开展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专题培训。常态化听取收集意见建议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，及时协调解决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有关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重点难点问题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。</w:t>
      </w:r>
      <w:bookmarkStart w:id="9" w:name="OLE_LINK190"/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建立电子保函验证机制，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加强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与金融机构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的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实时对接，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确保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保函的真实性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有效性。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责任单位：市发改委、市公共资源交易中心，各行业主管部门</w:t>
      </w:r>
      <w:bookmarkEnd w:id="9"/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bookmarkEnd w:id="8"/>
    <w:p w14:paraId="2DB08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kern w:val="0"/>
          <w:sz w:val="32"/>
          <w:szCs w:val="32"/>
          <w:shd w:val="clear" w:color="auto" w:fill="FFFFFF"/>
          <w:lang w:val="en" w:eastAsia="zh-CN" w:bidi="ar-SA"/>
          <w14:ligatures w14:val="none"/>
        </w:rPr>
      </w:pPr>
      <w:bookmarkStart w:id="10" w:name="OLE_LINK159"/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六、加强招投标全链条监管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建立“预防—预警—处置—惩戒”全周期闭环监管新格局。落实行政监督责任清单，消除监管盲区。通过行政监督平台，加强招标文件备案、开评标现场、投诉处理、信用评价、违法违规问题查处等全流程在线监管。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运用招标投标信用评价系统，规范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</w:rPr>
        <w:t>机器管招投标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数智赋能监督规则和预警机制，提升智慧监管水平。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责任单位：市发改委、市公共资源交易中心，各行业主管部门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bookmarkEnd w:id="10"/>
    <w:p w14:paraId="6C4AC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highlight w:val="none"/>
          <w:u w:val="none"/>
          <w:shd w:val="clear" w:color="auto" w:fill="FFFFFF"/>
          <w:lang w:val="en"/>
        </w:rPr>
        <w:t>七</w:t>
      </w:r>
      <w:r>
        <w:rPr>
          <w:rFonts w:ascii="宋体" w:hAnsi="宋体" w:eastAsia="黑体" w:cs="Times New Roman"/>
          <w:color w:val="auto"/>
          <w:sz w:val="32"/>
          <w:szCs w:val="32"/>
          <w:highlight w:val="none"/>
          <w:u w:val="none"/>
          <w:shd w:val="clear" w:color="auto" w:fill="FFFFFF"/>
        </w:rPr>
        <w:t>、</w:t>
      </w:r>
      <w:r>
        <w:rPr>
          <w:rFonts w:hint="eastAsia" w:eastAsia="黑体" w:cs="Times New Roman"/>
          <w:color w:val="auto"/>
          <w:sz w:val="32"/>
          <w:szCs w:val="32"/>
          <w:highlight w:val="none"/>
          <w:u w:val="none"/>
          <w:shd w:val="clear" w:color="auto" w:fill="FFFFFF"/>
          <w:lang w:eastAsia="zh-CN"/>
        </w:rPr>
        <w:t>推动</w:t>
      </w:r>
      <w:r>
        <w:rPr>
          <w:rFonts w:hint="eastAsia" w:ascii="宋体" w:hAnsi="宋体" w:eastAsia="黑体" w:cs="Times New Roman"/>
          <w:color w:val="auto"/>
          <w:sz w:val="32"/>
          <w:szCs w:val="32"/>
          <w:highlight w:val="none"/>
          <w:u w:val="none"/>
          <w:shd w:val="clear" w:color="auto" w:fill="FFFFFF"/>
          <w:lang w:eastAsia="zh-CN"/>
        </w:rPr>
        <w:t>交通物流降本提质增效。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积极推进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湘潭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—</w:t>
      </w:r>
      <w:r>
        <w:rPr>
          <w:rFonts w:ascii="宋体" w:hAnsi="宋体" w:eastAsia="仿宋_GB2312" w:cs="Times New Roman"/>
          <w:color w:val="auto"/>
          <w:sz w:val="32"/>
          <w:szCs w:val="32"/>
        </w:rPr>
        <w:t>东盟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铁海联运班列稳定运行，逐步完善国际班列铁路物流网络。</w:t>
      </w:r>
      <w:r>
        <w:rPr>
          <w:rFonts w:ascii="宋体" w:hAnsi="宋体" w:eastAsia="仿宋_GB2312" w:cs="Times New Roman"/>
          <w:color w:val="auto"/>
          <w:sz w:val="32"/>
          <w:szCs w:val="32"/>
          <w:lang w:val="en"/>
        </w:rPr>
        <w:t>落实</w:t>
      </w:r>
      <w:r>
        <w:rPr>
          <w:rFonts w:ascii="宋体" w:hAnsi="宋体" w:eastAsia="仿宋_GB2312" w:cs="Times New Roman"/>
          <w:color w:val="auto"/>
          <w:sz w:val="32"/>
          <w:szCs w:val="32"/>
        </w:rPr>
        <w:t>报废老旧柴油货车和新购新能源营运货车奖补政策，加快老旧营运柴油货车淘汰更新，鼓励推广使用新能源营运货车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着力推进长株潭生产服务型物流枢纽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" w:eastAsia="zh-CN"/>
        </w:rPr>
        <w:t>（</w:t>
      </w:r>
      <w:r>
        <w:rPr>
          <w:rFonts w:ascii="宋体" w:hAnsi="宋体" w:eastAsia="仿宋_GB2312" w:cs="Times New Roman"/>
          <w:color w:val="auto"/>
          <w:sz w:val="32"/>
          <w:szCs w:val="32"/>
        </w:rPr>
        <w:t>湘潭九华</w:t>
      </w:r>
      <w:r>
        <w:rPr>
          <w:rFonts w:hint="eastAsia" w:ascii="宋体" w:hAnsi="宋体" w:eastAsia="仿宋_GB2312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）</w:t>
      </w:r>
      <w:r>
        <w:rPr>
          <w:rFonts w:ascii="宋体" w:hAnsi="宋体" w:eastAsia="仿宋_GB2312" w:cs="Times New Roman"/>
          <w:color w:val="auto"/>
          <w:sz w:val="32"/>
          <w:szCs w:val="32"/>
        </w:rPr>
        <w:t>及铁路专用线、湘潭港铁牛埠港区三期码头工程及疏港公路等基础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设施</w:t>
      </w:r>
      <w:r>
        <w:rPr>
          <w:rFonts w:ascii="宋体" w:hAnsi="宋体" w:eastAsia="仿宋_GB2312" w:cs="Times New Roman"/>
          <w:color w:val="auto"/>
          <w:sz w:val="32"/>
          <w:szCs w:val="32"/>
        </w:rPr>
        <w:t>项目建设，完善综合货运枢纽和集疏运体系。推进首批交通强国邮政专项试点创建，加快</w:t>
      </w:r>
      <w:r>
        <w:rPr>
          <w:rFonts w:ascii="宋体" w:hAnsi="宋体" w:eastAsia="仿宋_GB2312" w:cs="Times New Roman"/>
          <w:color w:val="auto"/>
          <w:sz w:val="32"/>
          <w:szCs w:val="32"/>
          <w:lang w:val="en"/>
        </w:rPr>
        <w:t>推动</w:t>
      </w:r>
      <w:r>
        <w:rPr>
          <w:rFonts w:ascii="宋体" w:hAnsi="宋体" w:eastAsia="仿宋_GB2312" w:cs="Times New Roman"/>
          <w:color w:val="auto"/>
          <w:sz w:val="32"/>
          <w:szCs w:val="32"/>
        </w:rPr>
        <w:t>农村客货邮融合发展，促进交通运输、邮政快递、商贸物流等资源高效整合，打通农产品进城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最初一公里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和工业品下乡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最后一公里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责任单位：市交通运输局、市发改委、市财政局、市生态环境局、市商务局、市自然资源规划局、市公安局交警支队、市邮政管理局、市优化人居环境事务中心）</w:t>
      </w:r>
    </w:p>
    <w:p w14:paraId="595E2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八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、降低用地成本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深化低效用地再开发试点改革，实现自然资源组合供应项目上市交易；完善国土空间规划“一张图”及“三线”管控；加强测绘地理信息数据管理及应用，推动二维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三维数据成果在城市规划、应急救灾、自然资源管理等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领域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的应用。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落实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2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+</w:t>
      </w:r>
      <w:r>
        <w:rPr>
          <w:rFonts w:ascii="宋体" w:hAnsi="宋体" w:eastAsia="仿宋_GB2312" w:cs="Times New Roman"/>
          <w:color w:val="auto"/>
          <w:sz w:val="32"/>
          <w:szCs w:val="32"/>
        </w:rPr>
        <w:t>4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+</w:t>
      </w:r>
      <w:r>
        <w:rPr>
          <w:rFonts w:ascii="宋体" w:hAnsi="宋体" w:eastAsia="仿宋_GB2312" w:cs="Times New Roman"/>
          <w:color w:val="auto"/>
          <w:sz w:val="32"/>
          <w:szCs w:val="32"/>
        </w:rPr>
        <w:t>N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重大项目用地要素保障会商调度机制，做好国省市重点项目用地保障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ascii="宋体" w:hAnsi="宋体" w:eastAsia="仿宋_GB2312" w:cs="Times New Roman"/>
          <w:color w:val="auto"/>
          <w:sz w:val="32"/>
          <w:szCs w:val="32"/>
        </w:rPr>
        <w:t>实现不动产登记高频业务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全省通办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，扩大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跨省通办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”业务范围</w:t>
      </w:r>
      <w:r>
        <w:rPr>
          <w:rFonts w:ascii="宋体" w:hAnsi="宋体" w:eastAsia="仿宋_GB2312" w:cs="Times New Roman"/>
          <w:color w:val="auto"/>
          <w:sz w:val="32"/>
          <w:szCs w:val="32"/>
        </w:rPr>
        <w:t>，做好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保交楼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保交房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权证办理。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责任单位：市自然资源规划局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29BA99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 xml:space="preserve">    九、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提高融资效能</w:t>
      </w:r>
      <w:bookmarkStart w:id="11" w:name="OLE_LINK167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积极搭建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政银企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长效对接机制，根据银行和企业需求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举办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政银企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精准对接活动，建立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政银企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对接项目跟踪服务机制，确保资金及时到位。开展科技型企业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创新积分制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信息征集，推动知识价值贷款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提质扩面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，引导全市金融机构加大投放知识价值信用贷款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和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商业价值贷款力度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，依托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省市融资信用服务平台融资促进功能，发挥数据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增信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" w:eastAsia="zh-CN"/>
        </w:rPr>
        <w:t>支撑作用。</w:t>
      </w:r>
      <w:r>
        <w:rPr>
          <w:rFonts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  <w:t>发挥政府性融资担保增信主渠道作用，扩大担保覆盖范围和担保放大倍数，推动降低综合担保费率和反担保门槛。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责任单位：市政府办、市科技局、市工信局、市发改委、市财政局、人民银行湘潭市分行、湘潭金融监管分局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bookmarkEnd w:id="11"/>
    <w:p w14:paraId="2619A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十、降低用能成本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bookmarkStart w:id="12" w:name="OLE_LINK168"/>
      <w:bookmarkStart w:id="13" w:name="OLE_LINK171"/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加快提升工业、交通、建筑等领域终端能源消费电气化水平，大力支持企业实施“气改电”“煤改电”“油改电”，促进能源消费结构优化升级。推动分布式新能源就近消纳。支持符合条件的项目通过绿电直连降低用电成本。强化转供电环节价格监管。严格落实天然气上下游价格联动机制，及时合理疏导价格变动，保障天然气市场平稳供应和产业链健康运行。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市发改委、市城管执法局、市市场监管局、国网湘潭供电公司、湘潭新奥燃气有限公司、湘乡光大燃气有限公司、湘潭</w:t>
      </w:r>
      <w:r>
        <w:rPr>
          <w:rFonts w:hint="eastAsia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县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中石油昆仑燃气有限公司、</w:t>
      </w:r>
      <w:r>
        <w:rPr>
          <w:rFonts w:hint="eastAsia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韶山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中石油昆仑燃气有限公司</w:t>
      </w:r>
      <w:r>
        <w:rPr>
          <w:rFonts w:hint="eastAsia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、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湘潭中燃江南燃气发展有限公司</w:t>
      </w:r>
      <w:r>
        <w:rPr>
          <w:rFonts w:hint="eastAsia" w:ascii="宋体" w:hAnsi="宋体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</w:p>
    <w:bookmarkEnd w:id="12"/>
    <w:bookmarkEnd w:id="13"/>
    <w:p w14:paraId="07F25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kern w:val="0"/>
          <w:sz w:val="32"/>
          <w:szCs w:val="32"/>
          <w:shd w:val="clear" w:color="auto" w:fill="FFFFFF"/>
          <w:lang w:val="en" w:eastAsia="zh-CN" w:bidi="ar-SA"/>
          <w14:ligatures w14:val="none"/>
        </w:rPr>
      </w:pPr>
      <w:bookmarkStart w:id="14" w:name="OLE_LINK170"/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一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强化知识产权保护和科技成果运用。</w:t>
      </w:r>
      <w:r>
        <w:rPr>
          <w:rFonts w:hint="eastAsia" w:ascii="宋体" w:hAnsi="宋体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完善重点产业、重点项目知识产权“全链条”司法保护机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  <w:t>制，深化知识产权审判“三合一”改革，依法落实法定赔偿、惩罚性赔偿制度，提高知识产权检察综合履职适用率。</w:t>
      </w:r>
      <w:r>
        <w:rPr>
          <w:rFonts w:ascii="宋体" w:hAnsi="宋体" w:eastAsia="仿宋_GB2312"/>
          <w:b w:val="0"/>
          <w:bCs w:val="0"/>
          <w:color w:val="auto"/>
          <w:kern w:val="2"/>
          <w:sz w:val="32"/>
          <w:szCs w:val="32"/>
        </w:rPr>
        <w:t>严厉</w:t>
      </w:r>
      <w:r>
        <w:rPr>
          <w:rFonts w:hint="eastAsia" w:ascii="宋体" w:hAnsi="宋体" w:eastAsia="仿宋_GB2312"/>
          <w:b w:val="0"/>
          <w:bCs w:val="0"/>
          <w:color w:val="auto"/>
          <w:kern w:val="2"/>
          <w:sz w:val="32"/>
          <w:szCs w:val="32"/>
          <w:lang w:eastAsia="zh-CN"/>
        </w:rPr>
        <w:t>打击</w:t>
      </w:r>
      <w:r>
        <w:rPr>
          <w:rFonts w:ascii="宋体" w:hAnsi="宋体" w:eastAsia="仿宋_GB2312"/>
          <w:b w:val="0"/>
          <w:bCs w:val="0"/>
          <w:color w:val="auto"/>
          <w:sz w:val="32"/>
          <w:szCs w:val="32"/>
        </w:rPr>
        <w:t>侵犯知识产权</w:t>
      </w:r>
      <w:r>
        <w:rPr>
          <w:rFonts w:hint="eastAsia" w:ascii="宋体" w:hAnsi="宋体" w:eastAsia="仿宋_GB2312"/>
          <w:b w:val="0"/>
          <w:bCs w:val="0"/>
          <w:color w:val="auto"/>
          <w:sz w:val="32"/>
          <w:szCs w:val="32"/>
          <w:lang w:eastAsia="zh-CN"/>
        </w:rPr>
        <w:t>违法</w:t>
      </w:r>
      <w:r>
        <w:rPr>
          <w:rFonts w:ascii="宋体" w:hAnsi="宋体" w:eastAsia="仿宋_GB2312"/>
          <w:b w:val="0"/>
          <w:bCs w:val="0"/>
          <w:color w:val="auto"/>
          <w:sz w:val="32"/>
          <w:szCs w:val="32"/>
        </w:rPr>
        <w:t>犯罪活动</w:t>
      </w:r>
      <w:r>
        <w:rPr>
          <w:rFonts w:hint="eastAsia" w:ascii="宋体" w:hAnsi="宋体" w:eastAsia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eastAsia="仿宋_GB2312"/>
          <w:b w:val="0"/>
          <w:bCs w:val="0"/>
          <w:color w:val="auto"/>
          <w:sz w:val="32"/>
          <w:szCs w:val="32"/>
          <w:lang w:eastAsia="zh-CN"/>
        </w:rPr>
        <w:t>强化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关键前沿领域科技创新和商业秘密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eastAsia="zh-CN"/>
        </w:rPr>
        <w:t>的司法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保护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  <w:t>完善地理标志产品等地方特色品牌保护机制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  <w:t>加大对乡村特色产业的保护力度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在企业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先用后付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、技术经理人队伍建设等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方面</w:t>
      </w:r>
      <w:r>
        <w:rPr>
          <w:rFonts w:ascii="宋体" w:hAnsi="宋体" w:eastAsia="仿宋_GB2312" w:cs="Times New Roman"/>
          <w:color w:val="auto"/>
          <w:sz w:val="32"/>
          <w:szCs w:val="32"/>
        </w:rPr>
        <w:t>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定</w:t>
      </w:r>
      <w:r>
        <w:rPr>
          <w:rFonts w:ascii="宋体" w:hAnsi="宋体" w:eastAsia="仿宋_GB2312" w:cs="Times New Roman"/>
          <w:color w:val="auto"/>
          <w:sz w:val="32"/>
          <w:szCs w:val="32"/>
        </w:rPr>
        <w:t>科技创新政策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推动高校科技成果在我市落地转化。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楷体_GB2312" w:cs="楷体_GB2312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责任单位：市市场监管局、市科技局、市公安局、市司法局</w:t>
      </w:r>
      <w:r>
        <w:rPr>
          <w:rFonts w:hint="eastAsia" w:eastAsia="楷体_GB2312" w:cs="楷体_GB2312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、</w:t>
      </w:r>
      <w:r>
        <w:rPr>
          <w:rFonts w:hint="eastAsia" w:ascii="宋体" w:hAnsi="宋体" w:eastAsia="楷体_GB2312" w:cs="楷体_GB2312"/>
          <w:color w:val="auto"/>
          <w:kern w:val="0"/>
          <w:sz w:val="32"/>
          <w:szCs w:val="32"/>
          <w:shd w:val="clear" w:color="auto" w:fill="FFFFFF"/>
          <w:lang w:val="en-US" w:eastAsia="zh-CN" w:bidi="ar-SA"/>
          <w14:ligatures w14:val="none"/>
        </w:rPr>
        <w:t>市中级人民法院、市人民检察院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）</w:t>
      </w:r>
    </w:p>
    <w:bookmarkEnd w:id="14"/>
    <w:p w14:paraId="1BA9E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二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提升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大学生创业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服务质效。</w:t>
      </w:r>
      <w:bookmarkStart w:id="15" w:name="OLE_LINK118"/>
      <w:r>
        <w:rPr>
          <w:rFonts w:ascii="宋体" w:hAnsi="宋体" w:eastAsia="仿宋_GB2312" w:cs="Times New Roman"/>
          <w:color w:val="auto"/>
          <w:sz w:val="32"/>
          <w:szCs w:val="32"/>
        </w:rPr>
        <w:t>支持在潭高校依托优势专业建设特色创业孵化基地，低成本开放高校和企业实验实训设备设施</w:t>
      </w:r>
      <w:bookmarkEnd w:id="15"/>
      <w:bookmarkStart w:id="16" w:name="OLE_LINK1"/>
      <w:bookmarkStart w:id="17" w:name="OLE_LINK2"/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给予每个孵化基地最高不超过100万元的创业服务补助。挂牌认定一批市级大学生创业实训基地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作为大学生创业实训重要载体，构建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企业主导、项目嵌入、双向赋能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的产教融合新模式。</w:t>
      </w:r>
      <w:bookmarkEnd w:id="16"/>
      <w:bookmarkEnd w:id="17"/>
      <w:r>
        <w:rPr>
          <w:rFonts w:ascii="宋体" w:hAnsi="宋体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设立支持大学生创业投资基金。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毕业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5年内的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大学生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个人在潭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自主创业最高可申请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万元创业担保贷款，合伙创业最高可申请400万元创业担保贷款，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给予实际利率50%的贴息，其中</w:t>
      </w: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eastAsia="zh-CN"/>
        </w:rPr>
        <w:t>县级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财政承担22.5%。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（责任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单位：</w:t>
      </w:r>
      <w:r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市人力资源社会保障局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、市财政局、市教育局、市工信局、市科技局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0A009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三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、完善人才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住房保障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体系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通过新建、收购、改建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等方式</w:t>
      </w:r>
      <w:r>
        <w:rPr>
          <w:rFonts w:ascii="宋体" w:hAnsi="宋体" w:eastAsia="仿宋_GB2312" w:cs="Times New Roman"/>
          <w:color w:val="auto"/>
          <w:sz w:val="32"/>
          <w:szCs w:val="32"/>
        </w:rPr>
        <w:t>，将符合条件的人才住房筹集纳入保障性租赁住房建设计划，积极争取国省有关政策资金支持，有效解决在潭就业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创业</w:t>
      </w:r>
      <w:r>
        <w:rPr>
          <w:rFonts w:ascii="宋体" w:hAnsi="宋体" w:eastAsia="仿宋_GB2312" w:cs="Times New Roman"/>
          <w:color w:val="auto"/>
          <w:sz w:val="32"/>
          <w:szCs w:val="32"/>
        </w:rPr>
        <w:t>人才等群体的阶段性住房困难。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[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责任单位：市住房城乡建设局、市委组织部（市人才发展服务中心）、市自然资源规划局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val="en-US" w:eastAsia="zh-CN"/>
        </w:rPr>
        <w:t>]</w:t>
      </w:r>
    </w:p>
    <w:p w14:paraId="76970C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outlineLvl w:val="0"/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</w:pPr>
      <w:bookmarkStart w:id="18" w:name="OLE_LINK4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 xml:space="preserve">    十四、推行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</w:rPr>
        <w:t>“扫码入企”全流程监督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bookmarkEnd w:id="18"/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全面推进湖南省行政执法和行政执法监督一体化平台运用，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实行“联码督查”，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规范使用检查方案、检查通知书、现场检查记录等涉企行政检查格式文书，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从计划备案、检查赋码、亮码访企、结果反馈、企业评价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流程，强化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对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“扫码入企”制度落实情况的监督。分批次制定跨部门联合检查事项目录，深化“综合查一次”，优先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开展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“双随机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一公开”抽查</w:t>
      </w:r>
      <w:r>
        <w:rPr>
          <w:rFonts w:hint="eastAsia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（责任单位:市司法局、市市场监管局、市优化营商环境协调事务中心，各行政执法部门）</w:t>
      </w:r>
    </w:p>
    <w:p w14:paraId="65F415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十五、减少涉企行政检查频率。</w:t>
      </w:r>
      <w:bookmarkStart w:id="19" w:name="OLE_LINK5"/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逐步提高非现场检查占比，将数据比对、大数据筛查、远程检查、网络巡查、企业自主提交材料等非现场监管方式纳入涉企行政检查计划及方案，进一步减少入企检查频次。严格限定对同一经营主体的日常行政检查频次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一年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超过两次的，应当报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本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</w:rPr>
        <w:t>级人民政府同意。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根据涉企行政检查结果，逐步建立信用分级分类监管模式，对不直接涉及公共安全和人民群众生命健康的行业领域，推行“守信少检”。（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责任单位:市司法局、市发改委，各行政执法部门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）</w:t>
      </w:r>
    </w:p>
    <w:bookmarkEnd w:id="19"/>
    <w:p w14:paraId="03AC2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both"/>
        <w:textAlignment w:val="auto"/>
        <w:outlineLvl w:val="0"/>
        <w:rPr>
          <w:rFonts w:hint="default" w:ascii="宋体" w:hAnsi="宋体" w:eastAsia="仿宋_GB2312" w:cs="Times New Roman"/>
          <w:color w:val="auto"/>
          <w:sz w:val="32"/>
          <w:szCs w:val="32"/>
          <w:shd w:val="clear" w:color="auto" w:fill="FFFFFF"/>
          <w:lang w:val="en"/>
        </w:rPr>
      </w:pPr>
      <w:bookmarkStart w:id="20" w:name="OLE_LINK446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 xml:space="preserve">    十六、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推行包容审慎监管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对涉企行政检查中发现的问题,行政执法部门必须按规定于检查结束后</w:t>
      </w:r>
      <w:r>
        <w:rPr>
          <w:rFonts w:hint="default" w:ascii="宋体" w:hAnsi="宋体" w:eastAsia="仿宋_GB2312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5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个工作日内向企业反馈检查结果和整改要求，明确法律、法规、规章具体依据条款和整改建议。提出整改要求时应当统筹审批与监管，防止标准前后不一。探索建立“沙盒监管”规则，依申请将新技术、新产业、新业态企业纳入“沙盒监管”，明确安全底线、监管触发机制、监管方式等内容，对入盒企业采取柔性监管措施，允许在法律法规尚未明确的新兴产业领域开展商业流程、服务模</w:t>
      </w:r>
      <w:r>
        <w:rPr>
          <w:rFonts w:hint="eastAsia" w:ascii="宋体" w:hAnsi="宋体" w:eastAsia="仿宋_GB2312" w:cs="Times New Roman"/>
          <w:color w:val="auto"/>
          <w:spacing w:val="-6"/>
          <w:sz w:val="32"/>
          <w:szCs w:val="32"/>
          <w:shd w:val="clear" w:color="auto" w:fill="FFFFFF"/>
          <w:lang w:eastAsia="zh-CN"/>
        </w:rPr>
        <w:t>式或产品形态创新。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eastAsia="zh-CN"/>
        </w:rPr>
        <w:t>（责任单位:市司法局，各行政执法部门）</w:t>
      </w:r>
    </w:p>
    <w:p w14:paraId="1A4FE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七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、规范罚没行为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全面适用行政处罚裁量权基准，依托全省行政执法和行政执法监督一体化平台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公示行政处罚裁量权基准文件和免罚事项清单，逐步完善数据库、案例库，压缩自由裁量空间，严格监督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过罚失当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行为。严格查处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逐利执法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行为，严禁下达罚没收入任务指标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严禁变相下达行政处罚案件数等任务指标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不得将经费预算安排与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该</w:t>
      </w:r>
      <w:r>
        <w:rPr>
          <w:rFonts w:ascii="宋体" w:hAnsi="宋体" w:eastAsia="仿宋_GB2312" w:cs="Times New Roman"/>
          <w:color w:val="auto"/>
          <w:sz w:val="32"/>
          <w:szCs w:val="32"/>
        </w:rPr>
        <w:t>单位罚没收入挂钩。强化对罚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没</w:t>
      </w:r>
      <w:r>
        <w:rPr>
          <w:rFonts w:ascii="宋体" w:hAnsi="宋体" w:eastAsia="仿宋_GB2312" w:cs="Times New Roman"/>
          <w:color w:val="auto"/>
          <w:sz w:val="32"/>
          <w:szCs w:val="32"/>
        </w:rPr>
        <w:t>收入异常变化的监督，必要时开展实地核查。探索开展涉企行政处罚案件经济影响评估工作，依法降低行政执法对企业的负面影响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。（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责任单位:市司法局、市财政局，各行政执法部门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）</w:t>
      </w:r>
    </w:p>
    <w:p w14:paraId="6D06C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十八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、推进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高效办成一件事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”。</w:t>
      </w:r>
      <w:r>
        <w:rPr>
          <w:rFonts w:ascii="宋体" w:hAnsi="宋体" w:eastAsia="仿宋_GB2312" w:cs="仿宋_GB2312"/>
          <w:color w:val="auto"/>
          <w:sz w:val="32"/>
          <w:szCs w:val="32"/>
          <w:lang w:bidi="ar"/>
        </w:rPr>
        <w:t>落实国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bidi="ar"/>
        </w:rPr>
        <w:t>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“高效办成一件事”重点事项，务实</w:t>
      </w: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shd w:val="clear" w:color="auto" w:fill="FFFFFF"/>
          <w:lang w:val="en" w:eastAsia="zh-CN"/>
        </w:rPr>
        <w:t>拓展本地特色事项，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夯实“专区、专窗、专人、专评、专督</w:t>
      </w:r>
      <w:r>
        <w:rPr>
          <w:rFonts w:ascii="宋体" w:hAnsi="宋体" w:eastAsia="仿宋_GB2312" w:cs="仿宋_GB2312"/>
          <w:color w:val="auto"/>
          <w:sz w:val="32"/>
          <w:szCs w:val="32"/>
          <w:lang w:bidi="ar"/>
        </w:rPr>
        <w:t>”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bidi="ar"/>
        </w:rPr>
        <w:t>工作模式，实现线上线下有效协同</w:t>
      </w:r>
      <w:r>
        <w:rPr>
          <w:rFonts w:ascii="宋体" w:hAnsi="宋体" w:eastAsia="仿宋_GB2312" w:cs="Times New Roman"/>
          <w:color w:val="auto"/>
          <w:kern w:val="2"/>
          <w:sz w:val="32"/>
          <w:szCs w:val="32"/>
          <w:lang w:bidi="ar"/>
        </w:rPr>
        <w:t>。</w:t>
      </w:r>
      <w:r>
        <w:rPr>
          <w:rFonts w:hint="eastAsia" w:ascii="宋体" w:hAnsi="宋体" w:eastAsia="仿宋_GB2312"/>
          <w:color w:val="auto"/>
          <w:sz w:val="32"/>
          <w:szCs w:val="32"/>
        </w:rPr>
        <w:t>设置企业群众问题反馈收集渠道</w:t>
      </w:r>
      <w:r>
        <w:rPr>
          <w:rFonts w:ascii="宋体" w:hAnsi="宋体" w:eastAsia="仿宋_GB2312" w:cs="仿宋_GB2312"/>
          <w:color w:val="auto"/>
          <w:sz w:val="32"/>
          <w:szCs w:val="32"/>
          <w:lang w:bidi="ar"/>
        </w:rPr>
        <w:t>，</w:t>
      </w:r>
      <w:r>
        <w:rPr>
          <w:rFonts w:hint="eastAsia" w:ascii="宋体" w:hAnsi="宋体" w:eastAsia="仿宋_GB2312"/>
          <w:color w:val="auto"/>
          <w:sz w:val="32"/>
          <w:szCs w:val="32"/>
        </w:rPr>
        <w:t>推动问题靶向攻坚。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责任单位：市直相关单位，市数据局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）</w:t>
      </w:r>
    </w:p>
    <w:p w14:paraId="4D37F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bookmarkStart w:id="21" w:name="OLE_LINK12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十九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bookmarkStart w:id="22" w:name="OLE_LINK318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调整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>优化</w:t>
      </w:r>
      <w:bookmarkEnd w:id="22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>涉民营企业政策。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在全市范围内开展民营企业深度走访调研，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梳理涉民营企业惠企政策落实中的重点难点问题，逐步优化调整涉民营企业惠企政策。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举办工商联大讲堂，发挥民营经济统战工作机制协调作用，细化《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中华人民共和国</w:t>
      </w:r>
      <w:r>
        <w:rPr>
          <w:rFonts w:ascii="宋体" w:hAnsi="宋体" w:eastAsia="仿宋_GB2312" w:cs="Times New Roman"/>
          <w:color w:val="auto"/>
          <w:sz w:val="32"/>
          <w:szCs w:val="32"/>
        </w:rPr>
        <w:t>民营经济促进法》落实举措。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责任单位：市工商联，惠企政策制定单位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bookmarkEnd w:id="21"/>
    <w:p w14:paraId="1022F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二十、</w:t>
      </w:r>
      <w:bookmarkStart w:id="23" w:name="OLE_LINK13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严格规范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中介服务</w:t>
      </w:r>
      <w:bookmarkEnd w:id="23"/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落实省级网上中介服务超市管理运行办法，</w:t>
      </w:r>
      <w:r>
        <w:rPr>
          <w:rFonts w:ascii="宋体" w:hAnsi="宋体" w:eastAsia="仿宋_GB2312" w:cs="Times New Roman"/>
          <w:color w:val="auto"/>
          <w:sz w:val="32"/>
          <w:szCs w:val="32"/>
        </w:rPr>
        <w:t>提高中介服务采购交易效率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对政府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购买项</w:t>
      </w:r>
      <w:r>
        <w:rPr>
          <w:rFonts w:ascii="宋体" w:hAnsi="宋体" w:eastAsia="仿宋_GB2312" w:cs="Times New Roman"/>
          <w:color w:val="auto"/>
          <w:sz w:val="32"/>
          <w:szCs w:val="32"/>
        </w:rPr>
        <w:t>目中介服务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坚持“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谁委托、谁付费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”原则</w:t>
      </w:r>
      <w:r>
        <w:rPr>
          <w:rFonts w:ascii="宋体" w:hAnsi="宋体" w:eastAsia="仿宋_GB2312" w:cs="Times New Roman"/>
          <w:color w:val="auto"/>
          <w:sz w:val="32"/>
          <w:szCs w:val="32"/>
        </w:rPr>
        <w:t>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不得</w:t>
      </w:r>
      <w:r>
        <w:rPr>
          <w:rFonts w:ascii="宋体" w:hAnsi="宋体" w:eastAsia="仿宋_GB2312" w:cs="Times New Roman"/>
          <w:color w:val="auto"/>
          <w:sz w:val="32"/>
          <w:szCs w:val="32"/>
        </w:rPr>
        <w:t>向企业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收取任何</w:t>
      </w:r>
      <w:r>
        <w:rPr>
          <w:rFonts w:ascii="宋体" w:hAnsi="宋体" w:eastAsia="仿宋_GB2312" w:cs="Times New Roman"/>
          <w:color w:val="auto"/>
          <w:sz w:val="32"/>
          <w:szCs w:val="32"/>
        </w:rPr>
        <w:t>费用。</w:t>
      </w:r>
      <w:bookmarkStart w:id="24" w:name="OLE_LINK180"/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全面建立中介机构服务质量评价机制，定期对委托或使用的中介服务成果开展质量评价，评价结果每半年向社会公布。</w:t>
      </w:r>
      <w:bookmarkEnd w:id="24"/>
      <w:r>
        <w:rPr>
          <w:rFonts w:hint="eastAsia" w:ascii="宋体" w:hAnsi="宋体" w:eastAsia="仿宋_GB2312" w:cs="Times New Roman"/>
          <w:color w:val="auto"/>
          <w:sz w:val="32"/>
          <w:szCs w:val="32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责任单位：市直相关单位，市数据局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" w:eastAsia="zh-CN"/>
        </w:rPr>
        <w:t>）</w:t>
      </w:r>
    </w:p>
    <w:p w14:paraId="279F1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一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、提升诉求办理质效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bookmarkStart w:id="25" w:name="OLE_LINK182"/>
      <w:r>
        <w:rPr>
          <w:rFonts w:hint="eastAsia" w:ascii="宋体" w:hAnsi="宋体" w:eastAsia="仿宋_GB2312" w:cs="Times New Roman"/>
          <w:color w:val="auto"/>
          <w:sz w:val="32"/>
          <w:szCs w:val="32"/>
        </w:rPr>
        <w:t>依托“亲商管家”服务平台，</w:t>
      </w:r>
      <w:r>
        <w:rPr>
          <w:rFonts w:hint="eastAsia" w:ascii="宋体" w:hAnsi="宋体" w:eastAsia="仿宋_GB2312" w:cs="Times New Roman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打造“线上</w:t>
      </w:r>
      <w:r>
        <w:rPr>
          <w:rFonts w:hint="eastAsia" w:ascii="宋体" w:hAnsi="宋体" w:eastAsia="仿宋_GB2312" w:cs="仿宋_GB2312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+</w:t>
      </w:r>
      <w:r>
        <w:rPr>
          <w:rFonts w:hint="eastAsia" w:ascii="宋体" w:hAnsi="宋体" w:eastAsia="仿宋_GB2312" w:cs="Times New Roman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线下”立体服务企业模式，按照“</w:t>
      </w:r>
      <w:r>
        <w:rPr>
          <w:rFonts w:hint="default" w:ascii="宋体" w:hAnsi="宋体" w:eastAsia="仿宋_GB2312" w:cs="Times New Roman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一平台归集、一中心调度、多元化处置</w:t>
      </w:r>
      <w:r>
        <w:rPr>
          <w:rFonts w:hint="eastAsia" w:ascii="宋体" w:hAnsi="宋体" w:eastAsia="仿宋_GB2312" w:cs="Times New Roman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”要求</w:t>
      </w:r>
      <w:r>
        <w:rPr>
          <w:rFonts w:hint="default" w:ascii="宋体" w:hAnsi="宋体" w:eastAsia="仿宋_GB2312" w:cs="Times New Roman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，</w:t>
      </w:r>
      <w:r>
        <w:rPr>
          <w:rFonts w:hint="eastAsia" w:ascii="宋体" w:hAnsi="宋体" w:eastAsia="仿宋_GB2312" w:cs="Times New Roman"/>
          <w:snapToGrid/>
          <w:color w:val="auto"/>
          <w:spacing w:val="0"/>
          <w:kern w:val="2"/>
          <w:position w:val="0"/>
          <w:sz w:val="32"/>
          <w:szCs w:val="32"/>
          <w:lang w:val="en-US" w:eastAsia="zh-CN" w:bidi="ar-SA"/>
        </w:rPr>
        <w:t>优化市场主体诉求“亲商管家”一体化响应服务，形成“诉求收集、部门对接、问题解决、结果反馈”工作闭环。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组织开展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亲商面对面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主题沙龙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高端讲座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专业培训等活动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，协调解决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民营企业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关注的重点难点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问题。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eastAsia="zh-CN"/>
        </w:rPr>
        <w:t>任单位：市优化营商环境协调事务中心、市工商联等市直相关单位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val="en" w:eastAsia="zh-CN"/>
        </w:rPr>
        <w:t>）</w:t>
      </w:r>
    </w:p>
    <w:bookmarkEnd w:id="25"/>
    <w:p w14:paraId="3BB92B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二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、加大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两欠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”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清理力度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依托湖南省企业账款统计分析平台，建立机关、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企事业单位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、民营企业间拖欠账款信息全覆盖台账，推动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连环清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。加大清理拖欠企业账款审计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和</w:t>
      </w:r>
      <w:r>
        <w:rPr>
          <w:rFonts w:ascii="宋体" w:hAnsi="宋体" w:eastAsia="仿宋_GB2312" w:cs="Times New Roman"/>
          <w:color w:val="auto"/>
          <w:sz w:val="32"/>
          <w:szCs w:val="32"/>
        </w:rPr>
        <w:t>营商环境领域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审计力度</w:t>
      </w:r>
      <w:r>
        <w:rPr>
          <w:rFonts w:ascii="宋体" w:hAnsi="宋体" w:eastAsia="仿宋_GB2312" w:cs="Times New Roman"/>
          <w:color w:val="auto"/>
          <w:sz w:val="32"/>
          <w:szCs w:val="32"/>
        </w:rPr>
        <w:t>，将机关、事业单位、园区及平台公司拖欠中小企业账款问题纳入审计核心内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容</w:t>
      </w:r>
      <w:r>
        <w:rPr>
          <w:rFonts w:hint="eastAsia" w:ascii="宋体" w:hAnsi="宋体" w:eastAsia="仿宋_GB2312" w:cs="Times New Roman"/>
          <w:color w:val="auto"/>
          <w:sz w:val="32"/>
          <w:szCs w:val="32"/>
        </w:rPr>
        <w:t>。</w:t>
      </w:r>
      <w:r>
        <w:rPr>
          <w:rFonts w:hint="default" w:ascii="宋体" w:hAnsi="宋体" w:eastAsia="仿宋_GB2312" w:cs="Times New Roman"/>
          <w:color w:val="auto"/>
          <w:sz w:val="32"/>
          <w:szCs w:val="32"/>
        </w:rPr>
        <w:t>台账内拖欠企业账款化解率2025年、2026年分别达到40%、80%，2027年确</w:t>
      </w:r>
      <w:r>
        <w:rPr>
          <w:rFonts w:ascii="宋体" w:hAnsi="宋体" w:eastAsia="仿宋_GB2312" w:cs="Times New Roman"/>
          <w:color w:val="auto"/>
          <w:sz w:val="32"/>
          <w:szCs w:val="32"/>
        </w:rPr>
        <w:t>保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清零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。依托省保障农民工工资支付监控预警平台，动态监控全市在建工程项目，全力保障农民工工资支付，实现投诉举报欠薪问题动态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清零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。</w:t>
      </w:r>
      <w:bookmarkStart w:id="26" w:name="OLE_LINK385"/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（责任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单位：市政府办、市工信局、市财政局、市国资委、市人力资源社会保障局</w:t>
      </w:r>
      <w:bookmarkEnd w:id="26"/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、市审计局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2C18B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bookmarkStart w:id="27" w:name="OLE_LINK18"/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三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加快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</w:rPr>
        <w:t>拖欠企业账款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案件执行进度。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eastAsia="zh-CN"/>
        </w:rPr>
        <w:t>开展</w:t>
      </w:r>
      <w:r>
        <w:rPr>
          <w:rFonts w:hint="eastAsia" w:ascii="宋体" w:hAnsi="宋体" w:eastAsia="仿宋_GB2312" w:cs="仿宋_GB2312"/>
          <w:color w:val="auto"/>
          <w:sz w:val="32"/>
          <w:szCs w:val="32"/>
          <w:lang w:val="en-US" w:eastAsia="zh-CN"/>
        </w:rPr>
        <w:t>机关、企事业单位拖欠企业账款执行案件专项清理和执行行动，畅通快审快执通道，推动已生效判决存量案件三年内“清零”。对拒不执行生效判决的政府及部门主要负责人严肃追责问责。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责任单位：市委政法委、市中级人民法院，市直相关单位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bookmarkEnd w:id="27"/>
    <w:p w14:paraId="12967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四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</w:rPr>
        <w:t>深化破产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企业处置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</w:rPr>
        <w:t>府院联动机制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出台加强改革系统集成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ascii="宋体" w:hAnsi="宋体" w:eastAsia="仿宋_GB2312" w:cs="Times New Roman"/>
          <w:color w:val="auto"/>
          <w:sz w:val="32"/>
          <w:szCs w:val="32"/>
        </w:rPr>
        <w:t>提升办理破产便利度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相关</w:t>
      </w:r>
      <w:r>
        <w:rPr>
          <w:rFonts w:ascii="宋体" w:hAnsi="宋体" w:eastAsia="仿宋_GB2312" w:cs="Times New Roman"/>
          <w:color w:val="auto"/>
          <w:sz w:val="32"/>
          <w:szCs w:val="32"/>
        </w:rPr>
        <w:t>措施，推动各单位互联互通、信息共享、协同处置，实现司法、行政良性互动。建立企业信用信息共享及风险预警防范机制，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加强</w:t>
      </w:r>
      <w:r>
        <w:rPr>
          <w:rFonts w:ascii="宋体" w:hAnsi="宋体" w:eastAsia="仿宋_GB2312" w:cs="Times New Roman"/>
          <w:color w:val="auto"/>
          <w:sz w:val="32"/>
          <w:szCs w:val="32"/>
        </w:rPr>
        <w:t>司法、税务、金融、市场监管等部门联动，建立数据共享平台，完善部门间数据互通机制，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加强</w:t>
      </w:r>
      <w:r>
        <w:rPr>
          <w:rFonts w:ascii="宋体" w:hAnsi="宋体" w:eastAsia="仿宋_GB2312" w:cs="Times New Roman"/>
          <w:color w:val="auto"/>
          <w:sz w:val="32"/>
          <w:szCs w:val="32"/>
        </w:rPr>
        <w:t>企业爆发债务危机事前预警防范。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责任单位：市中级人民法院，市直相关单位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2E8ED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五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>健全政府违约失信治理机制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val="en-US" w:eastAsia="zh-CN"/>
        </w:rPr>
        <w:t>。</w:t>
      </w:r>
      <w:bookmarkStart w:id="28" w:name="OLE_LINK416"/>
      <w:r>
        <w:rPr>
          <w:rFonts w:hint="eastAsia" w:ascii="宋体" w:hAnsi="宋体" w:eastAsia="仿宋_GB2312" w:cs="仿宋_GB2312"/>
          <w:color w:val="auto"/>
          <w:sz w:val="32"/>
          <w:szCs w:val="40"/>
          <w:lang w:val="en-US" w:eastAsia="zh-CN"/>
        </w:rPr>
        <w:t>畅通政府违约失信处理渠道，及时承接省信用信息共享平台“政府违约失信投诉”信息，</w:t>
      </w:r>
      <w:r>
        <w:rPr>
          <w:rFonts w:hint="default" w:ascii="宋体" w:hAnsi="宋体" w:eastAsia="仿宋_GB2312" w:cs="Nimbus Roman No9 L"/>
          <w:color w:val="auto"/>
          <w:sz w:val="32"/>
          <w:szCs w:val="32"/>
        </w:rPr>
        <w:t>核实认定</w:t>
      </w:r>
      <w:r>
        <w:rPr>
          <w:rFonts w:hint="eastAsia" w:ascii="宋体" w:hAnsi="宋体" w:eastAsia="仿宋_GB2312" w:cs="Nimbus Roman No9 L"/>
          <w:color w:val="auto"/>
          <w:sz w:val="32"/>
          <w:szCs w:val="32"/>
          <w:lang w:eastAsia="zh-CN"/>
        </w:rPr>
        <w:t>并提出整改意见</w:t>
      </w:r>
      <w:r>
        <w:rPr>
          <w:rFonts w:hint="eastAsia" w:ascii="宋体" w:hAnsi="宋体" w:eastAsia="仿宋_GB2312" w:cs="仿宋_GB2312"/>
          <w:color w:val="auto"/>
          <w:sz w:val="32"/>
          <w:szCs w:val="40"/>
          <w:lang w:val="en-US" w:eastAsia="zh-CN"/>
        </w:rPr>
        <w:t>，做好“政府违约失信投诉”回复工作。</w:t>
      </w:r>
      <w:bookmarkEnd w:id="28"/>
      <w:r>
        <w:rPr>
          <w:rFonts w:hint="eastAsia" w:ascii="宋体" w:hAnsi="宋体" w:eastAsia="仿宋_GB2312" w:cs="仿宋_GB2312"/>
          <w:color w:val="auto"/>
          <w:sz w:val="32"/>
          <w:szCs w:val="40"/>
          <w:lang w:val="en-US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责任单位：市发改委</w:t>
      </w:r>
      <w:r>
        <w:rPr>
          <w:rFonts w:hint="eastAsia" w:ascii="宋体" w:hAnsi="宋体" w:eastAsia="仿宋_GB2312" w:cs="仿宋_GB2312"/>
          <w:color w:val="auto"/>
          <w:sz w:val="32"/>
          <w:szCs w:val="40"/>
          <w:lang w:val="en-US" w:eastAsia="zh-CN"/>
        </w:rPr>
        <w:t>）</w:t>
      </w:r>
    </w:p>
    <w:p w14:paraId="6C94A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rPr>
          <w:rFonts w:hint="default" w:ascii="宋体" w:hAnsi="宋体"/>
          <w:color w:val="auto"/>
          <w:lang w:val="e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六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、提升贸易便利化水平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简化通关流程，推进通关便利化，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推广应用</w:t>
      </w:r>
      <w:r>
        <w:rPr>
          <w:rFonts w:ascii="宋体" w:hAnsi="宋体" w:eastAsia="仿宋_GB2312" w:cs="Times New Roman"/>
          <w:color w:val="auto"/>
          <w:sz w:val="32"/>
          <w:szCs w:val="32"/>
        </w:rPr>
        <w:t>国际贸易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单一窗口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功能，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推动</w:t>
      </w:r>
      <w:r>
        <w:rPr>
          <w:rFonts w:ascii="宋体" w:hAnsi="宋体" w:eastAsia="仿宋_GB2312" w:cs="Times New Roman"/>
          <w:color w:val="auto"/>
          <w:sz w:val="32"/>
          <w:szCs w:val="32"/>
        </w:rPr>
        <w:t>中欧班列</w:t>
      </w:r>
      <w:r>
        <w:rPr>
          <w:rFonts w:hint="eastAsia" w:ascii="宋体" w:hAnsi="宋体" w:eastAsia="仿宋_GB2312" w:cs="Times New Roman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（</w:t>
      </w:r>
      <w:r>
        <w:rPr>
          <w:rFonts w:ascii="宋体" w:hAnsi="宋体" w:eastAsia="仿宋_GB2312" w:cs="Times New Roman"/>
          <w:color w:val="auto"/>
          <w:sz w:val="32"/>
          <w:szCs w:val="32"/>
        </w:rPr>
        <w:t>长沙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、湘粤非、岳阳城陵矶等省内国际物流通道与湘潭综保区、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在潭</w:t>
      </w:r>
      <w:r>
        <w:rPr>
          <w:rFonts w:ascii="宋体" w:hAnsi="宋体" w:eastAsia="仿宋_GB2312" w:cs="Times New Roman"/>
          <w:color w:val="auto"/>
          <w:sz w:val="32"/>
          <w:szCs w:val="32"/>
        </w:rPr>
        <w:t>企业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深度</w:t>
      </w:r>
      <w:r>
        <w:rPr>
          <w:rFonts w:ascii="宋体" w:hAnsi="宋体" w:eastAsia="仿宋_GB2312" w:cs="Times New Roman"/>
          <w:color w:val="auto"/>
          <w:sz w:val="32"/>
          <w:szCs w:val="32"/>
        </w:rPr>
        <w:t>合作，为开放发展提供通道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畅通</w:t>
      </w:r>
      <w:r>
        <w:rPr>
          <w:rFonts w:ascii="宋体" w:hAnsi="宋体" w:eastAsia="仿宋_GB2312" w:cs="Times New Roman"/>
          <w:color w:val="auto"/>
          <w:sz w:val="32"/>
          <w:szCs w:val="32"/>
        </w:rPr>
        <w:t>保障。促成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跨境一锁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业务模式在湘潭综保区落地实施，进一步压缩通关时间，为企业提供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全方位、零距离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7</w:t>
      </w:r>
      <w:r>
        <w:rPr>
          <w:rFonts w:hint="eastAsia" w:ascii="宋体" w:hAnsi="宋体" w:eastAsia="仿宋_GB2312" w:cs="仿宋_GB2312"/>
          <w:color w:val="auto"/>
          <w:sz w:val="32"/>
          <w:szCs w:val="32"/>
        </w:rPr>
        <w:t>×</w:t>
      </w:r>
      <w:r>
        <w:rPr>
          <w:rFonts w:ascii="宋体" w:hAnsi="宋体" w:eastAsia="仿宋_GB2312" w:cs="Times New Roman"/>
          <w:color w:val="auto"/>
          <w:sz w:val="32"/>
          <w:szCs w:val="32"/>
        </w:rPr>
        <w:t>24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小时通关服务。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责任单位：韶山海关、市商务局、湘潭综保区新发展有限公司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  <w:t>）</w:t>
      </w:r>
    </w:p>
    <w:p w14:paraId="1A363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二十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七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拓宽开放合作渠道。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发挥东盟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ascii="宋体" w:hAnsi="宋体" w:eastAsia="仿宋_GB2312" w:cs="Times New Roman"/>
          <w:color w:val="auto"/>
          <w:sz w:val="32"/>
          <w:szCs w:val="32"/>
        </w:rPr>
        <w:t>泰国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、非洲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ascii="宋体" w:hAnsi="宋体" w:eastAsia="仿宋_GB2312" w:cs="Times New Roman"/>
          <w:color w:val="auto"/>
          <w:sz w:val="32"/>
          <w:szCs w:val="32"/>
        </w:rPr>
        <w:t>阿尔及利亚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ascii="宋体" w:hAnsi="宋体" w:eastAsia="仿宋_GB2312" w:cs="Times New Roman"/>
          <w:color w:val="auto"/>
          <w:sz w:val="32"/>
          <w:szCs w:val="32"/>
        </w:rPr>
        <w:t>海外综合服务中心桥头堡作用，赋能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潭品出海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。支持企业参加中国国际进口博览会、中国进出口商品交易会等国际性展会，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指导</w:t>
      </w:r>
      <w:r>
        <w:rPr>
          <w:rFonts w:ascii="宋体" w:hAnsi="宋体" w:eastAsia="仿宋_GB2312" w:cs="Times New Roman"/>
          <w:color w:val="auto"/>
          <w:sz w:val="32"/>
          <w:szCs w:val="32"/>
        </w:rPr>
        <w:t>企业申报湖南省重点境外展会政策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ascii="宋体" w:hAnsi="宋体" w:eastAsia="仿宋_GB2312" w:cs="Times New Roman"/>
          <w:color w:val="auto"/>
          <w:sz w:val="32"/>
          <w:szCs w:val="32"/>
        </w:rPr>
        <w:t>引进一批高质量外资标志性项目，积极构建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投资湘潭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z w:val="32"/>
          <w:szCs w:val="32"/>
        </w:rPr>
        <w:t>活动矩阵。充分发挥商协会和校友会桥梁纽带作用，深入推动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z w:val="32"/>
          <w:szCs w:val="32"/>
        </w:rPr>
        <w:t>湘商回</w:t>
      </w:r>
      <w:r>
        <w:rPr>
          <w:rFonts w:ascii="宋体" w:hAnsi="宋体" w:eastAsia="仿宋_GB2312" w:cs="Times New Roman"/>
          <w:color w:val="auto"/>
          <w:spacing w:val="-6"/>
          <w:sz w:val="32"/>
          <w:szCs w:val="32"/>
        </w:rPr>
        <w:t>归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hint="eastAsia" w:ascii="宋体" w:hAnsi="宋体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“</w:t>
      </w:r>
      <w:r>
        <w:rPr>
          <w:rFonts w:ascii="宋体" w:hAnsi="宋体" w:eastAsia="仿宋_GB2312" w:cs="Times New Roman"/>
          <w:color w:val="auto"/>
          <w:spacing w:val="-6"/>
          <w:sz w:val="32"/>
          <w:szCs w:val="32"/>
        </w:rPr>
        <w:t>校友回湘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”</w:t>
      </w:r>
      <w:r>
        <w:rPr>
          <w:rFonts w:ascii="宋体" w:hAnsi="宋体" w:eastAsia="仿宋_GB2312" w:cs="Times New Roman"/>
          <w:color w:val="auto"/>
          <w:spacing w:val="-6"/>
          <w:sz w:val="32"/>
          <w:szCs w:val="32"/>
        </w:rPr>
        <w:t>。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val="en" w:eastAsia="zh-CN"/>
        </w:rPr>
        <w:t>（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eastAsia="zh-CN"/>
        </w:rPr>
        <w:t>责任单位：市商务局、市工商联、市教育局</w:t>
      </w:r>
      <w:r>
        <w:rPr>
          <w:rFonts w:hint="eastAsia" w:ascii="宋体" w:hAnsi="宋体" w:eastAsia="楷体_GB2312" w:cs="楷体_GB2312"/>
          <w:color w:val="auto"/>
          <w:spacing w:val="-6"/>
          <w:sz w:val="32"/>
          <w:szCs w:val="32"/>
          <w:shd w:val="clear" w:color="auto" w:fill="FFFFFF"/>
          <w:lang w:val="en" w:eastAsia="zh-CN"/>
        </w:rPr>
        <w:t>）</w:t>
      </w:r>
    </w:p>
    <w:p w14:paraId="15D396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jc w:val="both"/>
        <w:textAlignment w:val="auto"/>
        <w:outlineLvl w:val="0"/>
        <w:rPr>
          <w:rFonts w:hint="default" w:ascii="宋体" w:hAnsi="宋体" w:eastAsia="楷体_GB2312" w:cs="楷体_GB2312"/>
          <w:color w:val="auto"/>
          <w:sz w:val="32"/>
          <w:szCs w:val="32"/>
          <w:shd w:val="clear" w:color="auto" w:fill="FFFFFF"/>
          <w:lang w:val="en" w:eastAsia="zh-CN"/>
        </w:rPr>
      </w:pP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二十八</w:t>
      </w:r>
      <w:r>
        <w:rPr>
          <w:rFonts w:ascii="宋体" w:hAnsi="宋体" w:eastAsia="黑体" w:cs="Times New Roman"/>
          <w:color w:val="auto"/>
          <w:sz w:val="32"/>
          <w:szCs w:val="32"/>
          <w:shd w:val="clear" w:color="auto" w:fill="FFFFFF"/>
        </w:rPr>
        <w:t>、审慎认定责任</w:t>
      </w:r>
      <w:r>
        <w:rPr>
          <w:rFonts w:hint="eastAsia" w:ascii="宋体" w:hAnsi="宋体" w:eastAsia="黑体" w:cs="Times New Roman"/>
          <w:color w:val="auto"/>
          <w:sz w:val="32"/>
          <w:szCs w:val="32"/>
          <w:shd w:val="clear" w:color="auto" w:fill="FFFFFF"/>
          <w:lang w:eastAsia="zh-CN"/>
        </w:rPr>
        <w:t>。</w:t>
      </w:r>
      <w:bookmarkEnd w:id="20"/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坚持“三个区分开来”，围绕领导干部经济职责，紧盯权力运行轨迹开展审计和据实取证。严格界定党政主要领导干部对审计查出问题的不同责任，切实维护被审计单位的合法权益。明确干部受组织处理、纪律处分影响期满后重新使用的条件、标准和程序，支持受处理处分的干部放下包袱、轻装上阵。（</w:t>
      </w:r>
      <w:r>
        <w:rPr>
          <w:rFonts w:hint="eastAsia" w:ascii="宋体" w:hAnsi="宋体" w:eastAsia="楷体_GB2312" w:cs="楷体_GB2312"/>
          <w:color w:val="auto"/>
          <w:sz w:val="32"/>
          <w:szCs w:val="32"/>
          <w:shd w:val="clear" w:color="auto" w:fill="FFFFFF"/>
          <w:lang w:eastAsia="zh-CN"/>
        </w:rPr>
        <w:t>责任单位：市纪委监委、市委组织部、市审计局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）</w:t>
      </w:r>
    </w:p>
    <w:p w14:paraId="10313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lang w:eastAsia="zh-CN"/>
        </w:rPr>
        <w:t>本措施自</w:t>
      </w:r>
      <w:r>
        <w:rPr>
          <w:rFonts w:hint="default" w:ascii="宋体" w:hAnsi="宋体" w:eastAsia="仿宋_GB2312" w:cs="Times New Roman"/>
          <w:color w:val="auto"/>
          <w:sz w:val="32"/>
          <w:szCs w:val="32"/>
          <w:lang w:val="en-US" w:eastAsia="zh-CN"/>
        </w:rPr>
        <w:t>2025</w:t>
      </w:r>
      <w:r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  <w:t>年11月1日起施行，有效期5年。国省有关法律、法规、政策调整的，从其规定。</w:t>
      </w:r>
    </w:p>
    <w:p w14:paraId="15E506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hint="eastAsia" w:ascii="宋体" w:hAnsi="宋体" w:eastAsia="仿宋_GB2312" w:cs="Times New Roman"/>
          <w:color w:val="auto"/>
          <w:sz w:val="32"/>
          <w:szCs w:val="32"/>
          <w:lang w:val="en-US" w:eastAsia="zh-CN"/>
        </w:rPr>
      </w:pPr>
    </w:p>
    <w:p w14:paraId="640870D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textAlignment w:val="auto"/>
        <w:rPr>
          <w:rFonts w:hint="default"/>
          <w:lang w:val="en" w:eastAsia="zh-CN"/>
        </w:rPr>
      </w:pPr>
    </w:p>
    <w:p w14:paraId="5C14C4D3">
      <w:pPr>
        <w:pStyle w:val="2"/>
        <w:rPr>
          <w:rFonts w:hint="default" w:ascii="宋体" w:hAnsi="宋体"/>
          <w:lang w:val="en" w:eastAsia="zh-CN"/>
        </w:rPr>
      </w:pPr>
    </w:p>
    <w:p w14:paraId="3983F0DB">
      <w:pPr>
        <w:widowControl/>
        <w:spacing w:line="640" w:lineRule="exact"/>
        <w:ind w:firstLine="198" w:firstLineChars="71"/>
        <w:jc w:val="left"/>
        <w:outlineLvl w:val="9"/>
        <w:rPr>
          <w:rFonts w:hint="default"/>
          <w:lang w:val="en" w:eastAsia="zh-CN"/>
        </w:rPr>
      </w:pPr>
      <w:bookmarkStart w:id="29" w:name="_GoBack"/>
      <w:bookmarkEnd w:id="29"/>
      <w:r>
        <w:rPr>
          <w:rFonts w:hint="eastAsia" w:ascii="宋体" w:hAnsi="宋体" w:eastAsia="仿宋_GB2312"/>
          <w:sz w:val="28"/>
          <w:szCs w:val="28"/>
        </w:rPr>
        <w:t xml:space="preserve"> </w:t>
      </w:r>
      <w:r>
        <w:rPr>
          <w:rFonts w:hint="eastAsia" w:ascii="宋体" w:hAnsi="宋体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8915400</wp:posOffset>
                </wp:positionV>
                <wp:extent cx="1000125" cy="297180"/>
                <wp:effectExtent l="0" t="0" r="9525" b="7620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.5pt;margin-top:702pt;height:23.4pt;width:78.75pt;z-index:251661312;mso-width-relative:page;mso-height-relative:page;" fillcolor="#FFFFFF" filled="t" stroked="f" coordsize="21600,21600" o:gfxdata="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Yp8op2AAAAAwBAAAPAAAAAAAAAAEAIAAAACIAAABkcnMvZG93bnJldi54bWxQSwECFAAU&#10;AAAACACHTuJA/z+nALgBAABvAwAADgAAAAAAAAABACAAAAAnAQAAZHJzL2Uyb0RvYy54bWxQSwUG&#10;AAAAAAYABgBZAQAAU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4533900</wp:posOffset>
                </wp:positionH>
                <wp:positionV relativeFrom="paragraph">
                  <wp:posOffset>8816340</wp:posOffset>
                </wp:positionV>
                <wp:extent cx="1133475" cy="594360"/>
                <wp:effectExtent l="4445" t="4445" r="5080" b="10795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7pt;margin-top:694.2pt;height:46.8pt;width:89.25pt;z-index:251662336;mso-width-relative:page;mso-height-relative:page;" fillcolor="#FFFFFF" filled="t" stroked="t" coordsize="21600,21600" o:gfxdata="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wiNlu2gAAAA0BAAAPAAAAAAAAAAEAIAAAACIAAABkcnMvZG93&#10;bnJldi54bWxQSwECFAAUAAAACACHTuJAMawamP4BAAAuBAAADgAAAAAAAAABACAAAAApAQAAZHJz&#10;L2Uyb0RvYy54bWxQSwUGAAAAAAYABgBZAQAAmQ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7391400</wp:posOffset>
                </wp:positionV>
                <wp:extent cx="857250" cy="396240"/>
                <wp:effectExtent l="4445" t="4445" r="14605" b="18415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65pt;margin-top:582pt;height:31.2pt;width:67.5pt;z-index:251660288;mso-width-relative:page;mso-height-relative:page;" fillcolor="#FFFFFF" filled="t" stroked="t" coordsize="21600,21600" o:gfxdata="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0lMifZAAAADAEAAA8AAAAAAAAAAQAgAAAAIgAAAGRycy9kb3du&#10;cmV2LnhtbFBLAQIUABQAAAAIAIdO4kA6DBmC/gEAAC0EAAAOAAAAAAAAAAEAIAAAACgBAABkcnMv&#10;ZTJvRG9jLnhtbFBLBQYAAAAABgAGAFkBAACY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lang w:val="en-US" w:eastAsia="zh-CN"/>
        </w:rPr>
        <w:tab/>
      </w:r>
    </w:p>
    <w:sectPr>
      <w:footerReference r:id="rId5" w:type="default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27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FAB22">
    <w:pPr>
      <w:pStyle w:val="20"/>
      <w:tabs>
        <w:tab w:val="left" w:pos="10310"/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450413">
                          <w:pPr>
                            <w:pStyle w:val="20"/>
                            <w:keepNext w:val="0"/>
                            <w:keepLines w:val="0"/>
                            <w:pageBreakBefore w:val="0"/>
                            <w:widowControl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480" w:leftChars="200" w:right="48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450413">
                    <w:pPr>
                      <w:pStyle w:val="20"/>
                      <w:keepNext w:val="0"/>
                      <w:keepLines w:val="0"/>
                      <w:pageBreakBefore w:val="0"/>
                      <w:widowControl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480" w:leftChars="200" w:right="48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lMDY0OTUzMGExODgxMGNlYWU1MGI0Njk0MzU5YmUifQ=="/>
  </w:docVars>
  <w:rsids>
    <w:rsidRoot w:val="003E2CA2"/>
    <w:rsid w:val="00001617"/>
    <w:rsid w:val="000210BF"/>
    <w:rsid w:val="0005662D"/>
    <w:rsid w:val="000853C9"/>
    <w:rsid w:val="000858BA"/>
    <w:rsid w:val="00086E31"/>
    <w:rsid w:val="000F49E7"/>
    <w:rsid w:val="00112C12"/>
    <w:rsid w:val="0011547E"/>
    <w:rsid w:val="00130DD1"/>
    <w:rsid w:val="00136CE0"/>
    <w:rsid w:val="001949F3"/>
    <w:rsid w:val="00197E7C"/>
    <w:rsid w:val="001B2BBE"/>
    <w:rsid w:val="001B36A6"/>
    <w:rsid w:val="001C0800"/>
    <w:rsid w:val="001C20EC"/>
    <w:rsid w:val="001C5E9B"/>
    <w:rsid w:val="001D1696"/>
    <w:rsid w:val="0020701C"/>
    <w:rsid w:val="00246C84"/>
    <w:rsid w:val="00255ECC"/>
    <w:rsid w:val="00264BB7"/>
    <w:rsid w:val="00272DD9"/>
    <w:rsid w:val="0029035B"/>
    <w:rsid w:val="002C7359"/>
    <w:rsid w:val="002F542A"/>
    <w:rsid w:val="003040E6"/>
    <w:rsid w:val="003334EF"/>
    <w:rsid w:val="00337DD2"/>
    <w:rsid w:val="003722F5"/>
    <w:rsid w:val="003846CE"/>
    <w:rsid w:val="00394883"/>
    <w:rsid w:val="003A48BA"/>
    <w:rsid w:val="003C4DAD"/>
    <w:rsid w:val="003D6223"/>
    <w:rsid w:val="003E2CA2"/>
    <w:rsid w:val="003E4855"/>
    <w:rsid w:val="004033DC"/>
    <w:rsid w:val="004072E9"/>
    <w:rsid w:val="00410B26"/>
    <w:rsid w:val="004145AB"/>
    <w:rsid w:val="004159C2"/>
    <w:rsid w:val="00423FFA"/>
    <w:rsid w:val="00444118"/>
    <w:rsid w:val="00473224"/>
    <w:rsid w:val="004742E5"/>
    <w:rsid w:val="004877CD"/>
    <w:rsid w:val="00491468"/>
    <w:rsid w:val="004B098E"/>
    <w:rsid w:val="004C22F4"/>
    <w:rsid w:val="004C4C8D"/>
    <w:rsid w:val="004E42B9"/>
    <w:rsid w:val="004F72A6"/>
    <w:rsid w:val="0051609E"/>
    <w:rsid w:val="00517D64"/>
    <w:rsid w:val="00541F19"/>
    <w:rsid w:val="00543C39"/>
    <w:rsid w:val="005603BF"/>
    <w:rsid w:val="0057246E"/>
    <w:rsid w:val="00574C0D"/>
    <w:rsid w:val="005A1328"/>
    <w:rsid w:val="005A3C0D"/>
    <w:rsid w:val="005B4B3E"/>
    <w:rsid w:val="005C300F"/>
    <w:rsid w:val="005E5143"/>
    <w:rsid w:val="005F7A76"/>
    <w:rsid w:val="0063021B"/>
    <w:rsid w:val="006329C3"/>
    <w:rsid w:val="0068437F"/>
    <w:rsid w:val="006970DB"/>
    <w:rsid w:val="006A01B3"/>
    <w:rsid w:val="006A0C5E"/>
    <w:rsid w:val="006A79D9"/>
    <w:rsid w:val="006B5D7A"/>
    <w:rsid w:val="00704F9E"/>
    <w:rsid w:val="00706884"/>
    <w:rsid w:val="00772326"/>
    <w:rsid w:val="00780AF4"/>
    <w:rsid w:val="00796F13"/>
    <w:rsid w:val="007C748B"/>
    <w:rsid w:val="0080377A"/>
    <w:rsid w:val="0081473B"/>
    <w:rsid w:val="00886593"/>
    <w:rsid w:val="00891808"/>
    <w:rsid w:val="00895592"/>
    <w:rsid w:val="008D1B24"/>
    <w:rsid w:val="008D5846"/>
    <w:rsid w:val="008E0438"/>
    <w:rsid w:val="008E6E1C"/>
    <w:rsid w:val="00913280"/>
    <w:rsid w:val="00943647"/>
    <w:rsid w:val="00946FBA"/>
    <w:rsid w:val="00951C5A"/>
    <w:rsid w:val="00975360"/>
    <w:rsid w:val="009803FB"/>
    <w:rsid w:val="00994EE3"/>
    <w:rsid w:val="009B0A70"/>
    <w:rsid w:val="009C2E97"/>
    <w:rsid w:val="009D591A"/>
    <w:rsid w:val="00A06DFA"/>
    <w:rsid w:val="00A45FB5"/>
    <w:rsid w:val="00A4768B"/>
    <w:rsid w:val="00A624CE"/>
    <w:rsid w:val="00A7227D"/>
    <w:rsid w:val="00A72FC7"/>
    <w:rsid w:val="00AA403F"/>
    <w:rsid w:val="00AB73E0"/>
    <w:rsid w:val="00AE41C0"/>
    <w:rsid w:val="00AF419A"/>
    <w:rsid w:val="00AF55F4"/>
    <w:rsid w:val="00AF7285"/>
    <w:rsid w:val="00B07560"/>
    <w:rsid w:val="00B30F10"/>
    <w:rsid w:val="00B311BD"/>
    <w:rsid w:val="00B407CC"/>
    <w:rsid w:val="00B410DF"/>
    <w:rsid w:val="00B459C5"/>
    <w:rsid w:val="00B46A2D"/>
    <w:rsid w:val="00B56EAE"/>
    <w:rsid w:val="00B66083"/>
    <w:rsid w:val="00BA6E20"/>
    <w:rsid w:val="00BB5E7B"/>
    <w:rsid w:val="00C45A17"/>
    <w:rsid w:val="00C45F60"/>
    <w:rsid w:val="00C71779"/>
    <w:rsid w:val="00CB6C94"/>
    <w:rsid w:val="00D02EC1"/>
    <w:rsid w:val="00D1368F"/>
    <w:rsid w:val="00D50716"/>
    <w:rsid w:val="00D50B39"/>
    <w:rsid w:val="00D63CDB"/>
    <w:rsid w:val="00D71A25"/>
    <w:rsid w:val="00DB5D33"/>
    <w:rsid w:val="00DD3FC0"/>
    <w:rsid w:val="00DD730C"/>
    <w:rsid w:val="00DF329A"/>
    <w:rsid w:val="00E110A1"/>
    <w:rsid w:val="00E152DB"/>
    <w:rsid w:val="00E2604F"/>
    <w:rsid w:val="00E37FA0"/>
    <w:rsid w:val="00E56F71"/>
    <w:rsid w:val="00E607DC"/>
    <w:rsid w:val="00E93506"/>
    <w:rsid w:val="00EB12D2"/>
    <w:rsid w:val="00ED187D"/>
    <w:rsid w:val="00EE502D"/>
    <w:rsid w:val="00EF2AD2"/>
    <w:rsid w:val="00F2400F"/>
    <w:rsid w:val="00F374FE"/>
    <w:rsid w:val="00F91393"/>
    <w:rsid w:val="00FC2F16"/>
    <w:rsid w:val="00FD5437"/>
    <w:rsid w:val="03A203D3"/>
    <w:rsid w:val="150F4ED0"/>
    <w:rsid w:val="17F353DA"/>
    <w:rsid w:val="1EEC2CF5"/>
    <w:rsid w:val="1FE71F13"/>
    <w:rsid w:val="22382720"/>
    <w:rsid w:val="2AFFE77A"/>
    <w:rsid w:val="2B472320"/>
    <w:rsid w:val="2FED7433"/>
    <w:rsid w:val="3AA72DE5"/>
    <w:rsid w:val="3DFF65CF"/>
    <w:rsid w:val="3FEF1BA1"/>
    <w:rsid w:val="3FFE9086"/>
    <w:rsid w:val="3FFF440D"/>
    <w:rsid w:val="42B84877"/>
    <w:rsid w:val="4793A1D3"/>
    <w:rsid w:val="4BFDEFEA"/>
    <w:rsid w:val="4E171B62"/>
    <w:rsid w:val="520C3569"/>
    <w:rsid w:val="5AFD29E8"/>
    <w:rsid w:val="5BFF3A8B"/>
    <w:rsid w:val="5DD7D78B"/>
    <w:rsid w:val="5E7E0F1E"/>
    <w:rsid w:val="5FFA400D"/>
    <w:rsid w:val="65FF00A1"/>
    <w:rsid w:val="667CAFB3"/>
    <w:rsid w:val="66A80E51"/>
    <w:rsid w:val="677FEDB7"/>
    <w:rsid w:val="67AF8F81"/>
    <w:rsid w:val="6BEFA2B2"/>
    <w:rsid w:val="6BFD1FF4"/>
    <w:rsid w:val="6BFDDF3B"/>
    <w:rsid w:val="6FBA793B"/>
    <w:rsid w:val="6FDBC45C"/>
    <w:rsid w:val="6FE565C8"/>
    <w:rsid w:val="71D51631"/>
    <w:rsid w:val="74F71A0D"/>
    <w:rsid w:val="75DBBF9D"/>
    <w:rsid w:val="76FD72D9"/>
    <w:rsid w:val="777B63F7"/>
    <w:rsid w:val="77EF87D2"/>
    <w:rsid w:val="77FF70F7"/>
    <w:rsid w:val="7A5DEA1A"/>
    <w:rsid w:val="7AB35E7F"/>
    <w:rsid w:val="7BADA687"/>
    <w:rsid w:val="7BB8C5E4"/>
    <w:rsid w:val="7BFC261E"/>
    <w:rsid w:val="7BFF2715"/>
    <w:rsid w:val="7D53A706"/>
    <w:rsid w:val="7DAD1F1D"/>
    <w:rsid w:val="7DE95FEF"/>
    <w:rsid w:val="7DED5906"/>
    <w:rsid w:val="7DF959E8"/>
    <w:rsid w:val="7DFFC195"/>
    <w:rsid w:val="7E33FB40"/>
    <w:rsid w:val="7EFBE2FD"/>
    <w:rsid w:val="7F2E2963"/>
    <w:rsid w:val="7F4F703A"/>
    <w:rsid w:val="7F5FB7C0"/>
    <w:rsid w:val="7FFD1199"/>
    <w:rsid w:val="7FFFC506"/>
    <w:rsid w:val="7FFFEE6E"/>
    <w:rsid w:val="8F0B5CF1"/>
    <w:rsid w:val="97478E27"/>
    <w:rsid w:val="9FDEAA34"/>
    <w:rsid w:val="9FEEB0A4"/>
    <w:rsid w:val="9FFDA9EB"/>
    <w:rsid w:val="A6532E6B"/>
    <w:rsid w:val="A7BEEEFD"/>
    <w:rsid w:val="ABFC6B77"/>
    <w:rsid w:val="AEABB37C"/>
    <w:rsid w:val="B351B594"/>
    <w:rsid w:val="B65A2B01"/>
    <w:rsid w:val="B7DF6274"/>
    <w:rsid w:val="B7FDBA06"/>
    <w:rsid w:val="BA3F1A67"/>
    <w:rsid w:val="BBDF0F32"/>
    <w:rsid w:val="BBE776A1"/>
    <w:rsid w:val="BBF9E01B"/>
    <w:rsid w:val="BDD87C2E"/>
    <w:rsid w:val="BEA3234A"/>
    <w:rsid w:val="BFB7BC6F"/>
    <w:rsid w:val="BFD9128C"/>
    <w:rsid w:val="BFF76F72"/>
    <w:rsid w:val="C1B6D3EC"/>
    <w:rsid w:val="CE7FECED"/>
    <w:rsid w:val="CF7F8780"/>
    <w:rsid w:val="D57FA3BA"/>
    <w:rsid w:val="D8D57E88"/>
    <w:rsid w:val="DF7F8B74"/>
    <w:rsid w:val="DFBE1A10"/>
    <w:rsid w:val="DFEFE4E2"/>
    <w:rsid w:val="DFFBBE1F"/>
    <w:rsid w:val="DFFEAE37"/>
    <w:rsid w:val="EB6F3E38"/>
    <w:rsid w:val="EDEBB06D"/>
    <w:rsid w:val="EDFC5DF1"/>
    <w:rsid w:val="EDFEBF88"/>
    <w:rsid w:val="EDFF4D54"/>
    <w:rsid w:val="EE7BD46E"/>
    <w:rsid w:val="EE7D3B51"/>
    <w:rsid w:val="EE9FC956"/>
    <w:rsid w:val="F1FBF1F3"/>
    <w:rsid w:val="F3FA19C8"/>
    <w:rsid w:val="F3FB9CAF"/>
    <w:rsid w:val="F5CD6418"/>
    <w:rsid w:val="F5FE82ED"/>
    <w:rsid w:val="F75B741F"/>
    <w:rsid w:val="F7DFB984"/>
    <w:rsid w:val="FADD1C2A"/>
    <w:rsid w:val="FBFFD471"/>
    <w:rsid w:val="FDEF4E4E"/>
    <w:rsid w:val="FDF38CFE"/>
    <w:rsid w:val="FDF3D1CB"/>
    <w:rsid w:val="FDF9A3F4"/>
    <w:rsid w:val="FF37000E"/>
    <w:rsid w:val="FF73DC34"/>
    <w:rsid w:val="FF77F020"/>
    <w:rsid w:val="FFBF2BF1"/>
    <w:rsid w:val="FFBFC0E5"/>
    <w:rsid w:val="FFE86ED9"/>
    <w:rsid w:val="FFED30E6"/>
    <w:rsid w:val="FFF7B9EA"/>
    <w:rsid w:val="FFFC262C"/>
    <w:rsid w:val="FFFEC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99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0" w:line="240" w:lineRule="auto"/>
    </w:pPr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paragraph" w:styleId="5">
    <w:name w:val="heading 1"/>
    <w:basedOn w:val="1"/>
    <w:next w:val="1"/>
    <w:link w:val="36"/>
    <w:qFormat/>
    <w:uiPriority w:val="9"/>
    <w:pPr>
      <w:keepNext/>
      <w:keepLines/>
      <w:widowControl w:val="0"/>
      <w:spacing w:before="480" w:after="8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14:ligatures w14:val="standardContextual"/>
    </w:rPr>
  </w:style>
  <w:style w:type="paragraph" w:styleId="6">
    <w:name w:val="heading 2"/>
    <w:basedOn w:val="1"/>
    <w:next w:val="1"/>
    <w:link w:val="37"/>
    <w:unhideWhenUsed/>
    <w:qFormat/>
    <w:uiPriority w:val="9"/>
    <w:pPr>
      <w:keepNext/>
      <w:keepLines/>
      <w:widowControl w:val="0"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14:ligatures w14:val="standardContextual"/>
    </w:rPr>
  </w:style>
  <w:style w:type="paragraph" w:styleId="7">
    <w:name w:val="heading 3"/>
    <w:basedOn w:val="1"/>
    <w:next w:val="1"/>
    <w:link w:val="38"/>
    <w:unhideWhenUsed/>
    <w:qFormat/>
    <w:uiPriority w:val="9"/>
    <w:pPr>
      <w:keepNext/>
      <w:keepLines/>
      <w:widowControl w:val="0"/>
      <w:spacing w:before="160" w:after="80" w:line="278" w:lineRule="auto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14:ligatures w14:val="standardContextual"/>
    </w:rPr>
  </w:style>
  <w:style w:type="paragraph" w:styleId="8">
    <w:name w:val="heading 4"/>
    <w:basedOn w:val="1"/>
    <w:next w:val="1"/>
    <w:link w:val="39"/>
    <w:semiHidden/>
    <w:unhideWhenUsed/>
    <w:qFormat/>
    <w:uiPriority w:val="9"/>
    <w:pPr>
      <w:keepNext/>
      <w:keepLines/>
      <w:widowControl w:val="0"/>
      <w:spacing w:before="80" w:after="40" w:line="278" w:lineRule="auto"/>
      <w:outlineLvl w:val="3"/>
    </w:pPr>
    <w:rPr>
      <w:rFonts w:asciiTheme="minorHAnsi" w:hAnsiTheme="minorHAnsi" w:eastAsiaTheme="minorEastAsia" w:cstheme="majorBidi"/>
      <w:color w:val="104862" w:themeColor="accent1" w:themeShade="BF"/>
      <w:kern w:val="2"/>
      <w:sz w:val="28"/>
      <w:szCs w:val="28"/>
      <w14:ligatures w14:val="standardContextual"/>
    </w:rPr>
  </w:style>
  <w:style w:type="paragraph" w:styleId="9">
    <w:name w:val="heading 5"/>
    <w:basedOn w:val="1"/>
    <w:next w:val="1"/>
    <w:link w:val="40"/>
    <w:semiHidden/>
    <w:unhideWhenUsed/>
    <w:qFormat/>
    <w:uiPriority w:val="9"/>
    <w:pPr>
      <w:keepNext/>
      <w:keepLines/>
      <w:widowControl w:val="0"/>
      <w:spacing w:before="80" w:after="40" w:line="278" w:lineRule="auto"/>
      <w:outlineLvl w:val="4"/>
    </w:pPr>
    <w:rPr>
      <w:rFonts w:asciiTheme="minorHAnsi" w:hAnsiTheme="minorHAnsi" w:eastAsiaTheme="minorEastAsia" w:cstheme="majorBidi"/>
      <w:color w:val="104862" w:themeColor="accent1" w:themeShade="BF"/>
      <w:kern w:val="2"/>
      <w14:ligatures w14:val="standardContextual"/>
    </w:rPr>
  </w:style>
  <w:style w:type="paragraph" w:styleId="10">
    <w:name w:val="heading 6"/>
    <w:basedOn w:val="1"/>
    <w:next w:val="1"/>
    <w:link w:val="41"/>
    <w:semiHidden/>
    <w:unhideWhenUsed/>
    <w:qFormat/>
    <w:uiPriority w:val="9"/>
    <w:pPr>
      <w:keepNext/>
      <w:keepLines/>
      <w:widowControl w:val="0"/>
      <w:spacing w:before="40" w:line="278" w:lineRule="auto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kern w:val="2"/>
      <w:sz w:val="22"/>
      <w14:ligatures w14:val="standardContextual"/>
    </w:rPr>
  </w:style>
  <w:style w:type="paragraph" w:styleId="11">
    <w:name w:val="heading 7"/>
    <w:basedOn w:val="1"/>
    <w:next w:val="1"/>
    <w:link w:val="42"/>
    <w:semiHidden/>
    <w:unhideWhenUsed/>
    <w:qFormat/>
    <w:uiPriority w:val="9"/>
    <w:pPr>
      <w:keepNext/>
      <w:keepLines/>
      <w:widowControl w:val="0"/>
      <w:spacing w:before="40" w:line="278" w:lineRule="auto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kern w:val="2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heading 8"/>
    <w:basedOn w:val="1"/>
    <w:next w:val="1"/>
    <w:link w:val="43"/>
    <w:semiHidden/>
    <w:unhideWhenUsed/>
    <w:qFormat/>
    <w:uiPriority w:val="9"/>
    <w:pPr>
      <w:keepNext/>
      <w:keepLines/>
      <w:widowControl w:val="0"/>
      <w:spacing w:line="278" w:lineRule="auto"/>
      <w:outlineLvl w:val="7"/>
    </w:pPr>
    <w:rPr>
      <w:rFonts w:asciiTheme="minorHAnsi" w:hAnsiTheme="minorHAnsi" w:eastAsiaTheme="minorEastAsia" w:cstheme="majorBidi"/>
      <w:color w:val="595959" w:themeColor="text1" w:themeTint="A6"/>
      <w:kern w:val="2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heading 9"/>
    <w:basedOn w:val="1"/>
    <w:next w:val="1"/>
    <w:link w:val="44"/>
    <w:semiHidden/>
    <w:unhideWhenUsed/>
    <w:qFormat/>
    <w:uiPriority w:val="9"/>
    <w:pPr>
      <w:keepNext/>
      <w:keepLines/>
      <w:widowControl w:val="0"/>
      <w:spacing w:line="278" w:lineRule="auto"/>
      <w:outlineLvl w:val="8"/>
    </w:pPr>
    <w:rPr>
      <w:rFonts w:asciiTheme="minorHAnsi" w:hAnsiTheme="minorHAnsi" w:eastAsiaTheme="majorEastAsia" w:cstheme="majorBidi"/>
      <w:color w:val="595959" w:themeColor="text1" w:themeTint="A6"/>
      <w:kern w:val="2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30">
    <w:name w:val="Default Paragraph Font"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next w:val="1"/>
    <w:qFormat/>
    <w:uiPriority w:val="0"/>
    <w:pPr>
      <w:spacing w:after="100" w:afterLines="100" w:line="300" w:lineRule="auto"/>
      <w:ind w:firstLine="200" w:firstLineChars="200"/>
    </w:pPr>
    <w:rPr>
      <w:rFonts w:ascii="Arial" w:hAnsi="Arial" w:eastAsia="黑体"/>
      <w:szCs w:val="20"/>
    </w:rPr>
  </w:style>
  <w:style w:type="paragraph" w:styleId="14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paragraph" w:styleId="15">
    <w:name w:val="index 5"/>
    <w:basedOn w:val="1"/>
    <w:next w:val="1"/>
    <w:qFormat/>
    <w:uiPriority w:val="99"/>
    <w:pPr>
      <w:ind w:left="1680"/>
    </w:pPr>
  </w:style>
  <w:style w:type="paragraph" w:styleId="16">
    <w:name w:val="annotation text"/>
    <w:basedOn w:val="1"/>
    <w:link w:val="60"/>
    <w:semiHidden/>
    <w:unhideWhenUsed/>
    <w:qFormat/>
    <w:uiPriority w:val="99"/>
  </w:style>
  <w:style w:type="paragraph" w:styleId="17">
    <w:name w:val="Body Text"/>
    <w:basedOn w:val="1"/>
    <w:next w:val="18"/>
    <w:link w:val="54"/>
    <w:qFormat/>
    <w:uiPriority w:val="1"/>
    <w:pPr>
      <w:widowControl w:val="0"/>
      <w:spacing w:before="206"/>
      <w:ind w:left="679"/>
      <w:jc w:val="both"/>
    </w:pPr>
    <w:rPr>
      <w:rFonts w:ascii="Calibri" w:hAnsi="Calibri" w:cs="Times New Roman"/>
      <w:kern w:val="2"/>
      <w:sz w:val="21"/>
      <w:szCs w:val="28"/>
    </w:rPr>
  </w:style>
  <w:style w:type="paragraph" w:styleId="18">
    <w:name w:val="Body Text First Indent"/>
    <w:basedOn w:val="17"/>
    <w:next w:val="17"/>
    <w:link w:val="55"/>
    <w:semiHidden/>
    <w:unhideWhenUsed/>
    <w:qFormat/>
    <w:uiPriority w:val="99"/>
    <w:pPr>
      <w:widowControl/>
      <w:spacing w:before="0" w:after="120"/>
      <w:ind w:left="0" w:firstLine="420" w:firstLineChars="100"/>
      <w:jc w:val="left"/>
    </w:pPr>
    <w:rPr>
      <w:rFonts w:ascii="宋体" w:hAnsi="宋体" w:cs="宋体"/>
      <w:kern w:val="0"/>
      <w:sz w:val="24"/>
      <w:szCs w:val="24"/>
    </w:rPr>
  </w:style>
  <w:style w:type="paragraph" w:styleId="19">
    <w:name w:val="endnote text"/>
    <w:basedOn w:val="1"/>
    <w:qFormat/>
    <w:uiPriority w:val="0"/>
    <w:rPr>
      <w:rFonts w:eastAsia="宋体"/>
    </w:rPr>
  </w:style>
  <w:style w:type="paragraph" w:styleId="20">
    <w:name w:val="footer"/>
    <w:basedOn w:val="1"/>
    <w:next w:val="15"/>
    <w:link w:val="6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21">
    <w:name w:val="header"/>
    <w:basedOn w:val="1"/>
    <w:link w:val="63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Subtitle"/>
    <w:basedOn w:val="1"/>
    <w:next w:val="1"/>
    <w:link w:val="46"/>
    <w:qFormat/>
    <w:uiPriority w:val="11"/>
    <w:pPr>
      <w:widowControl w:val="0"/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23">
    <w:name w:val="HTML Preformatted"/>
    <w:basedOn w:val="1"/>
    <w:link w:val="57"/>
    <w:qFormat/>
    <w:uiPriority w:val="0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cs="Times New Roman"/>
    </w:rPr>
  </w:style>
  <w:style w:type="paragraph" w:styleId="24">
    <w:name w:val="Normal (Web)"/>
    <w:basedOn w:val="1"/>
    <w:next w:val="25"/>
    <w:unhideWhenUsed/>
    <w:qFormat/>
    <w:uiPriority w:val="0"/>
    <w:pPr>
      <w:spacing w:before="100" w:beforeAutospacing="1" w:after="100" w:afterAutospacing="1"/>
    </w:pPr>
  </w:style>
  <w:style w:type="paragraph" w:customStyle="1" w:styleId="25">
    <w:name w:val="EndnoteText"/>
    <w:basedOn w:val="1"/>
    <w:qFormat/>
    <w:uiPriority w:val="0"/>
    <w:pPr>
      <w:textAlignment w:val="baseline"/>
    </w:pPr>
    <w:rPr>
      <w:rFonts w:ascii="Times New Roman" w:hAnsi="Times New Roman" w:eastAsia="宋体" w:cs="Times New Roman"/>
      <w:lang w:bidi="ar-SA"/>
    </w:rPr>
  </w:style>
  <w:style w:type="paragraph" w:styleId="26">
    <w:name w:val="Title"/>
    <w:basedOn w:val="1"/>
    <w:next w:val="1"/>
    <w:link w:val="45"/>
    <w:qFormat/>
    <w:uiPriority w:val="10"/>
    <w:pPr>
      <w:widowControl w:val="0"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paragraph" w:styleId="27">
    <w:name w:val="annotation subject"/>
    <w:basedOn w:val="16"/>
    <w:next w:val="16"/>
    <w:link w:val="61"/>
    <w:semiHidden/>
    <w:unhideWhenUsed/>
    <w:qFormat/>
    <w:uiPriority w:val="99"/>
    <w:rPr>
      <w:b/>
      <w:bCs/>
    </w:rPr>
  </w:style>
  <w:style w:type="table" w:styleId="29">
    <w:name w:val="Table Grid"/>
    <w:basedOn w:val="28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1">
    <w:name w:val="Strong"/>
    <w:basedOn w:val="30"/>
    <w:qFormat/>
    <w:uiPriority w:val="22"/>
    <w:rPr>
      <w:b/>
      <w:bCs/>
    </w:rPr>
  </w:style>
  <w:style w:type="character" w:styleId="32">
    <w:name w:val="page number"/>
    <w:basedOn w:val="30"/>
    <w:semiHidden/>
    <w:unhideWhenUsed/>
    <w:qFormat/>
    <w:uiPriority w:val="99"/>
  </w:style>
  <w:style w:type="character" w:styleId="33">
    <w:name w:val="Hyperlink"/>
    <w:basedOn w:val="30"/>
    <w:semiHidden/>
    <w:unhideWhenUsed/>
    <w:qFormat/>
    <w:uiPriority w:val="99"/>
    <w:rPr>
      <w:color w:val="0000FF"/>
      <w:u w:val="single"/>
    </w:rPr>
  </w:style>
  <w:style w:type="character" w:styleId="34">
    <w:name w:val="annotation reference"/>
    <w:basedOn w:val="30"/>
    <w:semiHidden/>
    <w:unhideWhenUsed/>
    <w:qFormat/>
    <w:uiPriority w:val="99"/>
    <w:rPr>
      <w:sz w:val="21"/>
      <w:szCs w:val="21"/>
    </w:rPr>
  </w:style>
  <w:style w:type="paragraph" w:customStyle="1" w:styleId="35">
    <w:name w:val="列出段落1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36">
    <w:name w:val="标题 1 字符"/>
    <w:basedOn w:val="30"/>
    <w:link w:val="5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37">
    <w:name w:val="标题 2 字符"/>
    <w:basedOn w:val="30"/>
    <w:link w:val="6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38">
    <w:name w:val="标题 3 字符"/>
    <w:basedOn w:val="30"/>
    <w:link w:val="7"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39">
    <w:name w:val="标题 4 字符"/>
    <w:basedOn w:val="30"/>
    <w:link w:val="8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40">
    <w:name w:val="标题 5 字符"/>
    <w:basedOn w:val="30"/>
    <w:link w:val="9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41">
    <w:name w:val="标题 6 字符"/>
    <w:basedOn w:val="30"/>
    <w:link w:val="10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42">
    <w:name w:val="标题 7 字符"/>
    <w:basedOn w:val="30"/>
    <w:link w:val="11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3">
    <w:name w:val="标题 8 字符"/>
    <w:basedOn w:val="30"/>
    <w:link w:val="12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4">
    <w:name w:val="标题 9 字符"/>
    <w:basedOn w:val="30"/>
    <w:link w:val="13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5">
    <w:name w:val="标题 字符"/>
    <w:basedOn w:val="30"/>
    <w:link w:val="2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46">
    <w:name w:val="副标题 字符"/>
    <w:basedOn w:val="30"/>
    <w:link w:val="2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7">
    <w:name w:val="Quote"/>
    <w:basedOn w:val="1"/>
    <w:next w:val="1"/>
    <w:link w:val="48"/>
    <w:qFormat/>
    <w:uiPriority w:val="29"/>
    <w:pPr>
      <w:widowControl w:val="0"/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48">
    <w:name w:val="引用 字符"/>
    <w:basedOn w:val="30"/>
    <w:link w:val="4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49">
    <w:name w:val="List Paragraph"/>
    <w:basedOn w:val="1"/>
    <w:qFormat/>
    <w:uiPriority w:val="34"/>
    <w:pPr>
      <w:widowControl w:val="0"/>
      <w:spacing w:after="160" w:line="278" w:lineRule="auto"/>
      <w:ind w:left="720"/>
      <w:contextualSpacing/>
    </w:pPr>
    <w:rPr>
      <w:rFonts w:asciiTheme="minorHAnsi" w:hAnsiTheme="minorHAnsi" w:eastAsiaTheme="minorEastAsia" w:cstheme="minorBidi"/>
      <w:kern w:val="2"/>
      <w:sz w:val="22"/>
      <w14:ligatures w14:val="standardContextual"/>
    </w:rPr>
  </w:style>
  <w:style w:type="character" w:customStyle="1" w:styleId="50">
    <w:name w:val="Intense Emphasis"/>
    <w:basedOn w:val="30"/>
    <w:qFormat/>
    <w:uiPriority w:val="21"/>
    <w:rPr>
      <w:i/>
      <w:iCs/>
      <w:color w:val="104862" w:themeColor="accent1" w:themeShade="BF"/>
    </w:rPr>
  </w:style>
  <w:style w:type="paragraph" w:styleId="51">
    <w:name w:val="Intense Quote"/>
    <w:basedOn w:val="1"/>
    <w:next w:val="1"/>
    <w:link w:val="52"/>
    <w:qFormat/>
    <w:uiPriority w:val="30"/>
    <w:pPr>
      <w:widowControl w:val="0"/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 w:val="22"/>
      <w14:ligatures w14:val="standardContextual"/>
    </w:rPr>
  </w:style>
  <w:style w:type="character" w:customStyle="1" w:styleId="52">
    <w:name w:val="明显引用 字符"/>
    <w:basedOn w:val="30"/>
    <w:link w:val="51"/>
    <w:qFormat/>
    <w:uiPriority w:val="30"/>
    <w:rPr>
      <w:i/>
      <w:iCs/>
      <w:color w:val="104862" w:themeColor="accent1" w:themeShade="BF"/>
    </w:rPr>
  </w:style>
  <w:style w:type="character" w:customStyle="1" w:styleId="53">
    <w:name w:val="Intense Reference"/>
    <w:basedOn w:val="3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54">
    <w:name w:val="正文文本 字符"/>
    <w:basedOn w:val="30"/>
    <w:link w:val="17"/>
    <w:qFormat/>
    <w:uiPriority w:val="1"/>
    <w:rPr>
      <w:rFonts w:ascii="Calibri" w:hAnsi="Calibri" w:eastAsia="宋体" w:cs="Times New Roman"/>
      <w:sz w:val="21"/>
      <w:szCs w:val="28"/>
      <w14:ligatures w14:val="none"/>
    </w:rPr>
  </w:style>
  <w:style w:type="character" w:customStyle="1" w:styleId="55">
    <w:name w:val="正文文本首行缩进 字符"/>
    <w:basedOn w:val="54"/>
    <w:link w:val="18"/>
    <w:semiHidden/>
    <w:qFormat/>
    <w:uiPriority w:val="99"/>
    <w:rPr>
      <w:rFonts w:ascii="Calibri" w:hAnsi="Calibri" w:eastAsia="宋体" w:cs="Times New Roman"/>
      <w:sz w:val="21"/>
      <w:szCs w:val="28"/>
      <w14:ligatures w14:val="none"/>
    </w:rPr>
  </w:style>
  <w:style w:type="paragraph" w:customStyle="1" w:styleId="56">
    <w:name w:val="Revision"/>
    <w:hidden/>
    <w:semiHidden/>
    <w:qFormat/>
    <w:uiPriority w:val="99"/>
    <w:pPr>
      <w:spacing w:after="0" w:line="240" w:lineRule="auto"/>
    </w:pPr>
    <w:rPr>
      <w:rFonts w:ascii="宋体" w:hAnsi="宋体" w:eastAsia="宋体" w:cs="宋体"/>
      <w:kern w:val="0"/>
      <w:sz w:val="24"/>
      <w:szCs w:val="24"/>
      <w:lang w:val="en-US" w:eastAsia="zh-CN" w:bidi="ar-SA"/>
      <w14:ligatures w14:val="none"/>
    </w:rPr>
  </w:style>
  <w:style w:type="character" w:customStyle="1" w:styleId="57">
    <w:name w:val="HTML 预设格式 字符"/>
    <w:basedOn w:val="30"/>
    <w:link w:val="23"/>
    <w:qFormat/>
    <w:uiPriority w:val="0"/>
    <w:rPr>
      <w:rFonts w:ascii="宋体" w:hAnsi="宋体" w:eastAsia="宋体" w:cs="Times New Roman"/>
      <w:kern w:val="0"/>
      <w:sz w:val="24"/>
      <w14:ligatures w14:val="none"/>
    </w:rPr>
  </w:style>
  <w:style w:type="character" w:customStyle="1" w:styleId="58">
    <w:name w:val="sk-text-wrapper-tag"/>
    <w:basedOn w:val="30"/>
    <w:qFormat/>
    <w:uiPriority w:val="0"/>
  </w:style>
  <w:style w:type="paragraph" w:customStyle="1" w:styleId="59">
    <w:name w:val="temp-li"/>
    <w:basedOn w:val="1"/>
    <w:qFormat/>
    <w:uiPriority w:val="0"/>
    <w:pPr>
      <w:spacing w:before="100" w:beforeAutospacing="1" w:after="100" w:afterAutospacing="1"/>
    </w:pPr>
  </w:style>
  <w:style w:type="character" w:customStyle="1" w:styleId="60">
    <w:name w:val="批注文字 字符"/>
    <w:basedOn w:val="30"/>
    <w:link w:val="16"/>
    <w:semiHidden/>
    <w:qFormat/>
    <w:uiPriority w:val="99"/>
    <w:rPr>
      <w:rFonts w:ascii="宋体" w:hAnsi="宋体" w:eastAsia="宋体" w:cs="宋体"/>
      <w:kern w:val="0"/>
      <w:sz w:val="24"/>
      <w14:ligatures w14:val="none"/>
    </w:rPr>
  </w:style>
  <w:style w:type="character" w:customStyle="1" w:styleId="61">
    <w:name w:val="批注主题 字符"/>
    <w:basedOn w:val="60"/>
    <w:link w:val="27"/>
    <w:semiHidden/>
    <w:qFormat/>
    <w:uiPriority w:val="99"/>
    <w:rPr>
      <w:rFonts w:ascii="宋体" w:hAnsi="宋体" w:eastAsia="宋体" w:cs="宋体"/>
      <w:b/>
      <w:bCs/>
      <w:kern w:val="0"/>
      <w:sz w:val="24"/>
      <w14:ligatures w14:val="none"/>
    </w:rPr>
  </w:style>
  <w:style w:type="character" w:customStyle="1" w:styleId="62">
    <w:name w:val="页脚 字符"/>
    <w:basedOn w:val="30"/>
    <w:link w:val="20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character" w:customStyle="1" w:styleId="63">
    <w:name w:val="页眉 字符"/>
    <w:basedOn w:val="30"/>
    <w:link w:val="21"/>
    <w:qFormat/>
    <w:uiPriority w:val="99"/>
    <w:rPr>
      <w:rFonts w:ascii="宋体" w:hAnsi="宋体" w:eastAsia="宋体" w:cs="宋体"/>
      <w:kern w:val="0"/>
      <w:sz w:val="18"/>
      <w:szCs w:val="18"/>
      <w14:ligatures w14:val="none"/>
    </w:rPr>
  </w:style>
  <w:style w:type="paragraph" w:customStyle="1" w:styleId="64">
    <w:name w:val="vsbcontent_end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无间隔1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customStyle="1" w:styleId="66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6080</Words>
  <Characters>6148</Characters>
  <Lines>93</Lines>
  <Paragraphs>26</Paragraphs>
  <TotalTime>1</TotalTime>
  <ScaleCrop>false</ScaleCrop>
  <LinksUpToDate>false</LinksUpToDate>
  <CharactersWithSpaces>6217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2025-07-18T01:00:00Z</dcterms:created>
  <dc:creator>胡</dc:creator>
  <cp:lastModifiedBy>惠娜</cp:lastModifiedBy>
  <cp:lastPrinted>2025-10-10T03:14:00Z</cp:lastPrinted>
  <dcterms:modified xsi:type="dcterms:W3CDTF">2025-10-21T09:10:02Z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0350A2AB6B5045FF95CB0814ED7F60CC_12</vt:lpwstr>
  </property>
  <property fmtid="{D5CDD505-2E9C-101B-9397-08002B2CF9AE}" pid="4" name="KSOTemplateDocerSaveRecord">
    <vt:lpwstr>eyJoZGlkIjoiOTQxYjUxNzdlZTcyMzRhYmY1OTQ3Yzg5ZDAxMTE3NTQiLCJ1c2VySWQiOiIyMDYxMjU3MTkifQ==</vt:lpwstr>
  </property>
</Properties>
</file>