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4B28FF">
      <w:pPr>
        <w:widowControl/>
        <w:spacing w:line="240" w:lineRule="exact"/>
        <w:jc w:val="left"/>
        <w:rPr>
          <w:rFonts w:ascii="仿宋_GB2312" w:hAnsi="宋体" w:eastAsia="仿宋_GB2312" w:cs="宋体"/>
          <w:kern w:val="0"/>
          <w:sz w:val="36"/>
          <w:szCs w:val="36"/>
        </w:rPr>
      </w:pPr>
      <w:r>
        <w:rPr>
          <w:rFonts w:ascii="仿宋_GB2312" w:hAnsi="宋体" w:eastAsia="仿宋_GB2312" w:cs="宋体"/>
          <w:kern w:val="0"/>
          <w:sz w:val="24"/>
        </w:rPr>
        <w:t xml:space="preserve">  </w:t>
      </w:r>
    </w:p>
    <w:p w14:paraId="78BF8C11">
      <w:pPr>
        <w:keepNext w:val="0"/>
        <w:keepLines w:val="0"/>
        <w:pageBreakBefore w:val="0"/>
        <w:widowControl w:val="0"/>
        <w:kinsoku/>
        <w:wordWrap/>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2026</w:t>
      </w:r>
      <w:r>
        <w:rPr>
          <w:rFonts w:hint="eastAsia" w:ascii="方正小标宋简体" w:hAnsi="方正小标宋简体" w:eastAsia="方正小标宋简体" w:cs="方正小标宋简体"/>
          <w:b w:val="0"/>
          <w:bCs w:val="0"/>
          <w:sz w:val="44"/>
          <w:szCs w:val="44"/>
        </w:rPr>
        <w:t>年部门整体支出绩效目标</w:t>
      </w:r>
      <w:r>
        <w:rPr>
          <w:rFonts w:hint="eastAsia" w:ascii="方正小标宋简体" w:hAnsi="方正小标宋简体" w:eastAsia="方正小标宋简体" w:cs="方正小标宋简体"/>
          <w:b w:val="0"/>
          <w:bCs w:val="0"/>
          <w:sz w:val="44"/>
          <w:szCs w:val="44"/>
          <w:lang w:eastAsia="zh-CN"/>
        </w:rPr>
        <w:t>申报</w:t>
      </w:r>
      <w:r>
        <w:rPr>
          <w:rFonts w:hint="eastAsia" w:ascii="方正小标宋简体" w:hAnsi="方正小标宋简体" w:eastAsia="方正小标宋简体" w:cs="方正小标宋简体"/>
          <w:b w:val="0"/>
          <w:bCs w:val="0"/>
          <w:sz w:val="44"/>
          <w:szCs w:val="44"/>
        </w:rPr>
        <w:t>表</w:t>
      </w:r>
    </w:p>
    <w:p w14:paraId="17E68575">
      <w:pPr>
        <w:pStyle w:val="5"/>
        <w:rPr>
          <w:rFonts w:hint="eastAsia"/>
        </w:rPr>
      </w:pPr>
    </w:p>
    <w:p w14:paraId="45327759">
      <w:pPr>
        <w:pStyle w:val="5"/>
        <w:rPr>
          <w:rFonts w:hint="eastAsia"/>
        </w:rPr>
      </w:pPr>
    </w:p>
    <w:p w14:paraId="1C44093F">
      <w:pPr>
        <w:widowControl/>
        <w:tabs>
          <w:tab w:val="left" w:pos="2593"/>
        </w:tabs>
        <w:jc w:val="left"/>
        <w:rPr>
          <w:rFonts w:hint="eastAsia" w:asciiTheme="minorEastAsia" w:hAnsiTheme="minorEastAsia" w:eastAsiaTheme="minorEastAsia" w:cstheme="minorEastAsia"/>
          <w:kern w:val="0"/>
          <w:szCs w:val="21"/>
        </w:rPr>
      </w:pPr>
      <w:r>
        <w:rPr>
          <w:rFonts w:hint="eastAsia" w:ascii="仿宋_GB2312" w:hAnsi="Times New Roman" w:eastAsia="仿宋_GB2312" w:cs="Times New Roman"/>
          <w:kern w:val="0"/>
          <w:sz w:val="24"/>
          <w:szCs w:val="21"/>
        </w:rPr>
        <w:t xml:space="preserve"> </w:t>
      </w:r>
      <w:r>
        <w:rPr>
          <w:rFonts w:hint="eastAsia" w:asciiTheme="minorEastAsia" w:hAnsiTheme="minorEastAsia" w:eastAsiaTheme="minorEastAsia" w:cstheme="minorEastAsia"/>
          <w:kern w:val="0"/>
          <w:sz w:val="24"/>
          <w:szCs w:val="21"/>
        </w:rPr>
        <w:t>填报单位：（盖章）</w:t>
      </w:r>
      <w:r>
        <w:rPr>
          <w:rFonts w:hint="eastAsia" w:asciiTheme="minorEastAsia" w:hAnsiTheme="minorEastAsia" w:eastAsiaTheme="minorEastAsia" w:cstheme="minorEastAsia"/>
          <w:kern w:val="0"/>
          <w:sz w:val="24"/>
          <w:szCs w:val="21"/>
          <w:lang w:eastAsia="zh-CN"/>
        </w:rPr>
        <w:t>湘潭县统计局</w:t>
      </w:r>
      <w:r>
        <w:rPr>
          <w:rFonts w:hint="eastAsia" w:asciiTheme="minorEastAsia" w:hAnsiTheme="minorEastAsia" w:eastAsiaTheme="minorEastAsia" w:cstheme="minorEastAsia"/>
          <w:kern w:val="0"/>
          <w:szCs w:val="21"/>
        </w:rPr>
        <w:tab/>
      </w:r>
    </w:p>
    <w:tbl>
      <w:tblPr>
        <w:tblStyle w:val="3"/>
        <w:tblW w:w="92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
        <w:gridCol w:w="1371"/>
        <w:gridCol w:w="716"/>
        <w:gridCol w:w="1331"/>
        <w:gridCol w:w="1893"/>
        <w:gridCol w:w="1126"/>
        <w:gridCol w:w="2211"/>
        <w:gridCol w:w="520"/>
      </w:tblGrid>
      <w:tr w14:paraId="2E7A8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shd w:val="clear" w:color="auto" w:fill="auto"/>
            <w:vAlign w:val="center"/>
          </w:tcPr>
          <w:p w14:paraId="0DD39B9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部门名称</w:t>
            </w:r>
          </w:p>
        </w:tc>
        <w:tc>
          <w:tcPr>
            <w:tcW w:w="7797" w:type="dxa"/>
            <w:gridSpan w:val="6"/>
            <w:shd w:val="clear" w:color="auto" w:fill="auto"/>
            <w:vAlign w:val="center"/>
          </w:tcPr>
          <w:p w14:paraId="12FA535A">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eastAsia="zh-CN"/>
              </w:rPr>
              <w:t>湘潭县统计局</w:t>
            </w:r>
            <w:r>
              <w:rPr>
                <w:rFonts w:hint="eastAsia" w:asciiTheme="minorEastAsia" w:hAnsiTheme="minorEastAsia" w:eastAsiaTheme="minorEastAsia" w:cstheme="minorEastAsia"/>
                <w:kern w:val="0"/>
                <w:szCs w:val="21"/>
              </w:rPr>
              <w:t>　</w:t>
            </w:r>
          </w:p>
        </w:tc>
      </w:tr>
      <w:tr w14:paraId="56110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restart"/>
            <w:shd w:val="clear" w:color="auto" w:fill="auto"/>
            <w:vAlign w:val="center"/>
          </w:tcPr>
          <w:p w14:paraId="2F4F20A2">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年度预算申请</w:t>
            </w:r>
            <w:r>
              <w:rPr>
                <w:rFonts w:hint="eastAsia" w:asciiTheme="minorEastAsia" w:hAnsiTheme="minorEastAsia" w:eastAsiaTheme="minorEastAsia" w:cstheme="minorEastAsia"/>
                <w:kern w:val="0"/>
                <w:szCs w:val="21"/>
              </w:rPr>
              <w:br w:type="textWrapping"/>
            </w:r>
            <w:r>
              <w:rPr>
                <w:rFonts w:hint="eastAsia" w:asciiTheme="minorEastAsia" w:hAnsiTheme="minorEastAsia" w:eastAsiaTheme="minorEastAsia" w:cstheme="minorEastAsia"/>
                <w:kern w:val="0"/>
                <w:szCs w:val="21"/>
              </w:rPr>
              <w:t>（万元）</w:t>
            </w:r>
          </w:p>
        </w:tc>
        <w:tc>
          <w:tcPr>
            <w:tcW w:w="7797" w:type="dxa"/>
            <w:gridSpan w:val="6"/>
            <w:shd w:val="clear" w:color="auto" w:fill="auto"/>
            <w:vAlign w:val="center"/>
          </w:tcPr>
          <w:p w14:paraId="34ADD9B3">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资金总额：</w:t>
            </w:r>
            <w:r>
              <w:rPr>
                <w:rFonts w:hint="eastAsia" w:asciiTheme="minorEastAsia" w:hAnsiTheme="minorEastAsia" w:eastAsiaTheme="minorEastAsia" w:cstheme="minorEastAsia"/>
                <w:kern w:val="0"/>
                <w:szCs w:val="21"/>
                <w:lang w:val="en-US" w:eastAsia="zh-CN"/>
              </w:rPr>
              <w:t>392.45</w:t>
            </w:r>
          </w:p>
        </w:tc>
      </w:tr>
      <w:tr w14:paraId="2E927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continue"/>
            <w:shd w:val="clear" w:color="auto" w:fill="auto"/>
            <w:vAlign w:val="center"/>
          </w:tcPr>
          <w:p w14:paraId="22D39E65">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166D45BC">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按收入性质分：</w:t>
            </w:r>
          </w:p>
        </w:tc>
        <w:tc>
          <w:tcPr>
            <w:tcW w:w="3857" w:type="dxa"/>
            <w:gridSpan w:val="3"/>
            <w:shd w:val="clear" w:color="auto" w:fill="auto"/>
            <w:vAlign w:val="center"/>
          </w:tcPr>
          <w:p w14:paraId="38CBD12A">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按支出性质分：</w:t>
            </w:r>
          </w:p>
        </w:tc>
      </w:tr>
      <w:tr w14:paraId="3FA8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continue"/>
            <w:shd w:val="clear" w:color="auto" w:fill="auto"/>
            <w:vAlign w:val="center"/>
          </w:tcPr>
          <w:p w14:paraId="4487AC6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72D65D5C">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其中：一般公共预算</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392.45</w:t>
            </w:r>
          </w:p>
        </w:tc>
        <w:tc>
          <w:tcPr>
            <w:tcW w:w="3857" w:type="dxa"/>
            <w:gridSpan w:val="3"/>
            <w:shd w:val="clear" w:color="auto" w:fill="auto"/>
            <w:vAlign w:val="center"/>
          </w:tcPr>
          <w:p w14:paraId="13E48886">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其中： 基本支出：</w:t>
            </w:r>
            <w:r>
              <w:rPr>
                <w:rFonts w:hint="eastAsia" w:asciiTheme="minorEastAsia" w:hAnsiTheme="minorEastAsia" w:eastAsiaTheme="minorEastAsia" w:cstheme="minorEastAsia"/>
                <w:kern w:val="0"/>
                <w:szCs w:val="21"/>
                <w:lang w:val="en-US" w:eastAsia="zh-CN"/>
              </w:rPr>
              <w:t>261.56</w:t>
            </w:r>
          </w:p>
        </w:tc>
      </w:tr>
      <w:tr w14:paraId="0BBA8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continue"/>
            <w:shd w:val="clear" w:color="auto" w:fill="auto"/>
            <w:vAlign w:val="center"/>
          </w:tcPr>
          <w:p w14:paraId="3EA98932">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0BA04C7F">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政府性基金</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0</w:t>
            </w:r>
          </w:p>
        </w:tc>
        <w:tc>
          <w:tcPr>
            <w:tcW w:w="3857" w:type="dxa"/>
            <w:gridSpan w:val="3"/>
            <w:shd w:val="clear" w:color="auto" w:fill="auto"/>
            <w:vAlign w:val="center"/>
          </w:tcPr>
          <w:p w14:paraId="7DF8FF85">
            <w:pPr>
              <w:widowControl/>
              <w:jc w:val="left"/>
              <w:rPr>
                <w:rFonts w:hint="default"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项目支出：</w:t>
            </w:r>
            <w:r>
              <w:rPr>
                <w:rFonts w:hint="eastAsia" w:asciiTheme="minorEastAsia" w:hAnsiTheme="minorEastAsia" w:eastAsiaTheme="minorEastAsia" w:cstheme="minorEastAsia"/>
                <w:kern w:val="0"/>
                <w:szCs w:val="21"/>
                <w:lang w:val="en-US" w:eastAsia="zh-CN"/>
              </w:rPr>
              <w:t>130.89</w:t>
            </w:r>
          </w:p>
        </w:tc>
      </w:tr>
      <w:tr w14:paraId="0AEE0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continue"/>
            <w:shd w:val="clear" w:color="auto" w:fill="auto"/>
            <w:vAlign w:val="center"/>
          </w:tcPr>
          <w:p w14:paraId="7A91E0AA">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37BE3B26">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纳入专户管理的非税收入：</w:t>
            </w:r>
            <w:r>
              <w:rPr>
                <w:rFonts w:hint="eastAsia" w:asciiTheme="minorEastAsia" w:hAnsiTheme="minorEastAsia" w:eastAsiaTheme="minorEastAsia" w:cstheme="minorEastAsia"/>
                <w:kern w:val="0"/>
                <w:szCs w:val="21"/>
                <w:lang w:val="en-US" w:eastAsia="zh-CN"/>
              </w:rPr>
              <w:t>0</w:t>
            </w:r>
          </w:p>
        </w:tc>
        <w:tc>
          <w:tcPr>
            <w:tcW w:w="3857" w:type="dxa"/>
            <w:gridSpan w:val="3"/>
            <w:shd w:val="clear" w:color="auto" w:fill="auto"/>
            <w:vAlign w:val="center"/>
          </w:tcPr>
          <w:p w14:paraId="4BB6A6EB">
            <w:pPr>
              <w:widowControl/>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 xml:space="preserve">       </w:t>
            </w:r>
          </w:p>
        </w:tc>
      </w:tr>
      <w:tr w14:paraId="0E360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340" w:hRule="atLeast"/>
          <w:jc w:val="center"/>
        </w:trPr>
        <w:tc>
          <w:tcPr>
            <w:tcW w:w="1479" w:type="dxa"/>
            <w:gridSpan w:val="2"/>
            <w:vMerge w:val="continue"/>
            <w:shd w:val="clear" w:color="auto" w:fill="auto"/>
            <w:vAlign w:val="center"/>
          </w:tcPr>
          <w:p w14:paraId="2FC465CB">
            <w:pPr>
              <w:widowControl/>
              <w:jc w:val="left"/>
              <w:rPr>
                <w:rFonts w:hint="eastAsia" w:asciiTheme="minorEastAsia" w:hAnsiTheme="minorEastAsia" w:eastAsiaTheme="minorEastAsia" w:cstheme="minorEastAsia"/>
                <w:kern w:val="0"/>
                <w:szCs w:val="21"/>
              </w:rPr>
            </w:pPr>
          </w:p>
        </w:tc>
        <w:tc>
          <w:tcPr>
            <w:tcW w:w="3940" w:type="dxa"/>
            <w:gridSpan w:val="3"/>
            <w:shd w:val="clear" w:color="auto" w:fill="auto"/>
            <w:vAlign w:val="center"/>
          </w:tcPr>
          <w:p w14:paraId="54E1C477">
            <w:pPr>
              <w:widowControl/>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 xml:space="preserve">     其他</w:t>
            </w:r>
            <w:r>
              <w:rPr>
                <w:rFonts w:hint="eastAsia" w:asciiTheme="minorEastAsia" w:hAnsiTheme="minorEastAsia" w:eastAsiaTheme="minorEastAsia" w:cstheme="minorEastAsia"/>
                <w:kern w:val="0"/>
                <w:szCs w:val="21"/>
                <w:lang w:val="en-US" w:eastAsia="zh-CN"/>
              </w:rPr>
              <w:t>收入</w:t>
            </w:r>
            <w:r>
              <w:rPr>
                <w:rFonts w:hint="eastAsia" w:asciiTheme="minorEastAsia" w:hAnsiTheme="minorEastAsia" w:eastAsiaTheme="minorEastAsia" w:cstheme="minorEastAsia"/>
                <w:kern w:val="0"/>
                <w:szCs w:val="21"/>
              </w:rPr>
              <w:t>：</w:t>
            </w:r>
            <w:r>
              <w:rPr>
                <w:rFonts w:hint="eastAsia" w:asciiTheme="minorEastAsia" w:hAnsiTheme="minorEastAsia" w:eastAsiaTheme="minorEastAsia" w:cstheme="minorEastAsia"/>
                <w:kern w:val="0"/>
                <w:szCs w:val="21"/>
                <w:lang w:val="en-US" w:eastAsia="zh-CN"/>
              </w:rPr>
              <w:t>0</w:t>
            </w:r>
          </w:p>
        </w:tc>
        <w:tc>
          <w:tcPr>
            <w:tcW w:w="3857" w:type="dxa"/>
            <w:gridSpan w:val="3"/>
            <w:shd w:val="clear" w:color="auto" w:fill="auto"/>
            <w:vAlign w:val="center"/>
          </w:tcPr>
          <w:p w14:paraId="38C9D63A">
            <w:pPr>
              <w:widowControl/>
              <w:jc w:val="left"/>
              <w:rPr>
                <w:rFonts w:hint="eastAsia" w:asciiTheme="minorEastAsia" w:hAnsiTheme="minorEastAsia" w:eastAsiaTheme="minorEastAsia" w:cstheme="minorEastAsia"/>
                <w:kern w:val="0"/>
                <w:szCs w:val="21"/>
              </w:rPr>
            </w:pPr>
          </w:p>
        </w:tc>
      </w:tr>
      <w:tr w14:paraId="38BC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996" w:hRule="atLeast"/>
          <w:jc w:val="center"/>
        </w:trPr>
        <w:tc>
          <w:tcPr>
            <w:tcW w:w="1479" w:type="dxa"/>
            <w:gridSpan w:val="2"/>
            <w:shd w:val="clear" w:color="auto" w:fill="auto"/>
            <w:vAlign w:val="center"/>
          </w:tcPr>
          <w:p w14:paraId="4BFDC28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部门职能</w:t>
            </w:r>
          </w:p>
          <w:p w14:paraId="17A9E71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职责概述</w:t>
            </w:r>
          </w:p>
        </w:tc>
        <w:tc>
          <w:tcPr>
            <w:tcW w:w="7797" w:type="dxa"/>
            <w:gridSpan w:val="6"/>
            <w:shd w:val="clear" w:color="auto" w:fill="auto"/>
            <w:vAlign w:val="center"/>
          </w:tcPr>
          <w:p w14:paraId="5EFF9F49">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1、贯彻执行国家统计工作方针政策、法律法规和统计制度方法，完成职责内国家、部门和地方统计调查任务。</w:t>
            </w:r>
          </w:p>
          <w:p w14:paraId="4AFA5D27">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制订本行政区域内的统计工作现代化规划、统计调查计划和统计调查方案，统一领导和协调本行政区域内包括中央和地方单位的统计工作；负责监督检查统计法规和统计制度的实施，维护统计机构和统计人员的职权，依法查处违反统计法规和统计制度的行为。</w:t>
            </w:r>
          </w:p>
          <w:p w14:paraId="31485A00">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3、根据本行政区域内制定计划和进行管</w:t>
            </w:r>
            <w:bookmarkStart w:id="0" w:name="_GoBack"/>
            <w:bookmarkEnd w:id="0"/>
            <w:r>
              <w:rPr>
                <w:rFonts w:hint="eastAsia" w:asciiTheme="minorEastAsia" w:hAnsiTheme="minorEastAsia" w:eastAsiaTheme="minorEastAsia" w:cstheme="minorEastAsia"/>
                <w:kern w:val="0"/>
                <w:szCs w:val="21"/>
              </w:rPr>
              <w:t>理的需要，搜集、整理、提供基本统计资料，对本行政区域内国民经济和社会发展情况进行统计分析、统计预测和统计监督，向县委、县政府及有关部门提供有关综合统计资料；开展统计信息咨询服务工作。</w:t>
            </w:r>
          </w:p>
          <w:p w14:paraId="46A997B5">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4、组织实施全县统计工作计划，指导和协调各乡镇、各部门的统计工作，组织全县性的周期性普查和专项调查。</w:t>
            </w:r>
          </w:p>
          <w:p w14:paraId="724E55E7">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5、检查、审定、管理、公布、出版本行政区域内的基本统计资料；按照县人民政府的决定，发布全县国民经济和社会发展情况的统计公报以及有关普查和专项调查公报。</w:t>
            </w:r>
          </w:p>
          <w:p w14:paraId="30A27786">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6、组织实施全县统计信息工程建设，推进现代计算机和数据传输技术在统计工作中的应用，建立并管理统计信息自动化系统和统计数据库系统。</w:t>
            </w:r>
          </w:p>
          <w:p w14:paraId="6F4E92DC">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7、负责专业统计基础工作、统计基层业务基础建设，建立健全统计数据质量审核、监控和评估制度，开展对重要统计数据的审核、监控和评估。</w:t>
            </w:r>
          </w:p>
          <w:p w14:paraId="18733095">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8、组织指导全县各部门、各单位加强统计基础工作建设，加强统计干部专业培训和统计科学研究工作。</w:t>
            </w:r>
          </w:p>
          <w:p w14:paraId="0E19FFDD">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9、完成县人民政府交办的其他事项。　　</w:t>
            </w:r>
          </w:p>
        </w:tc>
      </w:tr>
      <w:tr w14:paraId="6890C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wAfter w:w="0" w:type="auto"/>
          <w:trHeight w:val="1123" w:hRule="atLeast"/>
          <w:jc w:val="center"/>
        </w:trPr>
        <w:tc>
          <w:tcPr>
            <w:tcW w:w="1479" w:type="dxa"/>
            <w:gridSpan w:val="2"/>
            <w:shd w:val="clear" w:color="auto" w:fill="auto"/>
            <w:vAlign w:val="center"/>
          </w:tcPr>
          <w:p w14:paraId="73AE66A9">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整体绩效目标</w:t>
            </w:r>
          </w:p>
        </w:tc>
        <w:tc>
          <w:tcPr>
            <w:tcW w:w="7797" w:type="dxa"/>
            <w:gridSpan w:val="6"/>
            <w:shd w:val="clear" w:color="auto" w:fill="auto"/>
            <w:vAlign w:val="center"/>
          </w:tcPr>
          <w:p w14:paraId="0F4CC90E">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1、全面贯彻落实党中央、国务院、省、市关于统计工作决策部署，全面深化统计改革，加强统计业务工作，准确、及时、全面完成国、省、市布置的统计年报、定期报表和专项调查任务。</w:t>
            </w:r>
          </w:p>
          <w:p w14:paraId="50DC044A">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2、准确、及时发布全县主要经济指标数据；全面监测全县经济运行态势，完成全县宏观经济形势分析及其他专题分析；围绕县委、县政府经济工作重点和经济社会发展中的重大问题，开展调研，为县域经济高质量发展提供科学决策依据。</w:t>
            </w:r>
          </w:p>
          <w:p w14:paraId="24FD5579">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3、做好市对县经济目标考核等相关的统计监测工作。</w:t>
            </w:r>
          </w:p>
          <w:p w14:paraId="42090023">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4、加强“四上”企业等统计调查对象的统计业务指导，及时做好基本单位名录库更新维护工作。</w:t>
            </w:r>
          </w:p>
          <w:p w14:paraId="5DEBBF38">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5.做好第五次全国经济普查成果的开发应用，组织开展好第四次全国农业普查。</w:t>
            </w:r>
          </w:p>
          <w:p w14:paraId="6D8EE34E">
            <w:pPr>
              <w:keepNext w:val="0"/>
              <w:keepLines w:val="0"/>
              <w:pageBreakBefore w:val="0"/>
              <w:widowControl/>
              <w:kinsoku/>
              <w:wordWrap/>
              <w:overflowPunct/>
              <w:topLinePunct w:val="0"/>
              <w:autoSpaceDE/>
              <w:autoSpaceDN/>
              <w:bidi w:val="0"/>
              <w:adjustRightInd/>
              <w:snapToGrid/>
              <w:spacing w:line="360" w:lineRule="exact"/>
              <w:ind w:left="0" w:leftChars="0" w:firstLine="420" w:firstLineChars="200"/>
              <w:jc w:val="left"/>
              <w:textAlignment w:val="auto"/>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lang w:val="en-US" w:eastAsia="zh-CN"/>
              </w:rPr>
              <w:t>6</w:t>
            </w:r>
            <w:r>
              <w:rPr>
                <w:rFonts w:hint="eastAsia" w:asciiTheme="minorEastAsia" w:hAnsiTheme="minorEastAsia" w:eastAsiaTheme="minorEastAsia" w:cstheme="minorEastAsia"/>
                <w:kern w:val="0"/>
                <w:szCs w:val="21"/>
              </w:rPr>
              <w:t>、加强统计基层基础工作，建立完善统计工作规范流程，加强统计法制建设，强化统计数据质量监管，着力提高统计数据质量。</w:t>
            </w:r>
          </w:p>
          <w:p w14:paraId="11C2C22A">
            <w:pPr>
              <w:widowControl/>
              <w:jc w:val="left"/>
              <w:rPr>
                <w:rFonts w:hint="eastAsia" w:asciiTheme="minorEastAsia" w:hAnsiTheme="minorEastAsia" w:eastAsiaTheme="minorEastAsia" w:cstheme="minorEastAsia"/>
                <w:kern w:val="0"/>
                <w:szCs w:val="21"/>
              </w:rPr>
            </w:pPr>
          </w:p>
        </w:tc>
      </w:tr>
      <w:tr w14:paraId="3C2C4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restart"/>
            <w:shd w:val="clear" w:color="auto" w:fill="auto"/>
            <w:vAlign w:val="center"/>
          </w:tcPr>
          <w:p w14:paraId="46F84A2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部门整体支出</w:t>
            </w:r>
          </w:p>
          <w:p w14:paraId="3D4BE32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年度绩效指标</w:t>
            </w:r>
          </w:p>
        </w:tc>
        <w:tc>
          <w:tcPr>
            <w:tcW w:w="716" w:type="dxa"/>
            <w:shd w:val="clear" w:color="auto" w:fill="auto"/>
            <w:vAlign w:val="center"/>
          </w:tcPr>
          <w:p w14:paraId="412CBB04">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一级指标</w:t>
            </w:r>
          </w:p>
        </w:tc>
        <w:tc>
          <w:tcPr>
            <w:tcW w:w="1331" w:type="dxa"/>
            <w:shd w:val="clear" w:color="auto" w:fill="auto"/>
            <w:vAlign w:val="center"/>
          </w:tcPr>
          <w:p w14:paraId="6F1C75DE">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二级指标</w:t>
            </w:r>
          </w:p>
        </w:tc>
        <w:tc>
          <w:tcPr>
            <w:tcW w:w="3019" w:type="dxa"/>
            <w:gridSpan w:val="2"/>
            <w:shd w:val="clear" w:color="auto" w:fill="auto"/>
            <w:vAlign w:val="center"/>
          </w:tcPr>
          <w:p w14:paraId="55DE94C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三级指标</w:t>
            </w:r>
          </w:p>
        </w:tc>
        <w:tc>
          <w:tcPr>
            <w:tcW w:w="2731" w:type="dxa"/>
            <w:gridSpan w:val="2"/>
            <w:shd w:val="clear" w:color="auto" w:fill="auto"/>
            <w:vAlign w:val="center"/>
          </w:tcPr>
          <w:p w14:paraId="3D2DDFB3">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指标值及单位</w:t>
            </w:r>
          </w:p>
        </w:tc>
      </w:tr>
      <w:tr w14:paraId="2821F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246E7C95">
            <w:pPr>
              <w:widowControl/>
              <w:jc w:val="center"/>
              <w:rPr>
                <w:rFonts w:hint="eastAsia" w:asciiTheme="minorEastAsia" w:hAnsiTheme="minorEastAsia" w:eastAsiaTheme="minorEastAsia" w:cstheme="minorEastAsia"/>
                <w:kern w:val="0"/>
                <w:szCs w:val="21"/>
              </w:rPr>
            </w:pPr>
          </w:p>
        </w:tc>
        <w:tc>
          <w:tcPr>
            <w:tcW w:w="716" w:type="dxa"/>
            <w:vMerge w:val="restart"/>
            <w:shd w:val="clear" w:color="auto" w:fill="auto"/>
            <w:vAlign w:val="center"/>
          </w:tcPr>
          <w:p w14:paraId="6FFA04E7">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产出指标</w:t>
            </w:r>
          </w:p>
        </w:tc>
        <w:tc>
          <w:tcPr>
            <w:tcW w:w="1331" w:type="dxa"/>
            <w:vMerge w:val="restart"/>
            <w:shd w:val="clear" w:color="auto" w:fill="auto"/>
            <w:vAlign w:val="center"/>
          </w:tcPr>
          <w:p w14:paraId="01C3D771">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数量指标</w:t>
            </w:r>
          </w:p>
        </w:tc>
        <w:tc>
          <w:tcPr>
            <w:tcW w:w="3019" w:type="dxa"/>
            <w:gridSpan w:val="2"/>
            <w:shd w:val="clear" w:color="auto" w:fill="auto"/>
            <w:vAlign w:val="center"/>
          </w:tcPr>
          <w:p w14:paraId="76C73A6F">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对全县“四上”联网直报企业开展业务培训</w:t>
            </w:r>
          </w:p>
        </w:tc>
        <w:tc>
          <w:tcPr>
            <w:tcW w:w="2731" w:type="dxa"/>
            <w:gridSpan w:val="2"/>
            <w:shd w:val="clear" w:color="auto" w:fill="auto"/>
            <w:vAlign w:val="center"/>
          </w:tcPr>
          <w:p w14:paraId="176BD2BC">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≥600人次</w:t>
            </w:r>
          </w:p>
        </w:tc>
      </w:tr>
      <w:tr w14:paraId="1C17E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0D504A94">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7436AF96">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589DB8BF">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0A7ABC19">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完成统计执法检查单位数</w:t>
            </w:r>
          </w:p>
        </w:tc>
        <w:tc>
          <w:tcPr>
            <w:tcW w:w="2731" w:type="dxa"/>
            <w:gridSpan w:val="2"/>
            <w:shd w:val="clear" w:color="auto" w:fill="auto"/>
            <w:vAlign w:val="center"/>
          </w:tcPr>
          <w:p w14:paraId="2EB794EF">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≥10个</w:t>
            </w:r>
          </w:p>
        </w:tc>
      </w:tr>
      <w:tr w14:paraId="26E97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4FE952DF">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395A03C1">
            <w:pPr>
              <w:widowControl/>
              <w:jc w:val="center"/>
              <w:rPr>
                <w:rFonts w:hint="eastAsia" w:asciiTheme="minorEastAsia" w:hAnsiTheme="minorEastAsia" w:eastAsiaTheme="minorEastAsia" w:cstheme="minorEastAsia"/>
                <w:kern w:val="0"/>
                <w:szCs w:val="21"/>
              </w:rPr>
            </w:pPr>
          </w:p>
        </w:tc>
        <w:tc>
          <w:tcPr>
            <w:tcW w:w="1331" w:type="dxa"/>
            <w:vMerge w:val="restart"/>
            <w:shd w:val="clear" w:color="auto" w:fill="auto"/>
            <w:vAlign w:val="center"/>
          </w:tcPr>
          <w:p w14:paraId="19668C9A">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质量指标</w:t>
            </w:r>
          </w:p>
        </w:tc>
        <w:tc>
          <w:tcPr>
            <w:tcW w:w="3019" w:type="dxa"/>
            <w:gridSpan w:val="2"/>
            <w:shd w:val="clear" w:color="auto" w:fill="auto"/>
            <w:vAlign w:val="center"/>
          </w:tcPr>
          <w:p w14:paraId="29176732">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基本单位名录库更新</w:t>
            </w:r>
          </w:p>
          <w:p w14:paraId="65FEE330">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维护率</w:t>
            </w:r>
          </w:p>
        </w:tc>
        <w:tc>
          <w:tcPr>
            <w:tcW w:w="2731" w:type="dxa"/>
            <w:gridSpan w:val="2"/>
            <w:shd w:val="clear" w:color="auto" w:fill="auto"/>
            <w:vAlign w:val="center"/>
          </w:tcPr>
          <w:p w14:paraId="5EAC6460">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≥95%</w:t>
            </w:r>
          </w:p>
        </w:tc>
      </w:tr>
      <w:tr w14:paraId="0FB9D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2F99EE92">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6FCE7FBA">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5800F916">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4421DD7F">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对新增入规企业入库前核查率</w:t>
            </w:r>
          </w:p>
        </w:tc>
        <w:tc>
          <w:tcPr>
            <w:tcW w:w="2731" w:type="dxa"/>
            <w:gridSpan w:val="2"/>
            <w:shd w:val="clear" w:color="auto" w:fill="auto"/>
            <w:vAlign w:val="center"/>
          </w:tcPr>
          <w:p w14:paraId="4B0D38E3">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100%</w:t>
            </w:r>
          </w:p>
        </w:tc>
      </w:tr>
      <w:tr w14:paraId="4466A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2A6FC714">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4F2E0F77">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4E9A6235">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5A9D8454">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统计报表完成率</w:t>
            </w:r>
          </w:p>
        </w:tc>
        <w:tc>
          <w:tcPr>
            <w:tcW w:w="2731" w:type="dxa"/>
            <w:gridSpan w:val="2"/>
            <w:shd w:val="clear" w:color="auto" w:fill="auto"/>
            <w:vAlign w:val="center"/>
          </w:tcPr>
          <w:p w14:paraId="7478B27A">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100%</w:t>
            </w:r>
          </w:p>
        </w:tc>
      </w:tr>
      <w:tr w14:paraId="085263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74BFEF62">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47E62B58">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368DD111">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220D93B9">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是否做好各项经济指标统计监测</w:t>
            </w:r>
          </w:p>
        </w:tc>
        <w:tc>
          <w:tcPr>
            <w:tcW w:w="2731" w:type="dxa"/>
            <w:gridSpan w:val="2"/>
            <w:shd w:val="clear" w:color="auto" w:fill="auto"/>
            <w:vAlign w:val="center"/>
          </w:tcPr>
          <w:p w14:paraId="544B8350">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4C4DD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3B024F89">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59F6E9DF">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47F92E4B">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0ED05E9E">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是否按照统计报表制度和工作方案要求开展调查、普查</w:t>
            </w:r>
          </w:p>
        </w:tc>
        <w:tc>
          <w:tcPr>
            <w:tcW w:w="2731" w:type="dxa"/>
            <w:gridSpan w:val="2"/>
            <w:shd w:val="clear" w:color="auto" w:fill="auto"/>
            <w:vAlign w:val="center"/>
          </w:tcPr>
          <w:p w14:paraId="4FA3C19D">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73D63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12559F44">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3096C056">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2ADB0923">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2FD7FBF2">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是否完成五经普数据开发运用</w:t>
            </w:r>
          </w:p>
        </w:tc>
        <w:tc>
          <w:tcPr>
            <w:tcW w:w="2731" w:type="dxa"/>
            <w:gridSpan w:val="2"/>
            <w:shd w:val="clear" w:color="auto" w:fill="auto"/>
            <w:vAlign w:val="center"/>
          </w:tcPr>
          <w:p w14:paraId="5A302062">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785B4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505BB8CC">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67CA2698">
            <w:pPr>
              <w:widowControl/>
              <w:jc w:val="center"/>
              <w:rPr>
                <w:rFonts w:hint="eastAsia" w:asciiTheme="minorEastAsia" w:hAnsiTheme="minorEastAsia" w:eastAsiaTheme="minorEastAsia" w:cstheme="minorEastAsia"/>
                <w:kern w:val="0"/>
                <w:szCs w:val="21"/>
              </w:rPr>
            </w:pPr>
          </w:p>
        </w:tc>
        <w:tc>
          <w:tcPr>
            <w:tcW w:w="1331" w:type="dxa"/>
            <w:shd w:val="clear" w:color="auto" w:fill="auto"/>
            <w:vAlign w:val="center"/>
          </w:tcPr>
          <w:p w14:paraId="7B28530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成本指标</w:t>
            </w:r>
          </w:p>
        </w:tc>
        <w:tc>
          <w:tcPr>
            <w:tcW w:w="3019" w:type="dxa"/>
            <w:gridSpan w:val="2"/>
            <w:shd w:val="clear" w:color="auto" w:fill="auto"/>
            <w:vAlign w:val="center"/>
          </w:tcPr>
          <w:p w14:paraId="13363291">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年初预算指标执行率</w:t>
            </w:r>
          </w:p>
        </w:tc>
        <w:tc>
          <w:tcPr>
            <w:tcW w:w="2731" w:type="dxa"/>
            <w:gridSpan w:val="2"/>
            <w:shd w:val="clear" w:color="auto" w:fill="auto"/>
            <w:vAlign w:val="center"/>
          </w:tcPr>
          <w:p w14:paraId="504FAB6D">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≥90%</w:t>
            </w:r>
          </w:p>
        </w:tc>
      </w:tr>
      <w:tr w14:paraId="70404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141F2B4A">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743F4F8A">
            <w:pPr>
              <w:widowControl/>
              <w:jc w:val="center"/>
              <w:rPr>
                <w:rFonts w:hint="eastAsia" w:asciiTheme="minorEastAsia" w:hAnsiTheme="minorEastAsia" w:eastAsiaTheme="minorEastAsia" w:cstheme="minorEastAsia"/>
                <w:kern w:val="0"/>
                <w:szCs w:val="21"/>
              </w:rPr>
            </w:pPr>
          </w:p>
        </w:tc>
        <w:tc>
          <w:tcPr>
            <w:tcW w:w="1331" w:type="dxa"/>
            <w:vMerge w:val="restart"/>
            <w:shd w:val="clear" w:color="auto" w:fill="auto"/>
            <w:vAlign w:val="center"/>
          </w:tcPr>
          <w:p w14:paraId="578719BD">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时效指标</w:t>
            </w:r>
          </w:p>
        </w:tc>
        <w:tc>
          <w:tcPr>
            <w:tcW w:w="3019" w:type="dxa"/>
            <w:gridSpan w:val="2"/>
            <w:shd w:val="clear" w:color="auto" w:fill="auto"/>
            <w:vAlign w:val="center"/>
          </w:tcPr>
          <w:p w14:paraId="23EB46D4">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统计数据上报是否及时</w:t>
            </w:r>
          </w:p>
        </w:tc>
        <w:tc>
          <w:tcPr>
            <w:tcW w:w="2731" w:type="dxa"/>
            <w:gridSpan w:val="2"/>
            <w:shd w:val="clear" w:color="auto" w:fill="auto"/>
            <w:vAlign w:val="center"/>
          </w:tcPr>
          <w:p w14:paraId="40203B74">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188AB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744E8FEA">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1A56F6B4">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61744624">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561B490C">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是否及时准确发布统计数据和统计公报</w:t>
            </w:r>
          </w:p>
        </w:tc>
        <w:tc>
          <w:tcPr>
            <w:tcW w:w="2731" w:type="dxa"/>
            <w:gridSpan w:val="2"/>
            <w:shd w:val="clear" w:color="auto" w:fill="auto"/>
            <w:vAlign w:val="center"/>
          </w:tcPr>
          <w:p w14:paraId="0D3BF4BB">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0F058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729C4A00">
            <w:pPr>
              <w:widowControl/>
              <w:jc w:val="center"/>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0420C4EC">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27C25145">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66136F36">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是否按期开展第四次全国农业普查各阶段性工作</w:t>
            </w:r>
          </w:p>
        </w:tc>
        <w:tc>
          <w:tcPr>
            <w:tcW w:w="2731" w:type="dxa"/>
            <w:gridSpan w:val="2"/>
            <w:shd w:val="clear" w:color="auto" w:fill="auto"/>
            <w:vAlign w:val="center"/>
          </w:tcPr>
          <w:p w14:paraId="7E311787">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094CC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6A9F145A">
            <w:pPr>
              <w:widowControl/>
              <w:jc w:val="left"/>
              <w:rPr>
                <w:rFonts w:hint="eastAsia" w:asciiTheme="minorEastAsia" w:hAnsiTheme="minorEastAsia" w:eastAsiaTheme="minorEastAsia" w:cstheme="minorEastAsia"/>
                <w:kern w:val="0"/>
                <w:szCs w:val="21"/>
              </w:rPr>
            </w:pPr>
          </w:p>
        </w:tc>
        <w:tc>
          <w:tcPr>
            <w:tcW w:w="716" w:type="dxa"/>
            <w:vMerge w:val="restart"/>
            <w:shd w:val="clear" w:color="auto" w:fill="auto"/>
            <w:vAlign w:val="center"/>
          </w:tcPr>
          <w:p w14:paraId="4F213670">
            <w:pPr>
              <w:widowControl/>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效益指标</w:t>
            </w:r>
          </w:p>
        </w:tc>
        <w:tc>
          <w:tcPr>
            <w:tcW w:w="1331" w:type="dxa"/>
            <w:shd w:val="clear" w:color="auto" w:fill="auto"/>
            <w:vAlign w:val="center"/>
          </w:tcPr>
          <w:p w14:paraId="253A35D2">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经济效益指标</w:t>
            </w:r>
          </w:p>
        </w:tc>
        <w:tc>
          <w:tcPr>
            <w:tcW w:w="3019" w:type="dxa"/>
            <w:gridSpan w:val="2"/>
            <w:shd w:val="clear" w:color="auto" w:fill="auto"/>
            <w:vAlign w:val="center"/>
          </w:tcPr>
          <w:p w14:paraId="25E7B87F">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是否为经济社会发展</w:t>
            </w:r>
          </w:p>
          <w:p w14:paraId="7D9A3F93">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提供科学决策依据</w:t>
            </w:r>
          </w:p>
        </w:tc>
        <w:tc>
          <w:tcPr>
            <w:tcW w:w="2731" w:type="dxa"/>
            <w:gridSpan w:val="2"/>
            <w:shd w:val="clear" w:color="auto" w:fill="auto"/>
            <w:vAlign w:val="center"/>
          </w:tcPr>
          <w:p w14:paraId="1DEAF673">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12BFC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59E80BF2">
            <w:pPr>
              <w:widowControl/>
              <w:jc w:val="left"/>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18F1A225">
            <w:pPr>
              <w:widowControl/>
              <w:jc w:val="center"/>
              <w:rPr>
                <w:rFonts w:hint="eastAsia" w:asciiTheme="minorEastAsia" w:hAnsiTheme="minorEastAsia" w:eastAsiaTheme="minorEastAsia" w:cstheme="minorEastAsia"/>
                <w:kern w:val="0"/>
                <w:szCs w:val="21"/>
              </w:rPr>
            </w:pPr>
          </w:p>
        </w:tc>
        <w:tc>
          <w:tcPr>
            <w:tcW w:w="1331" w:type="dxa"/>
            <w:vMerge w:val="restart"/>
            <w:shd w:val="clear" w:color="auto" w:fill="auto"/>
            <w:vAlign w:val="center"/>
          </w:tcPr>
          <w:p w14:paraId="1CC697FE">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可持续影响指标</w:t>
            </w:r>
          </w:p>
        </w:tc>
        <w:tc>
          <w:tcPr>
            <w:tcW w:w="3019" w:type="dxa"/>
            <w:gridSpan w:val="2"/>
            <w:shd w:val="clear" w:color="auto" w:fill="auto"/>
            <w:vAlign w:val="center"/>
          </w:tcPr>
          <w:p w14:paraId="5E57872C">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全社会对统计法律法规知晓率是否上升</w:t>
            </w:r>
          </w:p>
        </w:tc>
        <w:tc>
          <w:tcPr>
            <w:tcW w:w="2731" w:type="dxa"/>
            <w:gridSpan w:val="2"/>
            <w:shd w:val="clear" w:color="auto" w:fill="auto"/>
            <w:vAlign w:val="center"/>
          </w:tcPr>
          <w:p w14:paraId="1B0F8A12">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1D0CD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0DFCB30D">
            <w:pPr>
              <w:widowControl/>
              <w:jc w:val="left"/>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43A6088D">
            <w:pPr>
              <w:widowControl/>
              <w:jc w:val="center"/>
              <w:rPr>
                <w:rFonts w:hint="eastAsia" w:asciiTheme="minorEastAsia" w:hAnsiTheme="minorEastAsia" w:eastAsiaTheme="minorEastAsia" w:cstheme="minorEastAsia"/>
                <w:kern w:val="0"/>
                <w:szCs w:val="21"/>
              </w:rPr>
            </w:pPr>
          </w:p>
        </w:tc>
        <w:tc>
          <w:tcPr>
            <w:tcW w:w="1331" w:type="dxa"/>
            <w:vMerge w:val="continue"/>
            <w:shd w:val="clear" w:color="auto" w:fill="auto"/>
            <w:vAlign w:val="center"/>
          </w:tcPr>
          <w:p w14:paraId="44EDE9D3">
            <w:pPr>
              <w:jc w:val="center"/>
              <w:rPr>
                <w:rFonts w:hint="eastAsia" w:asciiTheme="minorEastAsia" w:hAnsiTheme="minorEastAsia" w:eastAsiaTheme="minorEastAsia" w:cstheme="minorEastAsia"/>
                <w:kern w:val="0"/>
                <w:szCs w:val="21"/>
              </w:rPr>
            </w:pPr>
          </w:p>
        </w:tc>
        <w:tc>
          <w:tcPr>
            <w:tcW w:w="3019" w:type="dxa"/>
            <w:gridSpan w:val="2"/>
            <w:shd w:val="clear" w:color="auto" w:fill="auto"/>
            <w:vAlign w:val="center"/>
          </w:tcPr>
          <w:p w14:paraId="6CC832BF">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全社会对统计工作的支持配合率是否提升</w:t>
            </w:r>
          </w:p>
        </w:tc>
        <w:tc>
          <w:tcPr>
            <w:tcW w:w="2731" w:type="dxa"/>
            <w:gridSpan w:val="2"/>
            <w:shd w:val="clear" w:color="auto" w:fill="auto"/>
            <w:vAlign w:val="center"/>
          </w:tcPr>
          <w:p w14:paraId="0713497D">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是</w:t>
            </w:r>
          </w:p>
        </w:tc>
      </w:tr>
      <w:tr w14:paraId="281D6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479" w:type="dxa"/>
            <w:gridSpan w:val="2"/>
            <w:vMerge w:val="continue"/>
            <w:shd w:val="clear" w:color="auto" w:fill="auto"/>
            <w:vAlign w:val="center"/>
          </w:tcPr>
          <w:p w14:paraId="7F40EDEB">
            <w:pPr>
              <w:widowControl/>
              <w:jc w:val="left"/>
              <w:rPr>
                <w:rFonts w:hint="eastAsia" w:asciiTheme="minorEastAsia" w:hAnsiTheme="minorEastAsia" w:eastAsiaTheme="minorEastAsia" w:cstheme="minorEastAsia"/>
                <w:kern w:val="0"/>
                <w:szCs w:val="21"/>
              </w:rPr>
            </w:pPr>
          </w:p>
        </w:tc>
        <w:tc>
          <w:tcPr>
            <w:tcW w:w="716" w:type="dxa"/>
            <w:vMerge w:val="continue"/>
            <w:shd w:val="clear" w:color="auto" w:fill="auto"/>
            <w:vAlign w:val="center"/>
          </w:tcPr>
          <w:p w14:paraId="296B5432">
            <w:pPr>
              <w:widowControl/>
              <w:jc w:val="center"/>
              <w:rPr>
                <w:rFonts w:hint="eastAsia" w:asciiTheme="minorEastAsia" w:hAnsiTheme="minorEastAsia" w:eastAsiaTheme="minorEastAsia" w:cstheme="minorEastAsia"/>
                <w:kern w:val="0"/>
                <w:szCs w:val="21"/>
              </w:rPr>
            </w:pPr>
          </w:p>
        </w:tc>
        <w:tc>
          <w:tcPr>
            <w:tcW w:w="1331" w:type="dxa"/>
            <w:shd w:val="clear" w:color="auto" w:fill="auto"/>
            <w:vAlign w:val="center"/>
          </w:tcPr>
          <w:p w14:paraId="1CCD5C21">
            <w:pPr>
              <w:jc w:val="center"/>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社会公众或服务对象满意度</w:t>
            </w:r>
          </w:p>
        </w:tc>
        <w:tc>
          <w:tcPr>
            <w:tcW w:w="3019" w:type="dxa"/>
            <w:gridSpan w:val="2"/>
            <w:shd w:val="clear" w:color="auto" w:fill="auto"/>
            <w:vAlign w:val="center"/>
          </w:tcPr>
          <w:p w14:paraId="0A3E46C5">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both"/>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统计调查、统计服务对象满意率</w:t>
            </w:r>
          </w:p>
        </w:tc>
        <w:tc>
          <w:tcPr>
            <w:tcW w:w="2731" w:type="dxa"/>
            <w:gridSpan w:val="2"/>
            <w:shd w:val="clear" w:color="auto" w:fill="auto"/>
            <w:vAlign w:val="center"/>
          </w:tcPr>
          <w:p w14:paraId="338A0954">
            <w:pPr>
              <w:keepNext w:val="0"/>
              <w:keepLines w:val="0"/>
              <w:pageBreakBefore w:val="0"/>
              <w:widowControl/>
              <w:kinsoku/>
              <w:wordWrap/>
              <w:overflowPunct/>
              <w:topLinePunct w:val="0"/>
              <w:autoSpaceDE/>
              <w:autoSpaceDN/>
              <w:bidi w:val="0"/>
              <w:adjustRightInd/>
              <w:snapToGrid/>
              <w:spacing w:line="360" w:lineRule="exact"/>
              <w:ind w:left="0" w:leftChars="0" w:firstLine="0" w:firstLineChars="0"/>
              <w:jc w:val="center"/>
              <w:textAlignment w:val="auto"/>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lang w:val="en-US" w:eastAsia="zh-CN"/>
              </w:rPr>
              <w:t>≥95%</w:t>
            </w:r>
          </w:p>
        </w:tc>
      </w:tr>
      <w:tr w14:paraId="2E67D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Before w:val="1"/>
          <w:gridAfter w:val="1"/>
          <w:wBefore w:w="108" w:type="dxa"/>
          <w:wAfter w:w="520" w:type="dxa"/>
          <w:trHeight w:val="2350" w:hRule="atLeast"/>
          <w:jc w:val="center"/>
        </w:trPr>
        <w:tc>
          <w:tcPr>
            <w:tcW w:w="1371" w:type="dxa"/>
            <w:vMerge w:val="restart"/>
            <w:tcBorders>
              <w:top w:val="single" w:color="auto" w:sz="4" w:space="0"/>
              <w:left w:val="single" w:color="auto" w:sz="8" w:space="0"/>
              <w:right w:val="single" w:color="000000" w:sz="4" w:space="0"/>
            </w:tcBorders>
            <w:vAlign w:val="center"/>
          </w:tcPr>
          <w:p w14:paraId="49314D69">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财政部门审核 意见</w:t>
            </w:r>
          </w:p>
        </w:tc>
        <w:tc>
          <w:tcPr>
            <w:tcW w:w="716" w:type="dxa"/>
            <w:tcBorders>
              <w:top w:val="single" w:color="auto" w:sz="4" w:space="0"/>
              <w:left w:val="single" w:color="auto" w:sz="8" w:space="0"/>
              <w:bottom w:val="single" w:color="auto" w:sz="4" w:space="0"/>
              <w:right w:val="single" w:color="000000" w:sz="4" w:space="0"/>
            </w:tcBorders>
            <w:vAlign w:val="center"/>
          </w:tcPr>
          <w:p w14:paraId="6A8DAD0B">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财政归口业务股室审核意见</w:t>
            </w:r>
          </w:p>
        </w:tc>
        <w:tc>
          <w:tcPr>
            <w:tcW w:w="6561" w:type="dxa"/>
            <w:gridSpan w:val="4"/>
            <w:tcBorders>
              <w:top w:val="single" w:color="auto" w:sz="4" w:space="0"/>
              <w:left w:val="nil"/>
              <w:bottom w:val="single" w:color="auto" w:sz="4" w:space="0"/>
              <w:right w:val="single" w:color="000000" w:sz="8" w:space="0"/>
            </w:tcBorders>
            <w:vAlign w:val="center"/>
          </w:tcPr>
          <w:p w14:paraId="4B6BFBE3">
            <w:pPr>
              <w:widowControl/>
              <w:spacing w:line="260" w:lineRule="exact"/>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 xml:space="preserve">                                                               审核意见：</w:t>
            </w:r>
          </w:p>
          <w:p w14:paraId="1EC93966">
            <w:pPr>
              <w:widowControl/>
              <w:spacing w:line="260" w:lineRule="exac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 xml:space="preserve">                                                                        </w:t>
            </w:r>
          </w:p>
          <w:p w14:paraId="28196F36">
            <w:pPr>
              <w:widowControl/>
              <w:spacing w:line="260" w:lineRule="exact"/>
              <w:jc w:val="center"/>
              <w:rPr>
                <w:rFonts w:hint="eastAsia" w:asciiTheme="minorEastAsia" w:hAnsiTheme="minorEastAsia" w:eastAsiaTheme="minorEastAsia" w:cstheme="minorEastAsia"/>
                <w:color w:val="000000"/>
                <w:kern w:val="0"/>
                <w:szCs w:val="21"/>
              </w:rPr>
            </w:pPr>
          </w:p>
          <w:p w14:paraId="6EF2646A">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审核人：      负责人签字：               年   月  日</w:t>
            </w:r>
          </w:p>
        </w:tc>
      </w:tr>
      <w:tr w14:paraId="37B0C2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Before w:val="1"/>
          <w:gridAfter w:val="1"/>
          <w:wBefore w:w="108" w:type="dxa"/>
          <w:wAfter w:w="520" w:type="dxa"/>
          <w:trHeight w:val="2301" w:hRule="atLeast"/>
          <w:jc w:val="center"/>
        </w:trPr>
        <w:tc>
          <w:tcPr>
            <w:tcW w:w="1371" w:type="dxa"/>
            <w:vMerge w:val="continue"/>
            <w:tcBorders>
              <w:left w:val="single" w:color="auto" w:sz="8" w:space="0"/>
              <w:right w:val="single" w:color="000000" w:sz="4" w:space="0"/>
            </w:tcBorders>
            <w:vAlign w:val="center"/>
          </w:tcPr>
          <w:p w14:paraId="020CF3E2">
            <w:pPr>
              <w:widowControl/>
              <w:spacing w:line="260" w:lineRule="exact"/>
              <w:jc w:val="center"/>
              <w:rPr>
                <w:rFonts w:hint="eastAsia" w:asciiTheme="minorEastAsia" w:hAnsiTheme="minorEastAsia" w:eastAsiaTheme="minorEastAsia" w:cstheme="minorEastAsia"/>
                <w:color w:val="000000"/>
                <w:kern w:val="0"/>
                <w:szCs w:val="21"/>
              </w:rPr>
            </w:pPr>
          </w:p>
        </w:tc>
        <w:tc>
          <w:tcPr>
            <w:tcW w:w="716" w:type="dxa"/>
            <w:tcBorders>
              <w:top w:val="single" w:color="auto" w:sz="4" w:space="0"/>
              <w:left w:val="single" w:color="auto" w:sz="8" w:space="0"/>
              <w:bottom w:val="single" w:color="auto" w:sz="4" w:space="0"/>
              <w:right w:val="single" w:color="000000" w:sz="4" w:space="0"/>
            </w:tcBorders>
            <w:vAlign w:val="center"/>
          </w:tcPr>
          <w:p w14:paraId="5D02FAB4">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绩效评价股审核意见</w:t>
            </w:r>
          </w:p>
        </w:tc>
        <w:tc>
          <w:tcPr>
            <w:tcW w:w="6561" w:type="dxa"/>
            <w:gridSpan w:val="4"/>
            <w:tcBorders>
              <w:top w:val="single" w:color="auto" w:sz="4" w:space="0"/>
              <w:left w:val="nil"/>
              <w:bottom w:val="single" w:color="auto" w:sz="4" w:space="0"/>
              <w:right w:val="single" w:color="000000" w:sz="8" w:space="0"/>
            </w:tcBorders>
            <w:vAlign w:val="center"/>
          </w:tcPr>
          <w:p w14:paraId="3EEB8A02">
            <w:pPr>
              <w:widowControl/>
              <w:spacing w:line="260" w:lineRule="exact"/>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 xml:space="preserve">                                                                                            审核意见：</w:t>
            </w:r>
          </w:p>
          <w:p w14:paraId="57750E9A">
            <w:pPr>
              <w:widowControl/>
              <w:spacing w:line="260" w:lineRule="exact"/>
              <w:rPr>
                <w:rFonts w:hint="eastAsia" w:asciiTheme="minorEastAsia" w:hAnsiTheme="minorEastAsia" w:eastAsiaTheme="minorEastAsia" w:cstheme="minorEastAsia"/>
                <w:color w:val="000000"/>
                <w:kern w:val="0"/>
                <w:szCs w:val="21"/>
              </w:rPr>
            </w:pPr>
          </w:p>
          <w:p w14:paraId="2E483F2F">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审核人：      负责人签字：               年   月  日</w:t>
            </w:r>
          </w:p>
        </w:tc>
      </w:tr>
      <w:tr w14:paraId="145CA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gridBefore w:val="1"/>
          <w:gridAfter w:val="1"/>
          <w:wBefore w:w="108" w:type="dxa"/>
          <w:wAfter w:w="520" w:type="dxa"/>
          <w:trHeight w:val="2468" w:hRule="atLeast"/>
          <w:jc w:val="center"/>
        </w:trPr>
        <w:tc>
          <w:tcPr>
            <w:tcW w:w="1371" w:type="dxa"/>
            <w:vMerge w:val="continue"/>
            <w:tcBorders>
              <w:left w:val="single" w:color="auto" w:sz="8" w:space="0"/>
              <w:bottom w:val="single" w:color="auto" w:sz="8" w:space="0"/>
              <w:right w:val="single" w:color="000000" w:sz="4" w:space="0"/>
            </w:tcBorders>
            <w:vAlign w:val="center"/>
          </w:tcPr>
          <w:p w14:paraId="009A503D">
            <w:pPr>
              <w:widowControl/>
              <w:spacing w:line="260" w:lineRule="exact"/>
              <w:jc w:val="center"/>
              <w:rPr>
                <w:rFonts w:hint="eastAsia" w:asciiTheme="minorEastAsia" w:hAnsiTheme="minorEastAsia" w:eastAsiaTheme="minorEastAsia" w:cstheme="minorEastAsia"/>
                <w:color w:val="000000"/>
                <w:kern w:val="0"/>
                <w:szCs w:val="21"/>
              </w:rPr>
            </w:pPr>
          </w:p>
        </w:tc>
        <w:tc>
          <w:tcPr>
            <w:tcW w:w="716" w:type="dxa"/>
            <w:tcBorders>
              <w:top w:val="single" w:color="auto" w:sz="4" w:space="0"/>
              <w:left w:val="single" w:color="auto" w:sz="8" w:space="0"/>
              <w:bottom w:val="single" w:color="auto" w:sz="8" w:space="0"/>
              <w:right w:val="single" w:color="000000" w:sz="4" w:space="0"/>
            </w:tcBorders>
            <w:vAlign w:val="center"/>
          </w:tcPr>
          <w:p w14:paraId="294106D5">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预算股审核意见</w:t>
            </w:r>
          </w:p>
        </w:tc>
        <w:tc>
          <w:tcPr>
            <w:tcW w:w="6561" w:type="dxa"/>
            <w:gridSpan w:val="4"/>
            <w:tcBorders>
              <w:top w:val="single" w:color="auto" w:sz="4" w:space="0"/>
              <w:left w:val="nil"/>
              <w:bottom w:val="single" w:color="auto" w:sz="8" w:space="0"/>
              <w:right w:val="single" w:color="000000" w:sz="8" w:space="0"/>
            </w:tcBorders>
            <w:vAlign w:val="center"/>
          </w:tcPr>
          <w:p w14:paraId="757A97CB">
            <w:pPr>
              <w:widowControl/>
              <w:spacing w:line="260" w:lineRule="exact"/>
              <w:jc w:val="left"/>
              <w:rPr>
                <w:rFonts w:hint="eastAsia" w:asciiTheme="minorEastAsia" w:hAnsiTheme="minorEastAsia" w:eastAsiaTheme="minorEastAsia" w:cstheme="minorEastAsia"/>
                <w:color w:val="000000"/>
                <w:kern w:val="0"/>
                <w:szCs w:val="21"/>
              </w:rPr>
            </w:pPr>
          </w:p>
          <w:p w14:paraId="62411DF5">
            <w:pPr>
              <w:widowControl/>
              <w:spacing w:line="260" w:lineRule="exact"/>
              <w:jc w:val="left"/>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审核意见：</w:t>
            </w:r>
          </w:p>
          <w:p w14:paraId="1272BD9C">
            <w:pPr>
              <w:widowControl/>
              <w:spacing w:line="260" w:lineRule="exact"/>
              <w:rPr>
                <w:rFonts w:hint="eastAsia" w:asciiTheme="minorEastAsia" w:hAnsiTheme="minorEastAsia" w:eastAsiaTheme="minorEastAsia" w:cstheme="minorEastAsia"/>
                <w:color w:val="000000"/>
                <w:kern w:val="0"/>
                <w:szCs w:val="21"/>
              </w:rPr>
            </w:pPr>
          </w:p>
          <w:p w14:paraId="2C350E47">
            <w:pPr>
              <w:widowControl/>
              <w:spacing w:line="260" w:lineRule="exact"/>
              <w:jc w:val="center"/>
              <w:rPr>
                <w:rFonts w:hint="eastAsia" w:asciiTheme="minorEastAsia" w:hAnsiTheme="minorEastAsia" w:eastAsiaTheme="minorEastAsia" w:cstheme="minorEastAsia"/>
                <w:color w:val="000000"/>
                <w:kern w:val="0"/>
                <w:szCs w:val="21"/>
              </w:rPr>
            </w:pPr>
            <w:r>
              <w:rPr>
                <w:rFonts w:hint="eastAsia" w:asciiTheme="minorEastAsia" w:hAnsiTheme="minorEastAsia" w:eastAsiaTheme="minorEastAsia" w:cstheme="minorEastAsia"/>
                <w:color w:val="000000"/>
                <w:kern w:val="0"/>
                <w:szCs w:val="21"/>
              </w:rPr>
              <w:t>审核人：      负责人签字：               年   月  日</w:t>
            </w:r>
          </w:p>
        </w:tc>
      </w:tr>
    </w:tbl>
    <w:p w14:paraId="7A222091">
      <w:pPr>
        <w:widowControl/>
        <w:tabs>
          <w:tab w:val="left" w:pos="1333"/>
          <w:tab w:val="left" w:pos="3793"/>
          <w:tab w:val="left" w:pos="5853"/>
        </w:tabs>
        <w:jc w:val="left"/>
        <w:rPr>
          <w:rFonts w:hint="eastAsia" w:asciiTheme="minorEastAsia" w:hAnsiTheme="minorEastAsia" w:eastAsiaTheme="minorEastAsia" w:cstheme="minorEastAsia"/>
          <w:kern w:val="0"/>
          <w:szCs w:val="21"/>
        </w:rPr>
      </w:pPr>
    </w:p>
    <w:p w14:paraId="1E1D5F52">
      <w:pPr>
        <w:widowControl/>
        <w:tabs>
          <w:tab w:val="left" w:pos="1333"/>
          <w:tab w:val="left" w:pos="3793"/>
          <w:tab w:val="left" w:pos="5853"/>
        </w:tabs>
        <w:jc w:val="left"/>
        <w:rPr>
          <w:rFonts w:hint="eastAsia" w:asciiTheme="minorEastAsia" w:hAnsiTheme="minorEastAsia" w:eastAsiaTheme="minorEastAsia" w:cstheme="minorEastAsia"/>
          <w:kern w:val="0"/>
          <w:szCs w:val="21"/>
          <w:lang w:val="en-US" w:eastAsia="zh-CN"/>
        </w:rPr>
      </w:pPr>
      <w:r>
        <w:rPr>
          <w:rFonts w:hint="eastAsia" w:asciiTheme="minorEastAsia" w:hAnsiTheme="minorEastAsia" w:eastAsiaTheme="minorEastAsia" w:cstheme="minorEastAsia"/>
          <w:kern w:val="0"/>
          <w:szCs w:val="21"/>
        </w:rPr>
        <w:t>填表人：</w:t>
      </w:r>
      <w:r>
        <w:rPr>
          <w:rFonts w:hint="eastAsia" w:asciiTheme="minorEastAsia" w:hAnsiTheme="minorEastAsia" w:eastAsiaTheme="minorEastAsia" w:cstheme="minorEastAsia"/>
          <w:kern w:val="0"/>
          <w:szCs w:val="21"/>
          <w:lang w:eastAsia="zh-CN"/>
        </w:rPr>
        <w:t>吴映喜</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 xml:space="preserve">  联系电话：</w:t>
      </w:r>
      <w:r>
        <w:rPr>
          <w:rFonts w:hint="eastAsia" w:asciiTheme="minorEastAsia" w:hAnsiTheme="minorEastAsia" w:eastAsiaTheme="minorEastAsia" w:cstheme="minorEastAsia"/>
          <w:kern w:val="0"/>
          <w:szCs w:val="21"/>
          <w:lang w:val="en-US" w:eastAsia="zh-CN"/>
        </w:rPr>
        <w:t>0731-57888551</w:t>
      </w:r>
      <w:r>
        <w:rPr>
          <w:rFonts w:hint="eastAsia" w:asciiTheme="minorEastAsia" w:hAnsiTheme="minorEastAsia" w:eastAsiaTheme="minorEastAsia" w:cstheme="minorEastAsia"/>
          <w:kern w:val="0"/>
          <w:szCs w:val="21"/>
        </w:rPr>
        <w:t xml:space="preserve">  </w:t>
      </w:r>
      <w:r>
        <w:rPr>
          <w:rFonts w:hint="eastAsia" w:asciiTheme="minorEastAsia" w:hAnsiTheme="minorEastAsia" w:eastAsiaTheme="minorEastAsia" w:cstheme="minorEastAsia"/>
          <w:kern w:val="0"/>
          <w:szCs w:val="21"/>
          <w:lang w:val="en-US" w:eastAsia="zh-CN"/>
        </w:rPr>
        <w:t xml:space="preserve">    </w:t>
      </w:r>
      <w:r>
        <w:rPr>
          <w:rFonts w:hint="eastAsia" w:asciiTheme="minorEastAsia" w:hAnsiTheme="minorEastAsia" w:eastAsiaTheme="minorEastAsia" w:cstheme="minorEastAsia"/>
          <w:kern w:val="0"/>
          <w:szCs w:val="21"/>
        </w:rPr>
        <w:t xml:space="preserve"> 填报日期：</w:t>
      </w:r>
      <w:r>
        <w:rPr>
          <w:rFonts w:hint="eastAsia" w:asciiTheme="minorEastAsia" w:hAnsiTheme="minorEastAsia" w:eastAsiaTheme="minorEastAsia" w:cstheme="minorEastAsia"/>
          <w:kern w:val="0"/>
          <w:szCs w:val="21"/>
          <w:lang w:val="en-US" w:eastAsia="zh-CN"/>
        </w:rPr>
        <w:t>2026年1月21日</w:t>
      </w:r>
    </w:p>
    <w:p w14:paraId="09812C9E">
      <w:pPr>
        <w:widowControl/>
        <w:tabs>
          <w:tab w:val="left" w:pos="1333"/>
          <w:tab w:val="left" w:pos="3793"/>
          <w:tab w:val="left" w:pos="5853"/>
        </w:tabs>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单位负责人签字：</w:t>
      </w:r>
    </w:p>
    <w:p w14:paraId="23A1061D"/>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MathJax_Vector">
    <w:panose1 w:val="02000603000000000000"/>
    <w:charset w:val="00"/>
    <w:family w:val="auto"/>
    <w:pitch w:val="default"/>
    <w:sig w:usb0="00000001" w:usb1="00000020" w:usb2="00000000" w:usb3="00000000" w:csb0="0000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27D50"/>
    <w:rsid w:val="04891E6A"/>
    <w:rsid w:val="12B45F9C"/>
    <w:rsid w:val="13A27D50"/>
    <w:rsid w:val="15A57489"/>
    <w:rsid w:val="1CD5426B"/>
    <w:rsid w:val="1F2D7B6A"/>
    <w:rsid w:val="1FC855EE"/>
    <w:rsid w:val="3BBB6FBC"/>
    <w:rsid w:val="3D536596"/>
    <w:rsid w:val="4C5161CD"/>
    <w:rsid w:val="503F29AA"/>
    <w:rsid w:val="50EF2D57"/>
    <w:rsid w:val="5CD97142"/>
    <w:rsid w:val="5DAB5B22"/>
    <w:rsid w:val="60F80724"/>
    <w:rsid w:val="78090CD5"/>
    <w:rsid w:val="79F91C98"/>
    <w:rsid w:val="FF77EF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semiHidden/>
    <w:unhideWhenUsed/>
    <w:qFormat/>
    <w:uiPriority w:val="99"/>
    <w:pPr>
      <w:widowControl/>
      <w:jc w:val="left"/>
    </w:pPr>
    <w:rPr>
      <w:rFonts w:ascii="宋体" w:hAnsi="宋体" w:cs="宋体"/>
      <w:kern w:val="0"/>
      <w:sz w:val="24"/>
    </w:rPr>
  </w:style>
  <w:style w:type="paragraph" w:styleId="5">
    <w:name w:val="No Spacing"/>
    <w:qFormat/>
    <w:uiPriority w:val="1"/>
    <w:pPr>
      <w:widowControl w:val="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1539</Words>
  <Characters>1594</Characters>
  <Lines>0</Lines>
  <Paragraphs>0</Paragraphs>
  <TotalTime>286</TotalTime>
  <ScaleCrop>false</ScaleCrop>
  <LinksUpToDate>false</LinksUpToDate>
  <CharactersWithSpaces>1960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2026-01-21T11:12:00Z</dcterms:created>
  <dc:creator>映喜</dc:creator>
  <cp:lastModifiedBy>kylin</cp:lastModifiedBy>
  <cp:lastPrinted>2026-01-21T11:37:00Z</cp:lastPrinted>
  <dcterms:modified xsi:type="dcterms:W3CDTF">2026-02-25T09:37:40Z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443FA4F88BC64064918EEB9BA859DDBE_11</vt:lpwstr>
  </property>
  <property fmtid="{D5CDD505-2E9C-101B-9397-08002B2CF9AE}" pid="4" name="KSOTemplateDocerSaveRecord">
    <vt:lpwstr>eyJoZGlkIjoiM2I2ZTIyMmQ5ZWQxMTI4NTVhNTBhMDdmMDdlMzY1MmIiLCJ1c2VySWQiOiIzNTIxMDI2MjUifQ==</vt:lpwstr>
  </property>
</Properties>
</file>