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EE3CBD">
      <w:pPr>
        <w:pStyle w:val="9"/>
        <w:spacing w:line="276" w:lineRule="auto"/>
      </w:pPr>
    </w:p>
    <w:p w14:paraId="573F6CB0">
      <w:pPr>
        <w:pStyle w:val="9"/>
        <w:spacing w:line="276" w:lineRule="auto"/>
      </w:pPr>
    </w:p>
    <w:p w14:paraId="4F8DB790">
      <w:pPr>
        <w:pStyle w:val="9"/>
        <w:spacing w:line="276" w:lineRule="auto"/>
      </w:pPr>
    </w:p>
    <w:p w14:paraId="391C92CC">
      <w:pPr>
        <w:pStyle w:val="9"/>
        <w:spacing w:line="276" w:lineRule="auto"/>
      </w:pPr>
    </w:p>
    <w:p w14:paraId="70AFDF46">
      <w:pPr>
        <w:pStyle w:val="9"/>
        <w:spacing w:line="276" w:lineRule="auto"/>
      </w:pPr>
    </w:p>
    <w:p w14:paraId="4BCB08C3">
      <w:pPr>
        <w:pStyle w:val="9"/>
        <w:spacing w:line="277" w:lineRule="auto"/>
      </w:pPr>
    </w:p>
    <w:p w14:paraId="0901742C">
      <w:pPr>
        <w:spacing w:before="137" w:line="222" w:lineRule="auto"/>
        <w:jc w:val="center"/>
        <w:rPr>
          <w:rFonts w:ascii="黑体" w:hAnsi="黑体" w:eastAsia="黑体" w:cs="黑体"/>
          <w:sz w:val="52"/>
          <w:szCs w:val="52"/>
          <w:lang w:eastAsia="zh-CN"/>
        </w:rPr>
      </w:pPr>
      <w:r>
        <w:rPr>
          <w:rFonts w:hint="eastAsia" w:ascii="黑体" w:hAnsi="黑体" w:eastAsia="黑体" w:cs="黑体"/>
          <w:spacing w:val="-2"/>
          <w:sz w:val="52"/>
          <w:szCs w:val="52"/>
          <w:lang w:eastAsia="zh-CN"/>
        </w:rPr>
        <w:t>湘潭县怡和顺科技有限公司</w:t>
      </w:r>
      <w:r>
        <w:rPr>
          <w:rFonts w:ascii="黑体" w:hAnsi="黑体" w:eastAsia="黑体" w:cs="黑体"/>
          <w:spacing w:val="-2"/>
          <w:sz w:val="52"/>
          <w:szCs w:val="52"/>
          <w:lang w:eastAsia="zh-CN"/>
        </w:rPr>
        <w:t>入河排污口设置论证报告</w:t>
      </w:r>
    </w:p>
    <w:p w14:paraId="55699F0E">
      <w:pPr>
        <w:pStyle w:val="9"/>
        <w:spacing w:line="243" w:lineRule="auto"/>
        <w:rPr>
          <w:lang w:eastAsia="zh-CN"/>
        </w:rPr>
      </w:pPr>
    </w:p>
    <w:p w14:paraId="50C443A2">
      <w:pPr>
        <w:pStyle w:val="9"/>
        <w:spacing w:line="243" w:lineRule="auto"/>
        <w:rPr>
          <w:lang w:eastAsia="zh-CN"/>
        </w:rPr>
      </w:pPr>
    </w:p>
    <w:p w14:paraId="453A0F44">
      <w:pPr>
        <w:pStyle w:val="9"/>
        <w:spacing w:line="243" w:lineRule="auto"/>
        <w:rPr>
          <w:lang w:eastAsia="zh-CN"/>
        </w:rPr>
      </w:pPr>
    </w:p>
    <w:p w14:paraId="43556DBA">
      <w:pPr>
        <w:pStyle w:val="9"/>
        <w:spacing w:line="243" w:lineRule="auto"/>
        <w:rPr>
          <w:lang w:eastAsia="zh-CN"/>
        </w:rPr>
      </w:pPr>
    </w:p>
    <w:p w14:paraId="6E0D4149">
      <w:pPr>
        <w:pStyle w:val="9"/>
        <w:spacing w:line="243" w:lineRule="auto"/>
        <w:rPr>
          <w:lang w:eastAsia="zh-CN"/>
        </w:rPr>
      </w:pPr>
    </w:p>
    <w:p w14:paraId="6DBB81EC">
      <w:pPr>
        <w:pStyle w:val="9"/>
        <w:spacing w:line="243" w:lineRule="auto"/>
        <w:rPr>
          <w:lang w:eastAsia="zh-CN"/>
        </w:rPr>
      </w:pPr>
    </w:p>
    <w:p w14:paraId="695D1AB7">
      <w:pPr>
        <w:pStyle w:val="9"/>
        <w:spacing w:line="243" w:lineRule="auto"/>
        <w:rPr>
          <w:lang w:eastAsia="zh-CN"/>
        </w:rPr>
      </w:pPr>
    </w:p>
    <w:p w14:paraId="3504397B">
      <w:pPr>
        <w:pStyle w:val="9"/>
        <w:spacing w:line="243" w:lineRule="auto"/>
        <w:rPr>
          <w:lang w:eastAsia="zh-CN"/>
        </w:rPr>
      </w:pPr>
    </w:p>
    <w:p w14:paraId="78D4EC00">
      <w:pPr>
        <w:pStyle w:val="9"/>
        <w:spacing w:line="243" w:lineRule="auto"/>
        <w:rPr>
          <w:lang w:eastAsia="zh-CN"/>
        </w:rPr>
      </w:pPr>
    </w:p>
    <w:p w14:paraId="441B03D1">
      <w:pPr>
        <w:pStyle w:val="9"/>
        <w:spacing w:line="243" w:lineRule="auto"/>
        <w:rPr>
          <w:lang w:eastAsia="zh-CN"/>
        </w:rPr>
      </w:pPr>
    </w:p>
    <w:p w14:paraId="15507478">
      <w:pPr>
        <w:pStyle w:val="9"/>
        <w:spacing w:line="243" w:lineRule="auto"/>
        <w:rPr>
          <w:lang w:eastAsia="zh-CN"/>
        </w:rPr>
      </w:pPr>
    </w:p>
    <w:p w14:paraId="6BBDFB39">
      <w:pPr>
        <w:pStyle w:val="9"/>
        <w:spacing w:line="243" w:lineRule="auto"/>
        <w:rPr>
          <w:lang w:eastAsia="zh-CN"/>
        </w:rPr>
      </w:pPr>
    </w:p>
    <w:p w14:paraId="6A32B524">
      <w:pPr>
        <w:pStyle w:val="9"/>
        <w:spacing w:line="243" w:lineRule="auto"/>
        <w:rPr>
          <w:lang w:eastAsia="zh-CN"/>
        </w:rPr>
      </w:pPr>
    </w:p>
    <w:p w14:paraId="53C9F3AA">
      <w:pPr>
        <w:pStyle w:val="9"/>
        <w:spacing w:line="243" w:lineRule="auto"/>
        <w:rPr>
          <w:lang w:eastAsia="zh-CN"/>
        </w:rPr>
      </w:pPr>
    </w:p>
    <w:p w14:paraId="529DFD42">
      <w:pPr>
        <w:pStyle w:val="9"/>
        <w:spacing w:line="243" w:lineRule="auto"/>
        <w:rPr>
          <w:lang w:eastAsia="zh-CN"/>
        </w:rPr>
      </w:pPr>
    </w:p>
    <w:p w14:paraId="35FEBA18">
      <w:pPr>
        <w:pStyle w:val="9"/>
        <w:spacing w:line="243" w:lineRule="auto"/>
        <w:rPr>
          <w:lang w:eastAsia="zh-CN"/>
        </w:rPr>
      </w:pPr>
    </w:p>
    <w:p w14:paraId="1499A086">
      <w:pPr>
        <w:pStyle w:val="9"/>
        <w:spacing w:line="243" w:lineRule="auto"/>
        <w:rPr>
          <w:lang w:eastAsia="zh-CN"/>
        </w:rPr>
      </w:pPr>
    </w:p>
    <w:p w14:paraId="6B264563">
      <w:pPr>
        <w:pStyle w:val="9"/>
        <w:spacing w:line="243" w:lineRule="auto"/>
        <w:rPr>
          <w:lang w:eastAsia="zh-CN"/>
        </w:rPr>
      </w:pPr>
    </w:p>
    <w:p w14:paraId="1B3C7255">
      <w:pPr>
        <w:pStyle w:val="9"/>
        <w:spacing w:line="243" w:lineRule="auto"/>
        <w:rPr>
          <w:lang w:eastAsia="zh-CN"/>
        </w:rPr>
      </w:pPr>
    </w:p>
    <w:p w14:paraId="65EF3824">
      <w:pPr>
        <w:pStyle w:val="9"/>
        <w:spacing w:line="243" w:lineRule="auto"/>
        <w:rPr>
          <w:lang w:eastAsia="zh-CN"/>
        </w:rPr>
      </w:pPr>
    </w:p>
    <w:p w14:paraId="13951F23">
      <w:pPr>
        <w:pStyle w:val="9"/>
        <w:spacing w:line="243" w:lineRule="auto"/>
        <w:rPr>
          <w:lang w:eastAsia="zh-CN"/>
        </w:rPr>
      </w:pPr>
    </w:p>
    <w:p w14:paraId="3C4F41DD">
      <w:pPr>
        <w:pStyle w:val="9"/>
        <w:spacing w:line="243" w:lineRule="auto"/>
        <w:rPr>
          <w:lang w:eastAsia="zh-CN"/>
        </w:rPr>
      </w:pPr>
    </w:p>
    <w:p w14:paraId="75F18B8F">
      <w:pPr>
        <w:pStyle w:val="9"/>
        <w:spacing w:line="243" w:lineRule="auto"/>
        <w:rPr>
          <w:lang w:eastAsia="zh-CN"/>
        </w:rPr>
      </w:pPr>
    </w:p>
    <w:p w14:paraId="0BD2F7D7">
      <w:pPr>
        <w:pStyle w:val="9"/>
        <w:spacing w:line="243" w:lineRule="auto"/>
        <w:rPr>
          <w:lang w:eastAsia="zh-CN"/>
        </w:rPr>
      </w:pPr>
    </w:p>
    <w:p w14:paraId="402C8702">
      <w:pPr>
        <w:pStyle w:val="9"/>
        <w:spacing w:line="243" w:lineRule="auto"/>
        <w:rPr>
          <w:lang w:eastAsia="zh-CN"/>
        </w:rPr>
      </w:pPr>
    </w:p>
    <w:p w14:paraId="612DA86A">
      <w:pPr>
        <w:pStyle w:val="9"/>
        <w:spacing w:line="244" w:lineRule="auto"/>
        <w:rPr>
          <w:lang w:eastAsia="zh-CN"/>
        </w:rPr>
      </w:pPr>
    </w:p>
    <w:p w14:paraId="12497ECC">
      <w:pPr>
        <w:pStyle w:val="9"/>
        <w:spacing w:line="244" w:lineRule="auto"/>
        <w:rPr>
          <w:lang w:eastAsia="zh-CN"/>
        </w:rPr>
      </w:pPr>
    </w:p>
    <w:p w14:paraId="51FB40A6">
      <w:pPr>
        <w:pStyle w:val="9"/>
        <w:spacing w:line="244" w:lineRule="auto"/>
        <w:rPr>
          <w:lang w:eastAsia="zh-CN"/>
        </w:rPr>
      </w:pPr>
    </w:p>
    <w:p w14:paraId="1C633BCA">
      <w:pPr>
        <w:pStyle w:val="9"/>
        <w:spacing w:line="244" w:lineRule="auto"/>
        <w:rPr>
          <w:lang w:eastAsia="zh-CN"/>
        </w:rPr>
      </w:pPr>
    </w:p>
    <w:p w14:paraId="54192203">
      <w:pPr>
        <w:pStyle w:val="9"/>
        <w:spacing w:line="244" w:lineRule="auto"/>
        <w:rPr>
          <w:lang w:eastAsia="zh-CN"/>
        </w:rPr>
      </w:pPr>
    </w:p>
    <w:p w14:paraId="45B4BCB5">
      <w:pPr>
        <w:pStyle w:val="9"/>
        <w:spacing w:line="244" w:lineRule="auto"/>
        <w:rPr>
          <w:lang w:eastAsia="zh-CN"/>
        </w:rPr>
      </w:pPr>
    </w:p>
    <w:p w14:paraId="5E25531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b/>
          <w:bCs/>
          <w:lang w:eastAsia="zh-CN"/>
        </w:rPr>
      </w:pPr>
      <w:r>
        <w:rPr>
          <w:rFonts w:ascii="宋体" w:hAnsi="宋体" w:eastAsia="宋体" w:cs="宋体"/>
          <w:b/>
          <w:bCs/>
          <w:spacing w:val="24"/>
          <w:sz w:val="31"/>
          <w:szCs w:val="31"/>
          <w:lang w:eastAsia="zh-CN"/>
        </w:rPr>
        <w:t>建设单位：</w:t>
      </w:r>
      <w:r>
        <w:rPr>
          <w:rFonts w:hint="eastAsia" w:ascii="宋体" w:hAnsi="宋体" w:eastAsia="宋体" w:cs="宋体"/>
          <w:b/>
          <w:bCs/>
          <w:spacing w:val="27"/>
          <w:sz w:val="31"/>
          <w:szCs w:val="31"/>
          <w:lang w:val="en-US" w:eastAsia="zh-CN"/>
        </w:rPr>
        <w:t>湘潭县怡和顺科技有限公司</w:t>
      </w:r>
    </w:p>
    <w:p w14:paraId="619597D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b/>
          <w:bCs/>
          <w:lang w:eastAsia="zh-CN"/>
        </w:rPr>
      </w:pPr>
      <w:r>
        <w:rPr>
          <w:rFonts w:ascii="宋体" w:hAnsi="宋体" w:eastAsia="宋体" w:cs="宋体"/>
          <w:b/>
          <w:bCs/>
          <w:spacing w:val="27"/>
          <w:sz w:val="31"/>
          <w:szCs w:val="31"/>
          <w:lang w:eastAsia="zh-CN"/>
        </w:rPr>
        <w:t>编制单位：</w:t>
      </w:r>
      <w:r>
        <w:rPr>
          <w:rFonts w:hint="eastAsia" w:ascii="宋体" w:hAnsi="宋体" w:eastAsia="宋体" w:cs="宋体"/>
          <w:b/>
          <w:bCs/>
          <w:spacing w:val="27"/>
          <w:sz w:val="31"/>
          <w:szCs w:val="31"/>
          <w:lang w:val="en-US" w:eastAsia="zh-CN"/>
        </w:rPr>
        <w:t>湖南华泽环保科技有限公司</w:t>
      </w:r>
    </w:p>
    <w:p w14:paraId="6EEDBBA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bCs/>
          <w:spacing w:val="27"/>
          <w:sz w:val="31"/>
          <w:szCs w:val="31"/>
          <w:lang w:val="en-US" w:eastAsia="zh-CN"/>
        </w:rPr>
        <w:sectPr>
          <w:pgSz w:w="11905" w:h="16838"/>
          <w:pgMar w:top="1440" w:right="1803" w:bottom="1440" w:left="1803" w:header="828" w:footer="794" w:gutter="0"/>
          <w:cols w:space="0" w:num="1"/>
          <w:rtlGutter w:val="0"/>
          <w:docGrid w:linePitch="0" w:charSpace="0"/>
        </w:sectPr>
      </w:pPr>
      <w:r>
        <w:rPr>
          <w:rFonts w:hint="eastAsia" w:ascii="宋体" w:hAnsi="宋体" w:eastAsia="宋体" w:cs="宋体"/>
          <w:b/>
          <w:bCs/>
          <w:spacing w:val="27"/>
          <w:sz w:val="31"/>
          <w:szCs w:val="31"/>
          <w:lang w:val="en-US" w:eastAsia="zh-CN"/>
        </w:rPr>
        <w:t>二〇二六年一月</w:t>
      </w:r>
    </w:p>
    <w:sdt>
      <w:sdtPr>
        <w:rPr>
          <w:rFonts w:ascii="宋体" w:hAnsi="宋体" w:eastAsia="宋体" w:cs="Arial"/>
          <w:b/>
          <w:bCs/>
          <w:snapToGrid w:val="0"/>
          <w:color w:val="000000"/>
          <w:sz w:val="24"/>
          <w:szCs w:val="24"/>
          <w:lang w:val="en-US" w:eastAsia="en-US" w:bidi="ar-SA"/>
        </w:rPr>
        <w:id w:val="147479045"/>
        <w15:color w:val="DBDBDB"/>
        <w:docPartObj>
          <w:docPartGallery w:val="Table of Contents"/>
          <w:docPartUnique/>
        </w:docPartObj>
      </w:sdtPr>
      <w:sdtEndPr>
        <w:rPr>
          <w:rFonts w:ascii="Times New Roman" w:hAnsi="Times New Roman" w:eastAsia="Times New Roman" w:cs="Times New Roman"/>
          <w:b/>
          <w:bCs/>
          <w:snapToGrid w:val="0"/>
          <w:color w:val="000000"/>
          <w:sz w:val="21"/>
          <w:szCs w:val="24"/>
          <w:lang w:val="en-US" w:eastAsia="zh-CN" w:bidi="ar-SA"/>
        </w:rPr>
      </w:sdtEndPr>
      <w:sdtContent>
        <w:p w14:paraId="322DF903">
          <w:pPr>
            <w:spacing w:before="0" w:beforeLines="0" w:after="0" w:afterLines="0" w:line="360" w:lineRule="auto"/>
            <w:ind w:left="0" w:leftChars="0" w:right="0" w:rightChars="0" w:firstLine="0" w:firstLineChars="0"/>
            <w:jc w:val="center"/>
            <w:rPr>
              <w:b/>
              <w:bCs/>
              <w:sz w:val="24"/>
              <w:szCs w:val="24"/>
            </w:rPr>
          </w:pPr>
          <w:r>
            <w:rPr>
              <w:rFonts w:ascii="宋体" w:hAnsi="宋体" w:eastAsia="宋体"/>
              <w:b/>
              <w:bCs/>
              <w:sz w:val="24"/>
              <w:szCs w:val="24"/>
            </w:rPr>
            <w:t>目录</w:t>
          </w:r>
        </w:p>
        <w:p w14:paraId="3084A1CD">
          <w:pPr>
            <w:pStyle w:val="17"/>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TOC \o "1-3" \h \u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_Toc8419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6"/>
              <w:sz w:val="24"/>
              <w:szCs w:val="24"/>
              <w:lang w:eastAsia="zh-CN"/>
            </w:rPr>
            <w:t>1总则</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_Toc8419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450EEC8B">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_Toc18609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Times New Roman" w:cs="Times New Roman"/>
              <w:bCs/>
              <w:spacing w:val="-4"/>
              <w:sz w:val="24"/>
              <w:szCs w:val="24"/>
              <w:lang w:eastAsia="zh-CN"/>
            </w:rPr>
            <w:t>1.1</w:t>
          </w:r>
          <w:r>
            <w:rPr>
              <w:rFonts w:hint="default" w:ascii="Times New Roman" w:hAnsi="Times New Roman" w:eastAsia="宋体" w:cs="Times New Roman"/>
              <w:bCs/>
              <w:spacing w:val="-4"/>
              <w:sz w:val="24"/>
              <w:szCs w:val="24"/>
              <w:lang w:eastAsia="zh-CN"/>
            </w:rPr>
            <w:t>论证目的</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_Toc18609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2D040C7E">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_Toc32649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Times New Roman" w:cs="Times New Roman"/>
              <w:bCs/>
              <w:spacing w:val="-4"/>
              <w:sz w:val="24"/>
              <w:szCs w:val="24"/>
              <w:lang w:eastAsia="zh-CN"/>
            </w:rPr>
            <w:t>1.2</w:t>
          </w:r>
          <w:r>
            <w:rPr>
              <w:rFonts w:hint="default" w:ascii="Times New Roman" w:hAnsi="Times New Roman" w:eastAsia="宋体" w:cs="Times New Roman"/>
              <w:bCs/>
              <w:spacing w:val="-4"/>
              <w:sz w:val="24"/>
              <w:szCs w:val="24"/>
              <w:lang w:eastAsia="zh-CN"/>
            </w:rPr>
            <w:t>论证依据</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_Toc32649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6F32976A">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_Toc8199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4"/>
              <w:sz w:val="24"/>
              <w:szCs w:val="24"/>
              <w:lang w:eastAsia="zh-CN"/>
            </w:rPr>
            <w:t>1.3论证原则</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_Toc8199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2FB61B23">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_Toc12237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4"/>
              <w:sz w:val="24"/>
              <w:szCs w:val="24"/>
              <w:lang w:eastAsia="zh-CN"/>
            </w:rPr>
            <w:t>1.4论证范围</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_Toc12237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1A372A9E">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_Toc29852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Times New Roman" w:cs="Times New Roman"/>
              <w:bCs/>
              <w:spacing w:val="-3"/>
              <w:sz w:val="24"/>
              <w:szCs w:val="24"/>
              <w:lang w:eastAsia="zh-CN"/>
            </w:rPr>
            <w:t>1.5</w:t>
          </w:r>
          <w:r>
            <w:rPr>
              <w:rFonts w:hint="default" w:ascii="Times New Roman" w:hAnsi="Times New Roman" w:eastAsia="宋体" w:cs="Times New Roman"/>
              <w:bCs/>
              <w:spacing w:val="-3"/>
              <w:sz w:val="24"/>
              <w:szCs w:val="24"/>
              <w:lang w:eastAsia="zh-CN"/>
            </w:rPr>
            <w:t>论证工作程序</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_Toc29852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71E5FC38">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_Toc24953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3"/>
              <w:sz w:val="24"/>
              <w:szCs w:val="24"/>
              <w:lang w:eastAsia="zh-CN"/>
            </w:rPr>
            <w:t>1.6论证的主要内容</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_Toc24953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40575EA5">
          <w:pPr>
            <w:pStyle w:val="17"/>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_Toc25078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6"/>
              <w:sz w:val="24"/>
              <w:szCs w:val="24"/>
              <w:lang w:eastAsia="zh-CN"/>
            </w:rPr>
            <w:t>2责任主体基本情况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_Toc25078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8</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1E8951EC">
          <w:pPr>
            <w:pStyle w:val="19"/>
            <w:tabs>
              <w:tab w:val="right" w:leader="dot" w:pos="8299"/>
            </w:tabs>
            <w:spacing w:line="360" w:lineRule="auto"/>
            <w:ind w:left="0" w:leftChars="0" w:firstLine="480" w:firstLineChars="200"/>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_Toc24691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Times New Roman" w:cs="Times New Roman"/>
              <w:bCs/>
              <w:spacing w:val="-4"/>
              <w:sz w:val="24"/>
              <w:szCs w:val="24"/>
              <w:lang w:eastAsia="zh-CN"/>
            </w:rPr>
            <w:t>2.1</w:t>
          </w:r>
          <w:r>
            <w:rPr>
              <w:rFonts w:hint="default" w:ascii="Times New Roman" w:hAnsi="Times New Roman" w:eastAsia="宋体" w:cs="Times New Roman"/>
              <w:bCs/>
              <w:spacing w:val="-4"/>
              <w:sz w:val="24"/>
              <w:szCs w:val="24"/>
              <w:lang w:eastAsia="zh-CN"/>
            </w:rPr>
            <w:t>责任主体名称、单位性质、地址</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_Toc24691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8</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54679804">
          <w:pPr>
            <w:pStyle w:val="17"/>
            <w:tabs>
              <w:tab w:val="right" w:leader="dot" w:pos="8299"/>
            </w:tabs>
            <w:spacing w:line="360" w:lineRule="auto"/>
            <w:ind w:firstLine="480" w:firstLineChars="200"/>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_Toc9612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Times New Roman" w:cs="Times New Roman"/>
              <w:bCs/>
              <w:spacing w:val="-4"/>
              <w:sz w:val="24"/>
              <w:szCs w:val="24"/>
              <w:lang w:eastAsia="zh-CN"/>
            </w:rPr>
            <w:t>2.2</w:t>
          </w:r>
          <w:r>
            <w:rPr>
              <w:rFonts w:hint="default" w:ascii="Times New Roman" w:hAnsi="Times New Roman" w:eastAsia="宋体" w:cs="Times New Roman"/>
              <w:bCs/>
              <w:spacing w:val="-4"/>
              <w:sz w:val="24"/>
              <w:szCs w:val="24"/>
              <w:lang w:eastAsia="zh-CN"/>
            </w:rPr>
            <w:t>责任主体生产经营状况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_Toc9612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8</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263F96BD">
          <w:pPr>
            <w:pStyle w:val="17"/>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_Toc4931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6"/>
              <w:sz w:val="24"/>
              <w:szCs w:val="24"/>
              <w:lang w:eastAsia="zh-CN"/>
            </w:rPr>
            <w:t>3建设项目基本情况及产排污分析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_Toc4931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9</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12226DB7">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_Toc22285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Times New Roman" w:cs="Times New Roman"/>
              <w:bCs/>
              <w:spacing w:val="-3"/>
              <w:sz w:val="24"/>
              <w:szCs w:val="24"/>
              <w:lang w:eastAsia="zh-CN"/>
            </w:rPr>
            <w:t>3.1</w:t>
          </w:r>
          <w:r>
            <w:rPr>
              <w:rFonts w:hint="default" w:ascii="Times New Roman" w:hAnsi="Times New Roman" w:eastAsia="宋体" w:cs="Times New Roman"/>
              <w:bCs/>
              <w:spacing w:val="-3"/>
              <w:sz w:val="24"/>
              <w:szCs w:val="24"/>
              <w:lang w:eastAsia="zh-CN"/>
            </w:rPr>
            <w:t>建设项目</w:t>
          </w:r>
          <w:r>
            <w:rPr>
              <w:rFonts w:hint="default" w:ascii="Times New Roman" w:hAnsi="Times New Roman" w:eastAsia="宋体" w:cs="Times New Roman"/>
              <w:bCs/>
              <w:spacing w:val="-4"/>
              <w:sz w:val="24"/>
              <w:szCs w:val="24"/>
              <w:lang w:eastAsia="zh-CN"/>
            </w:rPr>
            <w:t>基本情况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_Toc22285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9</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3699E596">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_Toc16922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3"/>
              <w:sz w:val="24"/>
              <w:szCs w:val="24"/>
              <w:lang w:eastAsia="zh-CN"/>
            </w:rPr>
            <w:t>3.</w:t>
          </w:r>
          <w:r>
            <w:rPr>
              <w:rFonts w:hint="default" w:ascii="Times New Roman" w:hAnsi="Times New Roman" w:eastAsia="宋体" w:cs="Times New Roman"/>
              <w:bCs/>
              <w:spacing w:val="-3"/>
              <w:sz w:val="24"/>
              <w:szCs w:val="24"/>
              <w:lang w:val="en-US" w:eastAsia="zh-CN"/>
            </w:rPr>
            <w:t>2</w:t>
          </w:r>
          <w:r>
            <w:rPr>
              <w:rFonts w:hint="default" w:ascii="Times New Roman" w:hAnsi="Times New Roman" w:eastAsia="宋体" w:cs="Times New Roman"/>
              <w:bCs/>
              <w:spacing w:val="-3"/>
              <w:sz w:val="24"/>
              <w:szCs w:val="24"/>
              <w:lang w:eastAsia="zh-CN"/>
            </w:rPr>
            <w:t>建设项目</w:t>
          </w:r>
          <w:r>
            <w:rPr>
              <w:rFonts w:hint="default" w:ascii="Times New Roman" w:hAnsi="Times New Roman" w:eastAsia="宋体" w:cs="Times New Roman"/>
              <w:bCs/>
              <w:spacing w:val="-3"/>
              <w:sz w:val="24"/>
              <w:szCs w:val="24"/>
              <w:lang w:val="en-US" w:eastAsia="zh-CN"/>
            </w:rPr>
            <w:t>建设及运行情况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_Toc16922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15</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64BAE7DE">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_Toc17853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3"/>
              <w:sz w:val="24"/>
              <w:szCs w:val="24"/>
              <w:lang w:eastAsia="zh-CN"/>
            </w:rPr>
            <w:t>3.</w:t>
          </w:r>
          <w:r>
            <w:rPr>
              <w:rFonts w:hint="default" w:ascii="Times New Roman" w:hAnsi="Times New Roman" w:eastAsia="宋体" w:cs="Times New Roman"/>
              <w:bCs/>
              <w:spacing w:val="-3"/>
              <w:sz w:val="24"/>
              <w:szCs w:val="24"/>
              <w:lang w:val="en-US" w:eastAsia="zh-CN"/>
            </w:rPr>
            <w:t>3</w:t>
          </w:r>
          <w:r>
            <w:rPr>
              <w:rFonts w:hint="default" w:ascii="Times New Roman" w:hAnsi="Times New Roman" w:eastAsia="宋体" w:cs="Times New Roman"/>
              <w:bCs/>
              <w:spacing w:val="-3"/>
              <w:sz w:val="24"/>
              <w:szCs w:val="24"/>
              <w:lang w:eastAsia="zh-CN"/>
            </w:rPr>
            <w:t>建设项目</w:t>
          </w:r>
          <w:r>
            <w:rPr>
              <w:rFonts w:hint="default" w:ascii="Times New Roman" w:hAnsi="Times New Roman" w:eastAsia="宋体" w:cs="Times New Roman"/>
              <w:bCs/>
              <w:spacing w:val="-3"/>
              <w:sz w:val="24"/>
              <w:szCs w:val="24"/>
              <w:lang w:val="en-US" w:eastAsia="zh-CN"/>
            </w:rPr>
            <w:t>水平衡及废污水排放分析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_Toc17853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17</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1582E321">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_Toc20531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3"/>
              <w:sz w:val="24"/>
              <w:szCs w:val="24"/>
              <w:lang w:val="en-US" w:eastAsia="zh-CN"/>
            </w:rPr>
            <w:t>3.4建设项目所在区域概况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_Toc20531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17</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141458D2">
          <w:pPr>
            <w:pStyle w:val="17"/>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_Toc10576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6"/>
              <w:sz w:val="24"/>
              <w:szCs w:val="24"/>
              <w:lang w:eastAsia="zh-CN"/>
            </w:rPr>
            <w:t>4水生态环境现状调查分析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_Toc10576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25</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3644BB40">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_Toc30275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Times New Roman" w:cs="Times New Roman"/>
              <w:bCs/>
              <w:spacing w:val="-2"/>
              <w:sz w:val="24"/>
              <w:szCs w:val="24"/>
              <w:lang w:eastAsia="zh-CN"/>
            </w:rPr>
            <w:t>4.1</w:t>
          </w:r>
          <w:r>
            <w:rPr>
              <w:rFonts w:hint="default" w:ascii="Times New Roman" w:hAnsi="Times New Roman" w:eastAsia="宋体" w:cs="Times New Roman"/>
              <w:bCs/>
              <w:spacing w:val="-2"/>
              <w:sz w:val="24"/>
              <w:szCs w:val="24"/>
              <w:lang w:eastAsia="zh-CN"/>
            </w:rPr>
            <w:t>水功能区管理要求和现有取排水状况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_Toc30275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25</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7EE64987">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_Toc9652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2"/>
              <w:sz w:val="24"/>
              <w:szCs w:val="24"/>
              <w:lang w:eastAsia="zh-CN"/>
            </w:rPr>
            <w:t>4.</w:t>
          </w:r>
          <w:r>
            <w:rPr>
              <w:rFonts w:hint="default" w:ascii="Times New Roman" w:hAnsi="Times New Roman" w:eastAsia="宋体" w:cs="Times New Roman"/>
              <w:bCs/>
              <w:spacing w:val="-2"/>
              <w:sz w:val="24"/>
              <w:szCs w:val="24"/>
              <w:lang w:val="en-US" w:eastAsia="zh-CN"/>
            </w:rPr>
            <w:t>2</w:t>
          </w:r>
          <w:r>
            <w:rPr>
              <w:rFonts w:hint="default" w:ascii="Times New Roman" w:hAnsi="Times New Roman" w:eastAsia="宋体" w:cs="Times New Roman"/>
              <w:bCs/>
              <w:spacing w:val="-2"/>
              <w:sz w:val="24"/>
              <w:szCs w:val="24"/>
              <w:lang w:eastAsia="zh-CN"/>
            </w:rPr>
            <w:t>水环境状况调查分析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_Toc9652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26</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288A4787">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_Toc12187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Times New Roman" w:cs="Times New Roman"/>
              <w:bCs/>
              <w:spacing w:val="-2"/>
              <w:sz w:val="24"/>
              <w:szCs w:val="24"/>
              <w:lang w:eastAsia="zh-CN"/>
            </w:rPr>
            <w:t>4.</w:t>
          </w:r>
          <w:r>
            <w:rPr>
              <w:rFonts w:hint="default" w:ascii="Times New Roman" w:hAnsi="Times New Roman" w:eastAsia="Times New Roman" w:cs="Times New Roman"/>
              <w:bCs/>
              <w:spacing w:val="-2"/>
              <w:sz w:val="24"/>
              <w:szCs w:val="24"/>
              <w:lang w:val="en-US" w:eastAsia="zh-CN"/>
            </w:rPr>
            <w:t>3</w:t>
          </w:r>
          <w:r>
            <w:rPr>
              <w:rFonts w:hint="default" w:ascii="Times New Roman" w:hAnsi="Times New Roman" w:eastAsia="宋体" w:cs="Times New Roman"/>
              <w:bCs/>
              <w:spacing w:val="-2"/>
              <w:sz w:val="24"/>
              <w:szCs w:val="24"/>
              <w:lang w:eastAsia="zh-CN"/>
            </w:rPr>
            <w:t>水生态调查分析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_Toc12187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28</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370283C0">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_Toc25875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2"/>
              <w:sz w:val="24"/>
              <w:szCs w:val="24"/>
              <w:lang w:eastAsia="zh-CN"/>
            </w:rPr>
            <w:t>4.</w:t>
          </w:r>
          <w:r>
            <w:rPr>
              <w:rFonts w:hint="default" w:ascii="Times New Roman" w:hAnsi="Times New Roman" w:eastAsia="宋体" w:cs="Times New Roman"/>
              <w:bCs/>
              <w:spacing w:val="-2"/>
              <w:sz w:val="24"/>
              <w:szCs w:val="24"/>
              <w:lang w:val="en-US" w:eastAsia="zh-CN"/>
            </w:rPr>
            <w:t>4</w:t>
          </w:r>
          <w:r>
            <w:rPr>
              <w:rFonts w:hint="default" w:ascii="Times New Roman" w:hAnsi="Times New Roman" w:eastAsia="宋体" w:cs="Times New Roman"/>
              <w:bCs/>
              <w:spacing w:val="-2"/>
              <w:sz w:val="24"/>
              <w:szCs w:val="24"/>
              <w:lang w:eastAsia="zh-CN"/>
            </w:rPr>
            <w:t>生态环境分区管控要求调查分析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_Toc25875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28</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3F2C0800">
          <w:pPr>
            <w:pStyle w:val="17"/>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_Toc9128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6"/>
              <w:sz w:val="24"/>
              <w:szCs w:val="24"/>
              <w:lang w:eastAsia="zh-CN"/>
            </w:rPr>
            <w:t>5入河排污口设置方案设计</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_Toc9128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31</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08FF47D8">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_Toc30497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2"/>
              <w:sz w:val="24"/>
              <w:szCs w:val="24"/>
              <w:lang w:eastAsia="zh-CN"/>
            </w:rPr>
            <w:t>5.1入河排污口设置基本情况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_Toc30497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31</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1908C33F">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_Toc2684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2"/>
              <w:sz w:val="24"/>
              <w:szCs w:val="24"/>
              <w:lang w:eastAsia="zh-CN"/>
            </w:rPr>
            <w:t>5.2入河排污口排污情况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_Toc2684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32</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57154359">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_Toc13508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2"/>
              <w:sz w:val="24"/>
              <w:szCs w:val="24"/>
              <w:lang w:eastAsia="zh-CN"/>
            </w:rPr>
            <w:t>5.3</w:t>
          </w:r>
          <w:r>
            <w:rPr>
              <w:rFonts w:hint="default" w:ascii="Times New Roman" w:hAnsi="Times New Roman" w:eastAsia="宋体" w:cs="Times New Roman"/>
              <w:bCs/>
              <w:spacing w:val="-2"/>
              <w:sz w:val="24"/>
              <w:szCs w:val="24"/>
              <w:lang w:val="en-US" w:eastAsia="zh-CN"/>
            </w:rPr>
            <w:t>申请的入河排污口重点</w:t>
          </w:r>
          <w:r>
            <w:rPr>
              <w:rFonts w:hint="default" w:ascii="Times New Roman" w:hAnsi="Times New Roman" w:eastAsia="宋体" w:cs="Times New Roman"/>
              <w:bCs/>
              <w:spacing w:val="-2"/>
              <w:sz w:val="24"/>
              <w:szCs w:val="24"/>
              <w:lang w:eastAsia="zh-CN"/>
            </w:rPr>
            <w:t>污染物</w:t>
          </w:r>
          <w:r>
            <w:rPr>
              <w:rFonts w:hint="default" w:ascii="Times New Roman" w:hAnsi="Times New Roman" w:eastAsia="宋体" w:cs="Times New Roman"/>
              <w:bCs/>
              <w:spacing w:val="-2"/>
              <w:sz w:val="24"/>
              <w:szCs w:val="24"/>
              <w:lang w:val="en-US" w:eastAsia="zh-CN"/>
            </w:rPr>
            <w:t>排放浓度、排放量和污水排放量</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_Toc13508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32</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4B312E3A">
          <w:pPr>
            <w:pStyle w:val="17"/>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_Toc8145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6"/>
              <w:sz w:val="24"/>
              <w:szCs w:val="24"/>
              <w:lang w:eastAsia="zh-CN"/>
            </w:rPr>
            <w:t>6入河排污口设置水环境影响分析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_Toc8145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33</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479F964B">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_Toc7213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Times New Roman" w:cs="Times New Roman"/>
              <w:bCs/>
              <w:spacing w:val="-2"/>
              <w:sz w:val="24"/>
              <w:szCs w:val="24"/>
              <w:lang w:eastAsia="zh-CN"/>
            </w:rPr>
            <w:t>6.1</w:t>
          </w:r>
          <w:r>
            <w:rPr>
              <w:rFonts w:hint="default" w:ascii="Times New Roman" w:hAnsi="Times New Roman" w:eastAsia="宋体" w:cs="Times New Roman"/>
              <w:bCs/>
              <w:spacing w:val="-2"/>
              <w:sz w:val="24"/>
              <w:szCs w:val="24"/>
              <w:lang w:eastAsia="zh-CN"/>
            </w:rPr>
            <w:t>水功能区（水域）对入河排污口设置基本</w:t>
          </w:r>
          <w:r>
            <w:rPr>
              <w:rFonts w:hint="default" w:ascii="Times New Roman" w:hAnsi="Times New Roman" w:eastAsia="宋体" w:cs="Times New Roman"/>
              <w:bCs/>
              <w:spacing w:val="-3"/>
              <w:sz w:val="24"/>
              <w:szCs w:val="24"/>
              <w:lang w:eastAsia="zh-CN"/>
            </w:rPr>
            <w:t>要求</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_Toc7213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33</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25345A28">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_Toc29585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Times New Roman" w:cs="Times New Roman"/>
              <w:bCs/>
              <w:spacing w:val="-2"/>
              <w:sz w:val="24"/>
              <w:szCs w:val="24"/>
              <w:lang w:eastAsia="zh-CN"/>
            </w:rPr>
            <w:t>6.2</w:t>
          </w:r>
          <w:r>
            <w:rPr>
              <w:rFonts w:hint="default" w:ascii="Times New Roman" w:hAnsi="Times New Roman" w:eastAsia="宋体" w:cs="Times New Roman"/>
              <w:bCs/>
              <w:spacing w:val="-2"/>
              <w:sz w:val="24"/>
              <w:szCs w:val="24"/>
              <w:lang w:eastAsia="zh-CN"/>
            </w:rPr>
            <w:t>水功能区（水域）纳污能力、限制排污</w:t>
          </w:r>
          <w:r>
            <w:rPr>
              <w:rFonts w:hint="default" w:ascii="Times New Roman" w:hAnsi="Times New Roman" w:eastAsia="宋体" w:cs="Times New Roman"/>
              <w:bCs/>
              <w:spacing w:val="-3"/>
              <w:sz w:val="24"/>
              <w:szCs w:val="24"/>
              <w:lang w:eastAsia="zh-CN"/>
            </w:rPr>
            <w:t>总量</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_Toc29585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34</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53FFB829">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_Toc30876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Times New Roman" w:cs="Times New Roman"/>
              <w:bCs/>
              <w:spacing w:val="-3"/>
              <w:sz w:val="24"/>
              <w:szCs w:val="24"/>
              <w:lang w:eastAsia="zh-CN"/>
            </w:rPr>
            <w:t>6.3</w:t>
          </w:r>
          <w:r>
            <w:rPr>
              <w:rFonts w:hint="default" w:ascii="Times New Roman" w:hAnsi="Times New Roman" w:eastAsia="宋体" w:cs="Times New Roman"/>
              <w:bCs/>
              <w:spacing w:val="-3"/>
              <w:sz w:val="24"/>
              <w:szCs w:val="24"/>
              <w:lang w:eastAsia="zh-CN"/>
            </w:rPr>
            <w:t>入河排污口影响范围</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_Toc30876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37</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0616B1B3">
          <w:pPr>
            <w:pStyle w:val="17"/>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_Toc10722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6"/>
              <w:sz w:val="24"/>
              <w:szCs w:val="24"/>
              <w:lang w:eastAsia="zh-CN"/>
            </w:rPr>
            <w:t>7入河排污口设置水生态影响分析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_Toc10722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40</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01C7B91C">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_Toc23257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3"/>
              <w:sz w:val="24"/>
              <w:szCs w:val="24"/>
              <w:lang w:val="en-US" w:eastAsia="zh-CN"/>
            </w:rPr>
            <w:t>7.1对水生态影响的分析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_Toc23257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42</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7C5BEF40">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_Toc31685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cs="Times New Roman"/>
              <w:sz w:val="24"/>
              <w:szCs w:val="24"/>
              <w:highlight w:val="none"/>
              <w:lang w:val="en-US" w:eastAsia="zh-CN"/>
            </w:rPr>
            <w:t>7.2</w:t>
          </w:r>
          <w:r>
            <w:rPr>
              <w:rFonts w:hint="default" w:ascii="Times New Roman" w:hAnsi="Times New Roman" w:eastAsia="宋体" w:cs="Times New Roman"/>
              <w:sz w:val="24"/>
              <w:szCs w:val="24"/>
              <w:highlight w:val="none"/>
              <w:lang w:val="zh-CN" w:eastAsia="zh-CN"/>
            </w:rPr>
            <w:t>对地下水影响的分析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_Toc31685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43</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16D44CEA">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_Toc7379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cs="Times New Roman"/>
              <w:sz w:val="24"/>
              <w:szCs w:val="24"/>
              <w:highlight w:val="none"/>
              <w:lang w:val="en-US" w:eastAsia="zh-CN"/>
            </w:rPr>
            <w:t>7.3</w:t>
          </w:r>
          <w:r>
            <w:rPr>
              <w:rFonts w:hint="default" w:ascii="Times New Roman" w:hAnsi="Times New Roman" w:eastAsia="宋体" w:cs="Times New Roman"/>
              <w:sz w:val="24"/>
              <w:szCs w:val="24"/>
              <w:highlight w:val="none"/>
              <w:lang w:val="zh-CN" w:eastAsia="zh-CN"/>
            </w:rPr>
            <w:t>对第三者影响的分析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_Toc7379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43</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379A705F">
          <w:pPr>
            <w:pStyle w:val="17"/>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_Toc7873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6"/>
              <w:sz w:val="24"/>
              <w:szCs w:val="24"/>
              <w:lang w:eastAsia="zh-CN"/>
            </w:rPr>
            <w:t>8入河排污口设置水环境风险影响分析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_Toc7873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45</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72F513CD">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_Toc18290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sz w:val="24"/>
              <w:szCs w:val="24"/>
              <w:highlight w:val="none"/>
              <w:lang w:val="zh-CN" w:eastAsia="zh-CN"/>
            </w:rPr>
            <w:t>8.1.水环境风险分析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_Toc18290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45</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570E393B">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_Toc31412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sz w:val="24"/>
              <w:szCs w:val="24"/>
              <w:highlight w:val="none"/>
              <w:lang w:val="en-US" w:eastAsia="zh-CN"/>
            </w:rPr>
            <w:t>8.</w:t>
          </w:r>
          <w:r>
            <w:rPr>
              <w:rFonts w:hint="default" w:ascii="Times New Roman" w:hAnsi="Times New Roman" w:cs="Times New Roman"/>
              <w:sz w:val="24"/>
              <w:szCs w:val="24"/>
              <w:highlight w:val="none"/>
              <w:lang w:val="en-US" w:eastAsia="zh-CN"/>
            </w:rPr>
            <w:t>2</w:t>
          </w:r>
          <w:r>
            <w:rPr>
              <w:rFonts w:hint="default" w:ascii="Times New Roman" w:hAnsi="Times New Roman" w:eastAsia="宋体" w:cs="Times New Roman"/>
              <w:sz w:val="24"/>
              <w:szCs w:val="24"/>
              <w:highlight w:val="none"/>
              <w:lang w:val="zh-CN" w:eastAsia="zh-CN"/>
            </w:rPr>
            <w:t>风险防范措施</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_Toc31412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46</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5CED1FD4">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_Toc17584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sz w:val="24"/>
              <w:szCs w:val="24"/>
              <w:lang w:eastAsia="zh-CN"/>
            </w:rPr>
            <w:t>8.</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eastAsia="zh-CN"/>
            </w:rPr>
            <w:t>事故应急</w:t>
          </w:r>
          <w:r>
            <w:rPr>
              <w:rFonts w:hint="default" w:ascii="Times New Roman" w:hAnsi="Times New Roman" w:eastAsia="宋体" w:cs="Times New Roman"/>
              <w:sz w:val="24"/>
              <w:szCs w:val="24"/>
              <w:lang w:val="en-US" w:eastAsia="zh-CN"/>
            </w:rPr>
            <w:t>预案</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_Toc17584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47</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54B9624E">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_Toc19214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sz w:val="24"/>
              <w:szCs w:val="24"/>
              <w:lang w:eastAsia="zh-CN"/>
            </w:rPr>
            <w:t>8.</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lang w:eastAsia="zh-CN"/>
            </w:rPr>
            <w:t>应急监测</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_Toc19214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50</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57CE1434">
          <w:pPr>
            <w:pStyle w:val="17"/>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_Toc26809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6"/>
              <w:sz w:val="24"/>
              <w:szCs w:val="24"/>
              <w:lang w:eastAsia="zh-CN"/>
            </w:rPr>
            <w:t>9入河排污口设置合理性分析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_Toc26809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52</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27251481">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_Toc24764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sz w:val="24"/>
              <w:szCs w:val="24"/>
              <w:lang w:eastAsia="zh-CN"/>
            </w:rPr>
            <w:t>9.1法律法规政策的符合性</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_Toc24764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52</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057332FB">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_Toc5626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sz w:val="24"/>
              <w:szCs w:val="24"/>
              <w:lang w:eastAsia="zh-CN"/>
            </w:rPr>
            <w:t>9.</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lang w:eastAsia="zh-CN"/>
            </w:rPr>
            <w:t>水生态环境保护目标的符合性</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_Toc5626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54</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22CE1A0B">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_Toc26997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sz w:val="24"/>
              <w:szCs w:val="24"/>
              <w:lang w:eastAsia="zh-CN"/>
            </w:rPr>
            <w:t>9.</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eastAsia="zh-CN"/>
            </w:rPr>
            <w:t>应采取的水生态环境保护措施及实施效果分析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_Toc26997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55</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672390E8">
          <w:pPr>
            <w:pStyle w:val="17"/>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_Toc25102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bCs/>
              <w:spacing w:val="6"/>
              <w:sz w:val="24"/>
              <w:szCs w:val="24"/>
              <w:lang w:eastAsia="zh-CN"/>
            </w:rPr>
            <w:t>10结论与建议</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_Toc25102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57</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1326C2EC">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_Toc12964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sz w:val="24"/>
              <w:szCs w:val="24"/>
              <w:lang w:eastAsia="zh-CN"/>
            </w:rPr>
            <w:t>10.1结论</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_Toc12964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57</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61442A59">
          <w:pPr>
            <w:pStyle w:val="19"/>
            <w:tabs>
              <w:tab w:val="right" w:leader="dot" w:pos="8299"/>
            </w:tabs>
            <w:spacing w:line="360" w:lineRule="auto"/>
            <w:rPr>
              <w:rFonts w:hint="default" w:ascii="Times New Roman" w:hAnsi="Times New Roman" w:cs="Times New Roman"/>
              <w:sz w:val="24"/>
              <w:szCs w:val="24"/>
            </w:rPr>
          </w:pPr>
          <w:r>
            <w:rPr>
              <w:rFonts w:hint="default" w:ascii="Times New Roman" w:hAnsi="Times New Roman" w:eastAsia="Times New Roman" w:cs="Times New Roman"/>
              <w:sz w:val="24"/>
              <w:szCs w:val="24"/>
              <w:lang w:eastAsia="zh-CN"/>
            </w:rPr>
            <w:fldChar w:fldCharType="begin"/>
          </w:r>
          <w:r>
            <w:rPr>
              <w:rFonts w:hint="default" w:ascii="Times New Roman" w:hAnsi="Times New Roman" w:eastAsia="Times New Roman" w:cs="Times New Roman"/>
              <w:sz w:val="24"/>
              <w:szCs w:val="24"/>
              <w:lang w:eastAsia="zh-CN"/>
            </w:rPr>
            <w:instrText xml:space="preserve"> HYPERLINK \l _Toc23359 </w:instrText>
          </w:r>
          <w:r>
            <w:rPr>
              <w:rFonts w:hint="default" w:ascii="Times New Roman" w:hAnsi="Times New Roman" w:eastAsia="Times New Roman" w:cs="Times New Roman"/>
              <w:sz w:val="24"/>
              <w:szCs w:val="24"/>
              <w:lang w:eastAsia="zh-CN"/>
            </w:rPr>
            <w:fldChar w:fldCharType="separate"/>
          </w:r>
          <w:r>
            <w:rPr>
              <w:rFonts w:hint="default" w:ascii="Times New Roman" w:hAnsi="Times New Roman" w:eastAsia="宋体" w:cs="Times New Roman"/>
              <w:sz w:val="24"/>
              <w:szCs w:val="24"/>
              <w:lang w:eastAsia="zh-CN"/>
            </w:rPr>
            <w:t>10.2建议</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_Toc23359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58</w:t>
          </w:r>
          <w:r>
            <w:rPr>
              <w:rFonts w:hint="default" w:ascii="Times New Roman" w:hAnsi="Times New Roman" w:cs="Times New Roman"/>
              <w:sz w:val="24"/>
              <w:szCs w:val="24"/>
            </w:rPr>
            <w:fldChar w:fldCharType="end"/>
          </w:r>
          <w:r>
            <w:rPr>
              <w:rFonts w:hint="default" w:ascii="Times New Roman" w:hAnsi="Times New Roman" w:eastAsia="Times New Roman" w:cs="Times New Roman"/>
              <w:sz w:val="24"/>
              <w:szCs w:val="24"/>
              <w:lang w:eastAsia="zh-CN"/>
            </w:rPr>
            <w:fldChar w:fldCharType="end"/>
          </w:r>
        </w:p>
        <w:p w14:paraId="3C47A9F8">
          <w:pPr>
            <w:keepNext w:val="0"/>
            <w:keepLines w:val="0"/>
            <w:pageBreakBefore w:val="0"/>
            <w:widowControl/>
            <w:kinsoku w:val="0"/>
            <w:wordWrap/>
            <w:overflowPunct/>
            <w:topLinePunct w:val="0"/>
            <w:autoSpaceDE w:val="0"/>
            <w:autoSpaceDN w:val="0"/>
            <w:bidi w:val="0"/>
            <w:adjustRightInd w:val="0"/>
            <w:snapToGrid w:val="0"/>
            <w:spacing w:line="360" w:lineRule="auto"/>
            <w:ind w:left="0"/>
            <w:jc w:val="both"/>
            <w:textAlignment w:val="baseline"/>
          </w:pPr>
          <w:r>
            <w:rPr>
              <w:rFonts w:hint="default" w:ascii="Times New Roman" w:hAnsi="Times New Roman" w:eastAsia="Times New Roman" w:cs="Times New Roman"/>
              <w:sz w:val="24"/>
              <w:szCs w:val="24"/>
              <w:lang w:eastAsia="zh-CN"/>
            </w:rPr>
            <w:fldChar w:fldCharType="end"/>
          </w:r>
        </w:p>
      </w:sdtContent>
    </w:sdt>
    <w:p w14:paraId="4C5526C0">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jc w:val="both"/>
        <w:textAlignment w:val="baseline"/>
        <w:rPr>
          <w:rFonts w:ascii="Times New Roman" w:hAnsi="Times New Roman" w:eastAsia="宋体" w:cs="Times New Roman"/>
          <w:b/>
          <w:bCs/>
          <w:sz w:val="24"/>
          <w:szCs w:val="32"/>
          <w:lang w:eastAsia="zh-CN"/>
        </w:rPr>
      </w:pPr>
    </w:p>
    <w:p w14:paraId="27F76F3B">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jc w:val="both"/>
        <w:textAlignment w:val="baseline"/>
        <w:rPr>
          <w:rFonts w:ascii="Times New Roman" w:hAnsi="Times New Roman" w:eastAsia="宋体" w:cs="Times New Roman"/>
          <w:b/>
          <w:bCs/>
          <w:sz w:val="24"/>
          <w:szCs w:val="32"/>
          <w:lang w:eastAsia="zh-CN"/>
        </w:rPr>
      </w:pPr>
      <w:r>
        <w:rPr>
          <w:rFonts w:ascii="Times New Roman" w:hAnsi="Times New Roman" w:eastAsia="宋体" w:cs="Times New Roman"/>
          <w:b/>
          <w:bCs/>
          <w:sz w:val="24"/>
          <w:szCs w:val="32"/>
          <w:lang w:eastAsia="zh-CN"/>
        </w:rPr>
        <w:t>附图：</w:t>
      </w:r>
    </w:p>
    <w:p w14:paraId="2998DAAE">
      <w:pPr>
        <w:keepNext w:val="0"/>
        <w:keepLines w:val="0"/>
        <w:pageBreakBefore w:val="0"/>
        <w:widowControl w:val="0"/>
        <w:kinsoku/>
        <w:wordWrap/>
        <w:overflowPunct/>
        <w:topLinePunct w:val="0"/>
        <w:autoSpaceDE w:val="0"/>
        <w:autoSpaceDN w:val="0"/>
        <w:bidi w:val="0"/>
        <w:adjustRightInd/>
        <w:snapToGrid/>
        <w:spacing w:line="360" w:lineRule="auto"/>
        <w:contextualSpacing/>
        <w:jc w:val="both"/>
        <w:textAlignment w:val="auto"/>
        <w:rPr>
          <w:rFonts w:ascii="Times New Roman" w:hAnsi="Times New Roman" w:eastAsia="宋体" w:cs="Times New Roman"/>
          <w:sz w:val="24"/>
          <w:szCs w:val="32"/>
          <w:lang w:eastAsia="zh-CN"/>
        </w:rPr>
      </w:pPr>
      <w:r>
        <w:rPr>
          <w:rFonts w:ascii="Times New Roman" w:hAnsi="Times New Roman" w:eastAsia="宋体" w:cs="Times New Roman"/>
          <w:sz w:val="24"/>
          <w:szCs w:val="32"/>
          <w:lang w:eastAsia="zh-CN"/>
        </w:rPr>
        <w:t>附图1 建设项目地理位置</w:t>
      </w:r>
      <w:r>
        <w:rPr>
          <w:rFonts w:hint="eastAsia" w:ascii="Times New Roman" w:hAnsi="Times New Roman" w:eastAsia="宋体" w:cs="Times New Roman"/>
          <w:sz w:val="24"/>
          <w:szCs w:val="32"/>
          <w:lang w:eastAsia="zh-CN"/>
        </w:rPr>
        <w:t>、排水路径</w:t>
      </w:r>
      <w:r>
        <w:rPr>
          <w:rFonts w:ascii="Times New Roman" w:hAnsi="Times New Roman" w:eastAsia="宋体" w:cs="Times New Roman"/>
          <w:sz w:val="24"/>
          <w:szCs w:val="32"/>
          <w:lang w:eastAsia="zh-CN"/>
        </w:rPr>
        <w:t>图</w:t>
      </w:r>
    </w:p>
    <w:p w14:paraId="1CCCC9C5">
      <w:pPr>
        <w:keepNext w:val="0"/>
        <w:keepLines w:val="0"/>
        <w:pageBreakBefore w:val="0"/>
        <w:widowControl w:val="0"/>
        <w:kinsoku/>
        <w:wordWrap/>
        <w:overflowPunct/>
        <w:topLinePunct w:val="0"/>
        <w:autoSpaceDE w:val="0"/>
        <w:autoSpaceDN w:val="0"/>
        <w:bidi w:val="0"/>
        <w:adjustRightInd/>
        <w:snapToGrid/>
        <w:spacing w:line="360" w:lineRule="auto"/>
        <w:contextualSpacing/>
        <w:jc w:val="both"/>
        <w:textAlignment w:val="auto"/>
        <w:rPr>
          <w:rFonts w:ascii="Times New Roman" w:hAnsi="Times New Roman" w:eastAsia="宋体" w:cs="Times New Roman"/>
          <w:sz w:val="24"/>
          <w:szCs w:val="32"/>
          <w:u w:val="single"/>
          <w:lang w:eastAsia="zh-CN"/>
        </w:rPr>
      </w:pPr>
      <w:r>
        <w:rPr>
          <w:rFonts w:ascii="Times New Roman" w:hAnsi="Times New Roman" w:eastAsia="宋体" w:cs="Times New Roman"/>
          <w:sz w:val="24"/>
          <w:szCs w:val="32"/>
          <w:u w:val="single"/>
          <w:lang w:eastAsia="zh-CN"/>
        </w:rPr>
        <w:t>附图2 排污论证范围图</w:t>
      </w:r>
    </w:p>
    <w:p w14:paraId="73A718DC">
      <w:pPr>
        <w:keepNext w:val="0"/>
        <w:keepLines w:val="0"/>
        <w:pageBreakBefore w:val="0"/>
        <w:widowControl w:val="0"/>
        <w:kinsoku/>
        <w:wordWrap/>
        <w:overflowPunct/>
        <w:topLinePunct w:val="0"/>
        <w:autoSpaceDE w:val="0"/>
        <w:autoSpaceDN w:val="0"/>
        <w:bidi w:val="0"/>
        <w:adjustRightInd/>
        <w:snapToGrid/>
        <w:spacing w:line="360" w:lineRule="auto"/>
        <w:contextualSpacing/>
        <w:jc w:val="both"/>
        <w:textAlignment w:val="auto"/>
        <w:rPr>
          <w:rFonts w:ascii="Times New Roman" w:hAnsi="Times New Roman" w:eastAsia="宋体" w:cs="Times New Roman"/>
          <w:sz w:val="24"/>
          <w:szCs w:val="32"/>
          <w:lang w:eastAsia="zh-CN"/>
        </w:rPr>
      </w:pPr>
      <w:r>
        <w:rPr>
          <w:rFonts w:ascii="Times New Roman" w:hAnsi="Times New Roman" w:eastAsia="宋体" w:cs="Times New Roman"/>
          <w:sz w:val="24"/>
          <w:szCs w:val="32"/>
          <w:lang w:eastAsia="zh-CN"/>
        </w:rPr>
        <w:t>附图3 补充监测断面示意图</w:t>
      </w:r>
    </w:p>
    <w:p w14:paraId="1010CBCC">
      <w:pPr>
        <w:keepNext w:val="0"/>
        <w:keepLines w:val="0"/>
        <w:pageBreakBefore w:val="0"/>
        <w:widowControl w:val="0"/>
        <w:kinsoku/>
        <w:wordWrap/>
        <w:overflowPunct/>
        <w:topLinePunct w:val="0"/>
        <w:autoSpaceDE w:val="0"/>
        <w:autoSpaceDN w:val="0"/>
        <w:bidi w:val="0"/>
        <w:adjustRightInd/>
        <w:snapToGrid/>
        <w:spacing w:line="360" w:lineRule="auto"/>
        <w:contextualSpacing/>
        <w:jc w:val="both"/>
        <w:textAlignment w:val="auto"/>
        <w:rPr>
          <w:rFonts w:hint="default" w:ascii="Times New Roman" w:hAnsi="Times New Roman" w:eastAsia="宋体" w:cs="Times New Roman"/>
          <w:sz w:val="24"/>
          <w:szCs w:val="32"/>
          <w:u w:val="none"/>
          <w:lang w:val="en-US" w:eastAsia="zh-CN"/>
        </w:rPr>
      </w:pPr>
      <w:r>
        <w:rPr>
          <w:rFonts w:ascii="Times New Roman" w:hAnsi="Times New Roman" w:eastAsia="宋体" w:cs="Times New Roman"/>
          <w:sz w:val="24"/>
          <w:szCs w:val="32"/>
          <w:u w:val="none"/>
          <w:lang w:eastAsia="zh-CN"/>
        </w:rPr>
        <w:t xml:space="preserve">附图4 </w:t>
      </w:r>
      <w:r>
        <w:rPr>
          <w:rFonts w:hint="eastAsia" w:ascii="Times New Roman" w:hAnsi="Times New Roman" w:eastAsia="宋体" w:cs="Times New Roman"/>
          <w:sz w:val="24"/>
          <w:szCs w:val="32"/>
          <w:u w:val="none"/>
          <w:lang w:val="en-US" w:eastAsia="zh-CN"/>
        </w:rPr>
        <w:t>湘潭县水功能区划图局部</w:t>
      </w:r>
    </w:p>
    <w:p w14:paraId="69104587">
      <w:pPr>
        <w:keepNext w:val="0"/>
        <w:keepLines w:val="0"/>
        <w:pageBreakBefore w:val="0"/>
        <w:widowControl w:val="0"/>
        <w:kinsoku/>
        <w:wordWrap/>
        <w:overflowPunct/>
        <w:topLinePunct w:val="0"/>
        <w:autoSpaceDE w:val="0"/>
        <w:autoSpaceDN w:val="0"/>
        <w:bidi w:val="0"/>
        <w:adjustRightInd/>
        <w:snapToGrid/>
        <w:spacing w:line="360" w:lineRule="auto"/>
        <w:contextualSpacing/>
        <w:jc w:val="both"/>
        <w:textAlignment w:val="auto"/>
        <w:rPr>
          <w:rFonts w:ascii="Times New Roman" w:hAnsi="Times New Roman" w:eastAsia="宋体" w:cs="Times New Roman"/>
          <w:sz w:val="24"/>
          <w:szCs w:val="32"/>
          <w:u w:val="single"/>
          <w:lang w:eastAsia="zh-CN"/>
        </w:rPr>
      </w:pPr>
      <w:r>
        <w:rPr>
          <w:rFonts w:hint="eastAsia" w:ascii="Times New Roman" w:hAnsi="Times New Roman" w:eastAsia="宋体" w:cs="Times New Roman"/>
          <w:sz w:val="24"/>
          <w:szCs w:val="32"/>
          <w:u w:val="single"/>
          <w:lang w:val="en-US" w:eastAsia="zh-CN"/>
        </w:rPr>
        <w:t xml:space="preserve">附图5 </w:t>
      </w:r>
      <w:r>
        <w:rPr>
          <w:rFonts w:hint="default" w:ascii="Times New Roman" w:hAnsi="Times New Roman" w:eastAsia="宋体" w:cs="Times New Roman"/>
          <w:sz w:val="24"/>
          <w:szCs w:val="32"/>
          <w:u w:val="single"/>
          <w:lang w:val="en-US" w:eastAsia="zh-CN"/>
        </w:rPr>
        <w:t>企业</w:t>
      </w:r>
      <w:r>
        <w:rPr>
          <w:rFonts w:hint="eastAsia" w:ascii="Times New Roman" w:hAnsi="Times New Roman" w:eastAsia="宋体" w:cs="Times New Roman"/>
          <w:sz w:val="24"/>
          <w:szCs w:val="32"/>
          <w:u w:val="single"/>
          <w:lang w:val="en-US" w:eastAsia="zh-CN"/>
        </w:rPr>
        <w:t>平面布置、雨水、污水、事故废水排放路径</w:t>
      </w:r>
      <w:r>
        <w:rPr>
          <w:rFonts w:ascii="Times New Roman" w:hAnsi="Times New Roman" w:eastAsia="宋体" w:cs="Times New Roman"/>
          <w:sz w:val="24"/>
          <w:szCs w:val="32"/>
          <w:u w:val="single"/>
          <w:lang w:eastAsia="zh-CN"/>
        </w:rPr>
        <w:t>图</w:t>
      </w:r>
    </w:p>
    <w:p w14:paraId="4DBD0B88">
      <w:pPr>
        <w:keepNext w:val="0"/>
        <w:keepLines w:val="0"/>
        <w:pageBreakBefore w:val="0"/>
        <w:widowControl w:val="0"/>
        <w:kinsoku/>
        <w:wordWrap/>
        <w:overflowPunct/>
        <w:topLinePunct w:val="0"/>
        <w:autoSpaceDE w:val="0"/>
        <w:autoSpaceDN w:val="0"/>
        <w:bidi w:val="0"/>
        <w:adjustRightInd/>
        <w:snapToGrid/>
        <w:spacing w:line="360" w:lineRule="auto"/>
        <w:contextualSpacing/>
        <w:jc w:val="both"/>
        <w:textAlignment w:val="auto"/>
        <w:rPr>
          <w:rFonts w:hint="eastAsia" w:ascii="Times New Roman" w:hAnsi="Times New Roman" w:eastAsia="宋体" w:cs="Times New Roman"/>
          <w:b/>
          <w:bCs/>
          <w:sz w:val="24"/>
          <w:szCs w:val="32"/>
          <w:lang w:val="en-US" w:eastAsia="zh-CN"/>
        </w:rPr>
      </w:pPr>
      <w:r>
        <w:rPr>
          <w:rFonts w:hint="eastAsia" w:ascii="Times New Roman" w:hAnsi="Times New Roman" w:eastAsia="宋体" w:cs="Times New Roman"/>
          <w:b/>
          <w:bCs/>
          <w:sz w:val="24"/>
          <w:szCs w:val="32"/>
          <w:lang w:val="en-US" w:eastAsia="zh-CN"/>
        </w:rPr>
        <w:t>附件：</w:t>
      </w:r>
    </w:p>
    <w:p w14:paraId="143A6E3B">
      <w:pPr>
        <w:keepNext w:val="0"/>
        <w:keepLines w:val="0"/>
        <w:pageBreakBefore w:val="0"/>
        <w:widowControl w:val="0"/>
        <w:kinsoku/>
        <w:wordWrap/>
        <w:overflowPunct/>
        <w:topLinePunct w:val="0"/>
        <w:autoSpaceDE w:val="0"/>
        <w:autoSpaceDN w:val="0"/>
        <w:bidi w:val="0"/>
        <w:adjustRightInd/>
        <w:snapToGrid/>
        <w:spacing w:line="360" w:lineRule="auto"/>
        <w:contextualSpacing/>
        <w:jc w:val="both"/>
        <w:textAlignment w:val="auto"/>
        <w:rPr>
          <w:rFonts w:hint="eastAsia" w:ascii="Times New Roman" w:hAnsi="Times New Roman" w:eastAsia="宋体" w:cs="Times New Roman"/>
          <w:sz w:val="24"/>
          <w:szCs w:val="32"/>
          <w:lang w:val="en-US" w:eastAsia="zh-CN"/>
        </w:rPr>
      </w:pPr>
      <w:r>
        <w:rPr>
          <w:rFonts w:hint="eastAsia" w:ascii="Times New Roman" w:hAnsi="Times New Roman" w:eastAsia="宋体" w:cs="Times New Roman"/>
          <w:sz w:val="24"/>
          <w:szCs w:val="32"/>
          <w:lang w:val="en-US" w:eastAsia="zh-CN"/>
        </w:rPr>
        <w:t>附件1营业执照</w:t>
      </w:r>
    </w:p>
    <w:p w14:paraId="71407266">
      <w:pPr>
        <w:keepNext w:val="0"/>
        <w:keepLines w:val="0"/>
        <w:pageBreakBefore w:val="0"/>
        <w:widowControl w:val="0"/>
        <w:kinsoku/>
        <w:wordWrap/>
        <w:overflowPunct/>
        <w:topLinePunct w:val="0"/>
        <w:autoSpaceDE w:val="0"/>
        <w:autoSpaceDN w:val="0"/>
        <w:bidi w:val="0"/>
        <w:adjustRightInd/>
        <w:snapToGrid/>
        <w:spacing w:line="360" w:lineRule="auto"/>
        <w:contextualSpacing/>
        <w:jc w:val="both"/>
        <w:textAlignment w:val="auto"/>
        <w:rPr>
          <w:rFonts w:hint="eastAsia" w:ascii="Times New Roman" w:hAnsi="Times New Roman" w:eastAsia="宋体" w:cs="Times New Roman"/>
          <w:sz w:val="24"/>
          <w:szCs w:val="32"/>
          <w:lang w:val="en-US" w:eastAsia="zh-CN"/>
        </w:rPr>
      </w:pPr>
      <w:r>
        <w:rPr>
          <w:rFonts w:hint="eastAsia" w:ascii="Times New Roman" w:hAnsi="Times New Roman" w:eastAsia="宋体" w:cs="Times New Roman"/>
          <w:sz w:val="24"/>
          <w:szCs w:val="32"/>
          <w:lang w:val="en-US" w:eastAsia="zh-CN"/>
        </w:rPr>
        <w:t>附件2检测报告</w:t>
      </w:r>
    </w:p>
    <w:p w14:paraId="72F74749">
      <w:pPr>
        <w:keepNext w:val="0"/>
        <w:keepLines w:val="0"/>
        <w:pageBreakBefore w:val="0"/>
        <w:widowControl w:val="0"/>
        <w:kinsoku/>
        <w:wordWrap/>
        <w:overflowPunct/>
        <w:topLinePunct w:val="0"/>
        <w:autoSpaceDE w:val="0"/>
        <w:autoSpaceDN w:val="0"/>
        <w:bidi w:val="0"/>
        <w:adjustRightInd/>
        <w:snapToGrid/>
        <w:spacing w:line="360" w:lineRule="auto"/>
        <w:contextualSpacing/>
        <w:jc w:val="both"/>
        <w:textAlignment w:val="auto"/>
        <w:rPr>
          <w:rFonts w:hint="eastAsia" w:ascii="Times New Roman" w:hAnsi="Times New Roman" w:eastAsia="宋体" w:cs="Times New Roman"/>
          <w:sz w:val="24"/>
          <w:szCs w:val="32"/>
          <w:lang w:val="en-US" w:eastAsia="zh-CN"/>
        </w:rPr>
      </w:pPr>
      <w:r>
        <w:rPr>
          <w:rFonts w:hint="eastAsia" w:ascii="Times New Roman" w:hAnsi="Times New Roman" w:eastAsia="宋体" w:cs="Times New Roman"/>
          <w:sz w:val="24"/>
          <w:szCs w:val="32"/>
          <w:lang w:val="en-US" w:eastAsia="zh-CN"/>
        </w:rPr>
        <w:t>附件3入河排污口专家评审意见及签到表</w:t>
      </w:r>
    </w:p>
    <w:p w14:paraId="3FF4DC90">
      <w:pPr>
        <w:keepNext w:val="0"/>
        <w:keepLines w:val="0"/>
        <w:pageBreakBefore w:val="0"/>
        <w:widowControl w:val="0"/>
        <w:kinsoku/>
        <w:wordWrap/>
        <w:overflowPunct/>
        <w:topLinePunct w:val="0"/>
        <w:autoSpaceDE w:val="0"/>
        <w:autoSpaceDN w:val="0"/>
        <w:bidi w:val="0"/>
        <w:adjustRightInd/>
        <w:snapToGrid/>
        <w:spacing w:line="360" w:lineRule="auto"/>
        <w:contextualSpacing/>
        <w:jc w:val="both"/>
        <w:textAlignment w:val="auto"/>
        <w:rPr>
          <w:rFonts w:hint="default" w:ascii="Times New Roman" w:hAnsi="Times New Roman" w:eastAsia="宋体" w:cs="Times New Roman"/>
          <w:sz w:val="24"/>
          <w:szCs w:val="32"/>
          <w:lang w:val="en-US" w:eastAsia="zh-CN"/>
        </w:rPr>
      </w:pPr>
      <w:r>
        <w:rPr>
          <w:rFonts w:hint="eastAsia" w:ascii="Times New Roman" w:hAnsi="Times New Roman" w:eastAsia="宋体" w:cs="Times New Roman"/>
          <w:sz w:val="24"/>
          <w:szCs w:val="32"/>
          <w:lang w:val="en-US" w:eastAsia="zh-CN"/>
        </w:rPr>
        <w:t>附件4项目环评专家复核签字</w:t>
      </w:r>
    </w:p>
    <w:p w14:paraId="55E739EA">
      <w:pPr>
        <w:bidi w:val="0"/>
        <w:rPr>
          <w:lang w:val="en-US" w:eastAsia="zh-CN"/>
        </w:rPr>
      </w:pPr>
    </w:p>
    <w:p w14:paraId="3346DD68">
      <w:pPr>
        <w:tabs>
          <w:tab w:val="left" w:pos="1000"/>
        </w:tabs>
        <w:bidi w:val="0"/>
        <w:jc w:val="left"/>
        <w:rPr>
          <w:lang w:val="en-US" w:eastAsia="zh-CN"/>
        </w:rPr>
        <w:sectPr>
          <w:headerReference r:id="rId3" w:type="default"/>
          <w:pgSz w:w="11905" w:h="16838"/>
          <w:pgMar w:top="1440" w:right="1803" w:bottom="1440" w:left="1803" w:header="828" w:footer="794" w:gutter="0"/>
          <w:cols w:space="0" w:num="1"/>
          <w:rtlGutter w:val="0"/>
          <w:docGrid w:linePitch="0" w:charSpace="0"/>
        </w:sectPr>
      </w:pPr>
      <w:r>
        <w:rPr>
          <w:rFonts w:hint="eastAsia"/>
          <w:lang w:val="en-US" w:eastAsia="zh-CN"/>
        </w:rPr>
        <w:tab/>
      </w:r>
    </w:p>
    <w:p w14:paraId="48FD13DE">
      <w:pPr>
        <w:keepNext w:val="0"/>
        <w:keepLines w:val="0"/>
        <w:pageBreakBefore w:val="0"/>
        <w:widowControl/>
        <w:kinsoku w:val="0"/>
        <w:wordWrap/>
        <w:overflowPunct/>
        <w:topLinePunct w:val="0"/>
        <w:autoSpaceDE w:val="0"/>
        <w:autoSpaceDN w:val="0"/>
        <w:bidi w:val="0"/>
        <w:adjustRightInd w:val="0"/>
        <w:snapToGrid w:val="0"/>
        <w:spacing w:before="334" w:line="360" w:lineRule="auto"/>
        <w:jc w:val="center"/>
        <w:textAlignment w:val="baseline"/>
        <w:outlineLvl w:val="0"/>
        <w:rPr>
          <w:rFonts w:hint="default" w:ascii="Times New Roman" w:hAnsi="Times New Roman" w:eastAsia="宋体" w:cs="Times New Roman"/>
          <w:b/>
          <w:bCs/>
          <w:spacing w:val="6"/>
          <w:sz w:val="31"/>
          <w:szCs w:val="31"/>
          <w:lang w:eastAsia="zh-CN"/>
        </w:rPr>
      </w:pPr>
      <w:bookmarkStart w:id="0" w:name="_Toc22865"/>
      <w:bookmarkStart w:id="1" w:name="_Toc8419"/>
      <w:r>
        <w:rPr>
          <w:rFonts w:hint="default" w:ascii="Times New Roman" w:hAnsi="Times New Roman" w:eastAsia="宋体" w:cs="Times New Roman"/>
          <w:b/>
          <w:bCs/>
          <w:spacing w:val="6"/>
          <w:sz w:val="31"/>
          <w:szCs w:val="31"/>
          <w:lang w:eastAsia="zh-CN"/>
        </w:rPr>
        <w:t>1总则</w:t>
      </w:r>
      <w:bookmarkEnd w:id="0"/>
      <w:bookmarkEnd w:id="1"/>
    </w:p>
    <w:p w14:paraId="4224DAC2">
      <w:pPr>
        <w:keepNext w:val="0"/>
        <w:keepLines w:val="0"/>
        <w:pageBreakBefore w:val="0"/>
        <w:widowControl/>
        <w:kinsoku w:val="0"/>
        <w:wordWrap/>
        <w:overflowPunct/>
        <w:topLinePunct w:val="0"/>
        <w:autoSpaceDE w:val="0"/>
        <w:autoSpaceDN w:val="0"/>
        <w:bidi w:val="0"/>
        <w:adjustRightInd w:val="0"/>
        <w:snapToGrid w:val="0"/>
        <w:spacing w:line="360" w:lineRule="auto"/>
        <w:ind w:left="0"/>
        <w:jc w:val="both"/>
        <w:textAlignment w:val="baseline"/>
        <w:outlineLvl w:val="1"/>
        <w:rPr>
          <w:rFonts w:ascii="宋体" w:hAnsi="宋体" w:eastAsia="宋体" w:cs="宋体"/>
          <w:sz w:val="28"/>
          <w:szCs w:val="28"/>
          <w:lang w:eastAsia="zh-CN"/>
        </w:rPr>
      </w:pPr>
      <w:bookmarkStart w:id="2" w:name="_Toc981"/>
      <w:bookmarkStart w:id="3" w:name="_Toc18609"/>
      <w:r>
        <w:rPr>
          <w:rFonts w:ascii="Times New Roman" w:hAnsi="Times New Roman" w:eastAsia="Times New Roman" w:cs="Times New Roman"/>
          <w:b/>
          <w:bCs/>
          <w:spacing w:val="-4"/>
          <w:sz w:val="28"/>
          <w:szCs w:val="28"/>
          <w:lang w:eastAsia="zh-CN"/>
        </w:rPr>
        <w:t>1.1</w:t>
      </w:r>
      <w:r>
        <w:rPr>
          <w:rFonts w:ascii="宋体" w:hAnsi="宋体" w:eastAsia="宋体" w:cs="宋体"/>
          <w:b/>
          <w:bCs/>
          <w:spacing w:val="-4"/>
          <w:sz w:val="28"/>
          <w:szCs w:val="28"/>
          <w:lang w:eastAsia="zh-CN"/>
        </w:rPr>
        <w:t>论证目的</w:t>
      </w:r>
      <w:bookmarkEnd w:id="2"/>
      <w:bookmarkEnd w:id="3"/>
    </w:p>
    <w:p w14:paraId="24552C01">
      <w:pPr>
        <w:keepNext w:val="0"/>
        <w:keepLines w:val="0"/>
        <w:pageBreakBefore w:val="0"/>
        <w:widowControl/>
        <w:kinsoku w:val="0"/>
        <w:wordWrap/>
        <w:overflowPunct/>
        <w:topLinePunct w:val="0"/>
        <w:autoSpaceDE w:val="0"/>
        <w:autoSpaceDN w:val="0"/>
        <w:bidi w:val="0"/>
        <w:adjustRightInd w:val="0"/>
        <w:snapToGrid w:val="0"/>
        <w:spacing w:line="360" w:lineRule="auto"/>
        <w:ind w:left="0"/>
        <w:jc w:val="both"/>
        <w:textAlignment w:val="baseline"/>
        <w:outlineLvl w:val="2"/>
        <w:rPr>
          <w:rFonts w:ascii="宋体" w:hAnsi="宋体" w:eastAsia="宋体" w:cs="宋体"/>
          <w:sz w:val="24"/>
          <w:szCs w:val="24"/>
          <w:lang w:eastAsia="zh-CN"/>
        </w:rPr>
      </w:pPr>
      <w:bookmarkStart w:id="4" w:name="_Toc15667"/>
      <w:bookmarkStart w:id="5" w:name="_Toc29607"/>
      <w:bookmarkStart w:id="6" w:name="_Toc13947"/>
      <w:r>
        <w:rPr>
          <w:rFonts w:ascii="Times New Roman" w:hAnsi="Times New Roman" w:eastAsia="Times New Roman" w:cs="Times New Roman"/>
          <w:b/>
          <w:bCs/>
          <w:spacing w:val="-5"/>
          <w:sz w:val="24"/>
          <w:szCs w:val="24"/>
          <w:lang w:eastAsia="zh-CN"/>
        </w:rPr>
        <w:t>1.1.1</w:t>
      </w:r>
      <w:r>
        <w:rPr>
          <w:rFonts w:ascii="宋体" w:hAnsi="宋体" w:eastAsia="宋体" w:cs="宋体"/>
          <w:b/>
          <w:bCs/>
          <w:spacing w:val="-5"/>
          <w:sz w:val="24"/>
          <w:szCs w:val="24"/>
          <w:lang w:eastAsia="zh-CN"/>
        </w:rPr>
        <w:t>项目由来</w:t>
      </w:r>
      <w:bookmarkEnd w:id="4"/>
      <w:bookmarkEnd w:id="5"/>
      <w:bookmarkEnd w:id="6"/>
    </w:p>
    <w:p w14:paraId="522C4316">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Times New Roman" w:hAnsi="Times New Roman" w:eastAsia="宋体" w:cs="Times New Roman"/>
          <w:bCs/>
          <w:color w:val="000000" w:themeColor="text1"/>
          <w:sz w:val="24"/>
          <w:lang w:eastAsia="zh-CN"/>
          <w14:textFill>
            <w14:solidFill>
              <w14:schemeClr w14:val="tx1"/>
            </w14:solidFill>
          </w14:textFill>
        </w:rPr>
      </w:pPr>
      <w:r>
        <w:rPr>
          <w:rFonts w:hint="eastAsia" w:ascii="Times New Roman" w:hAnsi="Times New Roman" w:eastAsia="宋体" w:cs="Times New Roman"/>
          <w:bCs/>
          <w:color w:val="000000" w:themeColor="text1"/>
          <w:sz w:val="24"/>
          <w:lang w:eastAsia="zh-CN"/>
          <w14:textFill>
            <w14:solidFill>
              <w14:schemeClr w14:val="tx1"/>
            </w14:solidFill>
          </w14:textFill>
        </w:rPr>
        <w:t>实施入河排污口监督管理是保护水资源，改善水环境，促进水资源可持续利用的重要措施。本次论证工作目的是在满足水功能区（水域）水质要求的前提下，论证“湘潭县怡和顺科技有限公司生产线技术改造项目”入河排污口设置对水功能区（水域）、水生态和对第三方权益的影响，根据河流纳污能力、水生态保护、水质保护等要求，提出水质保护措施，为建设单位合理设置入河排污口和生态环境行政主管部门审批入河排污口设置方案提供科学依据，以保障生活、生产和生态用水安全。</w:t>
      </w:r>
    </w:p>
    <w:p w14:paraId="56A8F0BF">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Times New Roman" w:hAnsi="Times New Roman" w:eastAsia="宋体" w:cs="Times New Roman"/>
          <w:bCs/>
          <w:color w:val="000000" w:themeColor="text1"/>
          <w:sz w:val="24"/>
          <w:lang w:eastAsia="zh-CN"/>
          <w14:textFill>
            <w14:solidFill>
              <w14:schemeClr w14:val="tx1"/>
            </w14:solidFill>
          </w14:textFill>
        </w:rPr>
      </w:pPr>
      <w:r>
        <w:rPr>
          <w:rFonts w:hint="eastAsia" w:ascii="Times New Roman" w:hAnsi="Times New Roman" w:eastAsia="宋体" w:cs="Times New Roman"/>
          <w:bCs/>
          <w:color w:val="000000" w:themeColor="text1"/>
          <w:sz w:val="24"/>
          <w:lang w:eastAsia="zh-CN"/>
          <w14:textFill>
            <w14:solidFill>
              <w14:schemeClr w14:val="tx1"/>
            </w14:solidFill>
          </w14:textFill>
        </w:rPr>
        <w:t>湘潭县怡和顺科技有限公司在湘潭县石鼓镇垅塅村上田组，投资600万元建设湘潭县怡和顺科技有限公司生产线技术改造项目，</w:t>
      </w:r>
      <w:r>
        <w:rPr>
          <w:rFonts w:hint="eastAsia" w:ascii="Times New Roman" w:hAnsi="Times New Roman" w:eastAsia="宋体" w:cs="Times New Roman"/>
          <w:bCs/>
          <w:color w:val="000000" w:themeColor="text1"/>
          <w:sz w:val="24"/>
          <w:lang w:val="en-US" w:eastAsia="zh-CN"/>
          <w14:textFill>
            <w14:solidFill>
              <w14:schemeClr w14:val="tx1"/>
            </w14:solidFill>
          </w14:textFill>
        </w:rPr>
        <w:t>企业现有进行槟榔代加工，无废水外排。本次技改新增清洗、煮籽等工序，</w:t>
      </w:r>
      <w:r>
        <w:rPr>
          <w:rFonts w:hint="eastAsia" w:ascii="Times New Roman" w:hAnsi="Times New Roman" w:eastAsia="宋体" w:cs="Times New Roman"/>
          <w:bCs/>
          <w:color w:val="000000" w:themeColor="text1"/>
          <w:sz w:val="24"/>
          <w:lang w:eastAsia="zh-CN"/>
          <w14:textFill>
            <w14:solidFill>
              <w14:schemeClr w14:val="tx1"/>
            </w14:solidFill>
          </w14:textFill>
        </w:rPr>
        <w:t>项目外排废水总量为2774.28m</w:t>
      </w:r>
      <w:r>
        <w:rPr>
          <w:rFonts w:hint="eastAsia" w:ascii="Times New Roman" w:hAnsi="Times New Roman" w:eastAsia="宋体" w:cs="Times New Roman"/>
          <w:bCs/>
          <w:color w:val="000000" w:themeColor="text1"/>
          <w:sz w:val="24"/>
          <w:vertAlign w:val="superscript"/>
          <w:lang w:eastAsia="zh-CN"/>
          <w14:textFill>
            <w14:solidFill>
              <w14:schemeClr w14:val="tx1"/>
            </w14:solidFill>
          </w14:textFill>
        </w:rPr>
        <w:t>3</w:t>
      </w:r>
      <w:r>
        <w:rPr>
          <w:rFonts w:hint="eastAsia" w:ascii="Times New Roman" w:hAnsi="Times New Roman" w:eastAsia="宋体" w:cs="Times New Roman"/>
          <w:bCs/>
          <w:color w:val="000000" w:themeColor="text1"/>
          <w:sz w:val="24"/>
          <w:lang w:eastAsia="zh-CN"/>
          <w14:textFill>
            <w14:solidFill>
              <w14:schemeClr w14:val="tx1"/>
            </w14:solidFill>
          </w14:textFill>
        </w:rPr>
        <w:t>/a，污水处理站设计规模为15m</w:t>
      </w:r>
      <w:r>
        <w:rPr>
          <w:rFonts w:hint="eastAsia" w:ascii="Times New Roman" w:hAnsi="Times New Roman" w:eastAsia="宋体" w:cs="Times New Roman"/>
          <w:bCs/>
          <w:color w:val="000000" w:themeColor="text1"/>
          <w:sz w:val="24"/>
          <w:vertAlign w:val="superscript"/>
          <w:lang w:eastAsia="zh-CN"/>
          <w14:textFill>
            <w14:solidFill>
              <w14:schemeClr w14:val="tx1"/>
            </w14:solidFill>
          </w14:textFill>
        </w:rPr>
        <w:t>3</w:t>
      </w:r>
      <w:r>
        <w:rPr>
          <w:rFonts w:hint="eastAsia" w:ascii="Times New Roman" w:hAnsi="Times New Roman" w:eastAsia="宋体" w:cs="Times New Roman"/>
          <w:bCs/>
          <w:color w:val="000000" w:themeColor="text1"/>
          <w:sz w:val="24"/>
          <w:lang w:eastAsia="zh-CN"/>
          <w14:textFill>
            <w14:solidFill>
              <w14:schemeClr w14:val="tx1"/>
            </w14:solidFill>
          </w14:textFill>
        </w:rPr>
        <w:t>/d，</w:t>
      </w:r>
      <w:r>
        <w:rPr>
          <w:rFonts w:hint="eastAsia" w:ascii="Times New Roman" w:hAnsi="Times New Roman" w:eastAsia="宋体" w:cs="Times New Roman"/>
          <w:bCs/>
          <w:color w:val="000000" w:themeColor="text1"/>
          <w:sz w:val="24"/>
          <w:lang w:val="en-US" w:eastAsia="zh-CN"/>
          <w14:textFill>
            <w14:solidFill>
              <w14:schemeClr w14:val="tx1"/>
            </w14:solidFill>
          </w14:textFill>
        </w:rPr>
        <w:t>综合废水</w:t>
      </w:r>
      <w:r>
        <w:rPr>
          <w:rFonts w:hint="eastAsia" w:ascii="Times New Roman" w:hAnsi="Times New Roman" w:eastAsia="宋体" w:cs="Times New Roman"/>
          <w:bCs/>
          <w:color w:val="000000" w:themeColor="text1"/>
          <w:sz w:val="24"/>
          <w:lang w:eastAsia="zh-CN"/>
          <w14:textFill>
            <w14:solidFill>
              <w14:schemeClr w14:val="tx1"/>
            </w14:solidFill>
          </w14:textFill>
        </w:rPr>
        <w:t>经</w:t>
      </w:r>
      <w:r>
        <w:rPr>
          <w:rFonts w:hint="default" w:ascii="Times New Roman" w:hAnsi="Times New Roman" w:eastAsia="宋体" w:cs="Times New Roman"/>
          <w:bCs/>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szCs w:val="24"/>
          <w:u w:val="none" w:color="auto"/>
          <w:vertAlign w:val="baseline"/>
          <w:lang w:val="en-US" w:eastAsia="zh-CN"/>
          <w14:textFill>
            <w14:solidFill>
              <w14:schemeClr w14:val="tx1"/>
            </w14:solidFill>
          </w14:textFill>
        </w:rPr>
        <w:t>格栅+隔油调节+絮凝沉淀+斜管沉淀+微纳米臭氧氧化系统+曝气+膜处理+厌氧+缺氧+好氧+沉淀+植物净化</w:t>
      </w:r>
      <w:r>
        <w:rPr>
          <w:rFonts w:hint="default" w:ascii="Times New Roman" w:hAnsi="Times New Roman" w:eastAsia="宋体" w:cs="Times New Roman"/>
          <w:bCs/>
          <w:color w:val="000000" w:themeColor="text1"/>
          <w:sz w:val="24"/>
          <w:lang w:eastAsia="zh-CN"/>
          <w14:textFill>
            <w14:solidFill>
              <w14:schemeClr w14:val="tx1"/>
            </w14:solidFill>
          </w14:textFill>
        </w:rPr>
        <w:t>”处理后</w:t>
      </w:r>
      <w:r>
        <w:rPr>
          <w:rFonts w:hint="eastAsia" w:ascii="Times New Roman" w:hAnsi="Times New Roman" w:eastAsia="宋体" w:cs="Times New Roman"/>
          <w:bCs/>
          <w:color w:val="000000" w:themeColor="text1"/>
          <w:sz w:val="24"/>
          <w:lang w:eastAsia="zh-CN"/>
          <w14:textFill>
            <w14:solidFill>
              <w14:schemeClr w14:val="tx1"/>
            </w14:solidFill>
          </w14:textFill>
        </w:rPr>
        <w:t>，达《食品加工制造业水污染物排放标准》（GB46817-2025）表</w:t>
      </w:r>
      <w:r>
        <w:rPr>
          <w:rFonts w:hint="eastAsia" w:ascii="Times New Roman" w:hAnsi="Times New Roman" w:eastAsia="宋体" w:cs="Times New Roman"/>
          <w:bCs/>
          <w:color w:val="000000" w:themeColor="text1"/>
          <w:sz w:val="24"/>
          <w:lang w:val="en-US" w:eastAsia="zh-CN"/>
          <w14:textFill>
            <w14:solidFill>
              <w14:schemeClr w14:val="tx1"/>
            </w14:solidFill>
          </w14:textFill>
        </w:rPr>
        <w:t>1水污染排放限值直接排放限值</w:t>
      </w:r>
      <w:r>
        <w:rPr>
          <w:rFonts w:hint="eastAsia" w:ascii="Times New Roman" w:hAnsi="Times New Roman" w:eastAsia="宋体" w:cs="Times New Roman"/>
          <w:bCs/>
          <w:color w:val="000000" w:themeColor="text1"/>
          <w:sz w:val="24"/>
          <w:lang w:eastAsia="zh-CN"/>
          <w14:textFill>
            <w14:solidFill>
              <w14:schemeClr w14:val="tx1"/>
            </w14:solidFill>
          </w14:textFill>
        </w:rPr>
        <w:t>。项目周边最近的地表水为青山河（厂区西南侧300m），项目废水通过自建排水管道（管道长度为310m）排入青山河。</w:t>
      </w:r>
    </w:p>
    <w:p w14:paraId="735D668D">
      <w:pPr>
        <w:keepNext w:val="0"/>
        <w:keepLines w:val="0"/>
        <w:pageBreakBefore w:val="0"/>
        <w:widowControl/>
        <w:kinsoku w:val="0"/>
        <w:wordWrap/>
        <w:overflowPunct/>
        <w:topLinePunct w:val="0"/>
        <w:autoSpaceDE w:val="0"/>
        <w:autoSpaceDN w:val="0"/>
        <w:bidi w:val="0"/>
        <w:adjustRightInd w:val="0"/>
        <w:snapToGrid w:val="0"/>
        <w:spacing w:line="360" w:lineRule="auto"/>
        <w:ind w:firstLine="452" w:firstLineChars="200"/>
        <w:jc w:val="both"/>
        <w:textAlignment w:val="baseline"/>
        <w:rPr>
          <w:rFonts w:ascii="宋体" w:hAnsi="宋体" w:eastAsia="宋体" w:cs="宋体"/>
          <w:color w:val="000000" w:themeColor="text1"/>
          <w:sz w:val="24"/>
          <w:szCs w:val="24"/>
          <w:lang w:eastAsia="zh-CN"/>
          <w14:textFill>
            <w14:solidFill>
              <w14:schemeClr w14:val="tx1"/>
            </w14:solidFill>
          </w14:textFill>
        </w:rPr>
      </w:pPr>
      <w:r>
        <w:rPr>
          <w:rFonts w:ascii="Times New Roman" w:hAnsi="Times New Roman" w:eastAsia="宋体" w:cs="Times New Roman"/>
          <w:color w:val="000000" w:themeColor="text1"/>
          <w:spacing w:val="-7"/>
          <w:sz w:val="24"/>
          <w:szCs w:val="24"/>
          <w:lang w:eastAsia="zh-CN"/>
          <w14:textFill>
            <w14:solidFill>
              <w14:schemeClr w14:val="tx1"/>
            </w14:solidFill>
          </w14:textFill>
        </w:rPr>
        <w:t>根据《入</w:t>
      </w:r>
      <w:r>
        <w:rPr>
          <w:rFonts w:ascii="Times New Roman" w:hAnsi="Times New Roman" w:eastAsia="宋体" w:cs="Times New Roman"/>
          <w:color w:val="000000" w:themeColor="text1"/>
          <w:spacing w:val="-4"/>
          <w:sz w:val="24"/>
          <w:szCs w:val="24"/>
          <w:lang w:eastAsia="zh-CN"/>
          <w14:textFill>
            <w14:solidFill>
              <w14:schemeClr w14:val="tx1"/>
            </w14:solidFill>
          </w14:textFill>
        </w:rPr>
        <w:t>河排污口监督管理办法》（生态环境部部令第35号）、</w:t>
      </w:r>
      <w:r>
        <w:rPr>
          <w:rFonts w:ascii="Times New Roman" w:hAnsi="Times New Roman" w:eastAsia="宋体" w:cs="Times New Roman"/>
          <w:color w:val="000000" w:themeColor="text1"/>
          <w:spacing w:val="-3"/>
          <w:sz w:val="24"/>
          <w:szCs w:val="24"/>
          <w:lang w:eastAsia="zh-CN"/>
          <w14:textFill>
            <w14:solidFill>
              <w14:schemeClr w14:val="tx1"/>
            </w14:solidFill>
          </w14:textFill>
        </w:rPr>
        <w:t>《入河入海排污口监督管理技术指南入河排污口设置》（HJ1386-2024）</w:t>
      </w:r>
      <w:r>
        <w:rPr>
          <w:rFonts w:ascii="Times New Roman" w:hAnsi="Times New Roman" w:eastAsia="宋体" w:cs="Times New Roman"/>
          <w:color w:val="000000" w:themeColor="text1"/>
          <w:sz w:val="24"/>
          <w:szCs w:val="24"/>
          <w:lang w:eastAsia="zh-CN"/>
          <w14:textFill>
            <w14:solidFill>
              <w14:schemeClr w14:val="tx1"/>
            </w14:solidFill>
          </w14:textFill>
        </w:rPr>
        <w:t>等文件要求，加强入河排污口监督管理，有效控制水环境</w:t>
      </w:r>
      <w:r>
        <w:rPr>
          <w:rFonts w:ascii="Times New Roman" w:hAnsi="Times New Roman" w:eastAsia="宋体" w:cs="Times New Roman"/>
          <w:color w:val="000000" w:themeColor="text1"/>
          <w:spacing w:val="-1"/>
          <w:sz w:val="24"/>
          <w:szCs w:val="24"/>
          <w:lang w:eastAsia="zh-CN"/>
          <w14:textFill>
            <w14:solidFill>
              <w14:schemeClr w14:val="tx1"/>
            </w14:solidFill>
          </w14:textFill>
        </w:rPr>
        <w:t>污染，实现水环境的可</w:t>
      </w:r>
      <w:r>
        <w:rPr>
          <w:rFonts w:ascii="Times New Roman" w:hAnsi="Times New Roman" w:eastAsia="宋体" w:cs="Times New Roman"/>
          <w:color w:val="000000" w:themeColor="text1"/>
          <w:sz w:val="24"/>
          <w:szCs w:val="24"/>
          <w:lang w:eastAsia="zh-CN"/>
          <w14:textFill>
            <w14:solidFill>
              <w14:schemeClr w14:val="tx1"/>
            </w14:solidFill>
          </w14:textFill>
        </w:rPr>
        <w:t>持续利用和保护，在江河、湖泊（含运河、渠道、水库等</w:t>
      </w:r>
      <w:r>
        <w:rPr>
          <w:rFonts w:ascii="Times New Roman" w:hAnsi="Times New Roman" w:eastAsia="宋体" w:cs="Times New Roman"/>
          <w:color w:val="000000" w:themeColor="text1"/>
          <w:spacing w:val="-1"/>
          <w:sz w:val="24"/>
          <w:szCs w:val="24"/>
          <w:lang w:eastAsia="zh-CN"/>
          <w14:textFill>
            <w14:solidFill>
              <w14:schemeClr w14:val="tx1"/>
            </w14:solidFill>
          </w14:textFill>
        </w:rPr>
        <w:t>水域）新建、改建或者</w:t>
      </w:r>
      <w:r>
        <w:rPr>
          <w:rFonts w:ascii="Times New Roman" w:hAnsi="Times New Roman" w:eastAsia="宋体" w:cs="Times New Roman"/>
          <w:color w:val="000000" w:themeColor="text1"/>
          <w:sz w:val="24"/>
          <w:szCs w:val="24"/>
          <w:lang w:eastAsia="zh-CN"/>
          <w14:textFill>
            <w14:solidFill>
              <w14:schemeClr w14:val="tx1"/>
            </w14:solidFill>
          </w14:textFill>
        </w:rPr>
        <w:t>扩大入河排污口的设置单位，必须编制入河排污口设置论</w:t>
      </w:r>
      <w:r>
        <w:rPr>
          <w:rFonts w:ascii="Times New Roman" w:hAnsi="Times New Roman" w:eastAsia="宋体" w:cs="Times New Roman"/>
          <w:color w:val="000000" w:themeColor="text1"/>
          <w:spacing w:val="-1"/>
          <w:sz w:val="24"/>
          <w:szCs w:val="24"/>
          <w:lang w:eastAsia="zh-CN"/>
          <w14:textFill>
            <w14:solidFill>
              <w14:schemeClr w14:val="tx1"/>
            </w14:solidFill>
          </w14:textFill>
        </w:rPr>
        <w:t>证报告，并向有管辖权</w:t>
      </w:r>
      <w:r>
        <w:rPr>
          <w:rFonts w:ascii="Times New Roman" w:hAnsi="Times New Roman" w:eastAsia="宋体" w:cs="Times New Roman"/>
          <w:color w:val="000000" w:themeColor="text1"/>
          <w:sz w:val="24"/>
          <w:szCs w:val="24"/>
          <w:lang w:eastAsia="zh-CN"/>
          <w14:textFill>
            <w14:solidFill>
              <w14:schemeClr w14:val="tx1"/>
            </w14:solidFill>
          </w14:textFill>
        </w:rPr>
        <w:t>的县级以上地方人民政府生态环境主管部门提出入河排污</w:t>
      </w:r>
      <w:r>
        <w:rPr>
          <w:rFonts w:ascii="Times New Roman" w:hAnsi="Times New Roman" w:eastAsia="宋体" w:cs="Times New Roman"/>
          <w:color w:val="000000" w:themeColor="text1"/>
          <w:spacing w:val="-1"/>
          <w:sz w:val="24"/>
          <w:szCs w:val="24"/>
          <w:lang w:eastAsia="zh-CN"/>
          <w14:textFill>
            <w14:solidFill>
              <w14:schemeClr w14:val="tx1"/>
            </w14:solidFill>
          </w14:textFill>
        </w:rPr>
        <w:t>口设置申请，经相关部</w:t>
      </w:r>
      <w:r>
        <w:rPr>
          <w:rFonts w:ascii="Times New Roman" w:hAnsi="Times New Roman" w:eastAsia="宋体" w:cs="Times New Roman"/>
          <w:color w:val="000000" w:themeColor="text1"/>
          <w:sz w:val="24"/>
          <w:szCs w:val="24"/>
          <w:lang w:eastAsia="zh-CN"/>
          <w14:textFill>
            <w14:solidFill>
              <w14:schemeClr w14:val="tx1"/>
            </w14:solidFill>
          </w14:textFill>
        </w:rPr>
        <w:t>门审批同意后方可设置入河排污口。在此背景下，为落实</w:t>
      </w:r>
      <w:r>
        <w:rPr>
          <w:rFonts w:ascii="Times New Roman" w:hAnsi="Times New Roman" w:eastAsia="宋体" w:cs="Times New Roman"/>
          <w:color w:val="000000" w:themeColor="text1"/>
          <w:spacing w:val="-1"/>
          <w:sz w:val="24"/>
          <w:szCs w:val="24"/>
          <w:lang w:eastAsia="zh-CN"/>
          <w14:textFill>
            <w14:solidFill>
              <w14:schemeClr w14:val="tx1"/>
            </w14:solidFill>
          </w14:textFill>
        </w:rPr>
        <w:t>相关文件精神，进一步</w:t>
      </w:r>
      <w:r>
        <w:rPr>
          <w:rFonts w:ascii="Times New Roman" w:hAnsi="Times New Roman" w:eastAsia="宋体" w:cs="Times New Roman"/>
          <w:color w:val="000000" w:themeColor="text1"/>
          <w:spacing w:val="-5"/>
          <w:sz w:val="24"/>
          <w:szCs w:val="24"/>
          <w:lang w:eastAsia="zh-CN"/>
          <w14:textFill>
            <w14:solidFill>
              <w14:schemeClr w14:val="tx1"/>
            </w14:solidFill>
          </w14:textFill>
        </w:rPr>
        <w:t>推进</w:t>
      </w:r>
      <w:r>
        <w:rPr>
          <w:rFonts w:hint="eastAsia" w:ascii="Times New Roman" w:hAnsi="Times New Roman" w:eastAsia="宋体" w:cs="Times New Roman"/>
          <w:color w:val="000000" w:themeColor="text1"/>
          <w:spacing w:val="-5"/>
          <w:sz w:val="24"/>
          <w:szCs w:val="24"/>
          <w:lang w:eastAsia="zh-CN"/>
          <w14:textFill>
            <w14:solidFill>
              <w14:schemeClr w14:val="tx1"/>
            </w14:solidFill>
          </w14:textFill>
        </w:rPr>
        <w:t>湘潭县怡和顺科技有限公司</w:t>
      </w:r>
      <w:r>
        <w:rPr>
          <w:rFonts w:ascii="Times New Roman" w:hAnsi="Times New Roman" w:eastAsia="宋体" w:cs="Times New Roman"/>
          <w:color w:val="000000" w:themeColor="text1"/>
          <w:spacing w:val="-5"/>
          <w:sz w:val="24"/>
          <w:szCs w:val="24"/>
          <w:lang w:eastAsia="zh-CN"/>
          <w14:textFill>
            <w14:solidFill>
              <w14:schemeClr w14:val="tx1"/>
            </w14:solidFill>
          </w14:textFill>
        </w:rPr>
        <w:t>入河排污口</w:t>
      </w:r>
      <w:r>
        <w:rPr>
          <w:rFonts w:ascii="Times New Roman" w:hAnsi="Times New Roman" w:eastAsia="宋体" w:cs="Times New Roman"/>
          <w:color w:val="000000" w:themeColor="text1"/>
          <w:spacing w:val="-6"/>
          <w:sz w:val="24"/>
          <w:szCs w:val="24"/>
          <w:lang w:eastAsia="zh-CN"/>
          <w14:textFill>
            <w14:solidFill>
              <w14:schemeClr w14:val="tx1"/>
            </w14:solidFill>
          </w14:textFill>
        </w:rPr>
        <w:t>的监督管理工作，</w:t>
      </w:r>
      <w:r>
        <w:rPr>
          <w:rFonts w:ascii="Times New Roman" w:hAnsi="Times New Roman" w:eastAsia="宋体" w:cs="Times New Roman"/>
          <w:color w:val="000000" w:themeColor="text1"/>
          <w:sz w:val="24"/>
          <w:szCs w:val="24"/>
          <w:lang w:eastAsia="zh-CN"/>
          <w14:textFill>
            <w14:solidFill>
              <w14:schemeClr w14:val="tx1"/>
            </w14:solidFill>
          </w14:textFill>
        </w:rPr>
        <w:t>促进水资源优化配置，保证水资源可持续利用，受</w:t>
      </w:r>
      <w:r>
        <w:rPr>
          <w:rFonts w:hint="eastAsia" w:ascii="Times New Roman" w:hAnsi="Times New Roman" w:eastAsia="宋体" w:cs="Times New Roman"/>
          <w:color w:val="000000" w:themeColor="text1"/>
          <w:sz w:val="24"/>
          <w:szCs w:val="24"/>
          <w:lang w:eastAsia="zh-CN"/>
          <w14:textFill>
            <w14:solidFill>
              <w14:schemeClr w14:val="tx1"/>
            </w14:solidFill>
          </w14:textFill>
        </w:rPr>
        <w:t>湘潭县怡和顺科技有限公司</w:t>
      </w:r>
      <w:r>
        <w:rPr>
          <w:rFonts w:ascii="Times New Roman" w:hAnsi="Times New Roman" w:eastAsia="宋体" w:cs="Times New Roman"/>
          <w:color w:val="000000" w:themeColor="text1"/>
          <w:spacing w:val="-1"/>
          <w:sz w:val="24"/>
          <w:szCs w:val="24"/>
          <w:lang w:eastAsia="zh-CN"/>
          <w14:textFill>
            <w14:solidFill>
              <w14:schemeClr w14:val="tx1"/>
            </w14:solidFill>
          </w14:textFill>
        </w:rPr>
        <w:t>委托，我公司承担了《</w:t>
      </w:r>
      <w:r>
        <w:rPr>
          <w:rFonts w:hint="eastAsia" w:ascii="Times New Roman" w:hAnsi="Times New Roman" w:eastAsia="宋体" w:cs="Times New Roman"/>
          <w:color w:val="000000" w:themeColor="text1"/>
          <w:spacing w:val="-1"/>
          <w:sz w:val="24"/>
          <w:szCs w:val="24"/>
          <w:lang w:eastAsia="zh-CN"/>
          <w14:textFill>
            <w14:solidFill>
              <w14:schemeClr w14:val="tx1"/>
            </w14:solidFill>
          </w14:textFill>
        </w:rPr>
        <w:t>湘潭县怡和顺科技有限公司</w:t>
      </w:r>
      <w:r>
        <w:rPr>
          <w:rFonts w:ascii="Times New Roman" w:hAnsi="Times New Roman" w:eastAsia="宋体" w:cs="Times New Roman"/>
          <w:color w:val="000000" w:themeColor="text1"/>
          <w:spacing w:val="-1"/>
          <w:sz w:val="24"/>
          <w:szCs w:val="24"/>
          <w:lang w:eastAsia="zh-CN"/>
          <w14:textFill>
            <w14:solidFill>
              <w14:schemeClr w14:val="tx1"/>
            </w14:solidFill>
          </w14:textFill>
        </w:rPr>
        <w:t>入河排污口设置论证报告》</w:t>
      </w:r>
      <w:r>
        <w:rPr>
          <w:rFonts w:hint="eastAsia" w:ascii="Times New Roman" w:hAnsi="Times New Roman" w:eastAsia="宋体" w:cs="Times New Roman"/>
          <w:color w:val="000000" w:themeColor="text1"/>
          <w:spacing w:val="-1"/>
          <w:sz w:val="24"/>
          <w:szCs w:val="24"/>
          <w:lang w:val="en-US" w:eastAsia="zh-CN"/>
          <w14:textFill>
            <w14:solidFill>
              <w14:schemeClr w14:val="tx1"/>
            </w14:solidFill>
          </w14:textFill>
        </w:rPr>
        <w:t>编制工作</w:t>
      </w:r>
      <w:r>
        <w:rPr>
          <w:rFonts w:ascii="宋体" w:hAnsi="宋体" w:eastAsia="宋体" w:cs="宋体"/>
          <w:color w:val="000000" w:themeColor="text1"/>
          <w:spacing w:val="-1"/>
          <w:sz w:val="24"/>
          <w:szCs w:val="24"/>
          <w:lang w:eastAsia="zh-CN"/>
          <w14:textFill>
            <w14:solidFill>
              <w14:schemeClr w14:val="tx1"/>
            </w14:solidFill>
          </w14:textFill>
        </w:rPr>
        <w:t>。</w:t>
      </w:r>
    </w:p>
    <w:p w14:paraId="3827C086">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2"/>
        <w:rPr>
          <w:rFonts w:ascii="Times New Roman" w:hAnsi="Times New Roman" w:eastAsia="Times New Roman" w:cs="Times New Roman"/>
          <w:b/>
          <w:bCs/>
          <w:color w:val="000000" w:themeColor="text1"/>
          <w:spacing w:val="-3"/>
          <w:sz w:val="24"/>
          <w:szCs w:val="24"/>
          <w:lang w:eastAsia="zh-CN"/>
          <w14:textFill>
            <w14:solidFill>
              <w14:schemeClr w14:val="tx1"/>
            </w14:solidFill>
          </w14:textFill>
        </w:rPr>
        <w:sectPr>
          <w:headerReference r:id="rId4" w:type="default"/>
          <w:footerReference r:id="rId5" w:type="default"/>
          <w:pgSz w:w="11905" w:h="16838"/>
          <w:pgMar w:top="1440" w:right="1803" w:bottom="1440" w:left="1803" w:header="828" w:footer="794" w:gutter="0"/>
          <w:pgNumType w:fmt="decimal" w:start="1"/>
          <w:cols w:space="0" w:num="1"/>
          <w:rtlGutter w:val="0"/>
          <w:docGrid w:linePitch="0" w:charSpace="0"/>
        </w:sectPr>
      </w:pPr>
      <w:bookmarkStart w:id="7" w:name="_Toc2519"/>
      <w:bookmarkStart w:id="8" w:name="_Toc27783"/>
      <w:bookmarkStart w:id="9" w:name="_Toc13014"/>
    </w:p>
    <w:p w14:paraId="62EEA0D2">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2"/>
        <w:rPr>
          <w:rFonts w:ascii="宋体" w:hAnsi="宋体" w:eastAsia="宋体" w:cs="宋体"/>
          <w:color w:val="000000" w:themeColor="text1"/>
          <w:sz w:val="24"/>
          <w:szCs w:val="24"/>
          <w:lang w:eastAsia="zh-CN"/>
          <w14:textFill>
            <w14:solidFill>
              <w14:schemeClr w14:val="tx1"/>
            </w14:solidFill>
          </w14:textFill>
        </w:rPr>
      </w:pPr>
      <w:r>
        <w:rPr>
          <w:rFonts w:ascii="Times New Roman" w:hAnsi="Times New Roman" w:eastAsia="Times New Roman" w:cs="Times New Roman"/>
          <w:b/>
          <w:bCs/>
          <w:color w:val="000000" w:themeColor="text1"/>
          <w:spacing w:val="-3"/>
          <w:sz w:val="24"/>
          <w:szCs w:val="24"/>
          <w:lang w:eastAsia="zh-CN"/>
          <w14:textFill>
            <w14:solidFill>
              <w14:schemeClr w14:val="tx1"/>
            </w14:solidFill>
          </w14:textFill>
        </w:rPr>
        <w:t>1.1.2</w:t>
      </w:r>
      <w:r>
        <w:rPr>
          <w:rFonts w:ascii="宋体" w:hAnsi="宋体" w:eastAsia="宋体" w:cs="宋体"/>
          <w:b/>
          <w:bCs/>
          <w:color w:val="000000" w:themeColor="text1"/>
          <w:spacing w:val="-3"/>
          <w:sz w:val="24"/>
          <w:szCs w:val="24"/>
          <w:lang w:eastAsia="zh-CN"/>
          <w14:textFill>
            <w14:solidFill>
              <w14:schemeClr w14:val="tx1"/>
            </w14:solidFill>
          </w14:textFill>
        </w:rPr>
        <w:t>论证目的</w:t>
      </w:r>
      <w:bookmarkEnd w:id="7"/>
      <w:bookmarkEnd w:id="8"/>
      <w:bookmarkEnd w:id="9"/>
    </w:p>
    <w:p w14:paraId="1F36F9A7">
      <w:pPr>
        <w:keepNext w:val="0"/>
        <w:keepLines w:val="0"/>
        <w:pageBreakBefore w:val="0"/>
        <w:widowControl/>
        <w:kinsoku w:val="0"/>
        <w:wordWrap/>
        <w:overflowPunct/>
        <w:topLinePunct w:val="0"/>
        <w:autoSpaceDE w:val="0"/>
        <w:autoSpaceDN w:val="0"/>
        <w:bidi w:val="0"/>
        <w:adjustRightInd w:val="0"/>
        <w:snapToGrid w:val="0"/>
        <w:spacing w:line="360" w:lineRule="auto"/>
        <w:ind w:firstLine="464" w:firstLineChars="200"/>
        <w:jc w:val="both"/>
        <w:textAlignment w:val="baseline"/>
        <w:rPr>
          <w:rFonts w:ascii="宋体" w:hAnsi="宋体" w:eastAsia="宋体" w:cs="宋体"/>
          <w:sz w:val="24"/>
          <w:szCs w:val="24"/>
          <w:lang w:eastAsia="zh-CN"/>
        </w:rPr>
      </w:pPr>
      <w:r>
        <w:rPr>
          <w:rFonts w:ascii="宋体" w:hAnsi="宋体" w:eastAsia="宋体" w:cs="宋体"/>
          <w:color w:val="000000" w:themeColor="text1"/>
          <w:spacing w:val="-4"/>
          <w:sz w:val="24"/>
          <w:szCs w:val="24"/>
          <w:lang w:eastAsia="zh-CN"/>
          <w14:textFill>
            <w14:solidFill>
              <w14:schemeClr w14:val="tx1"/>
            </w14:solidFill>
          </w14:textFill>
        </w:rPr>
        <w:t>（</w:t>
      </w:r>
      <w:r>
        <w:rPr>
          <w:rFonts w:ascii="Times New Roman" w:hAnsi="Times New Roman" w:eastAsia="Times New Roman" w:cs="Times New Roman"/>
          <w:color w:val="000000" w:themeColor="text1"/>
          <w:spacing w:val="-4"/>
          <w:sz w:val="24"/>
          <w:szCs w:val="24"/>
          <w:lang w:eastAsia="zh-CN"/>
          <w14:textFill>
            <w14:solidFill>
              <w14:schemeClr w14:val="tx1"/>
            </w14:solidFill>
          </w14:textFill>
        </w:rPr>
        <w:t>1</w:t>
      </w:r>
      <w:r>
        <w:rPr>
          <w:rFonts w:ascii="宋体" w:hAnsi="宋体" w:eastAsia="宋体" w:cs="宋体"/>
          <w:color w:val="000000" w:themeColor="text1"/>
          <w:spacing w:val="-4"/>
          <w:sz w:val="24"/>
          <w:szCs w:val="24"/>
          <w:lang w:eastAsia="zh-CN"/>
          <w14:textFill>
            <w14:solidFill>
              <w14:schemeClr w14:val="tx1"/>
            </w14:solidFill>
          </w14:textFill>
        </w:rPr>
        <w:t>）为使有限的水资源可持续地为社会发展服务，协调好环境</w:t>
      </w:r>
      <w:r>
        <w:rPr>
          <w:rFonts w:ascii="宋体" w:hAnsi="宋体" w:eastAsia="宋体" w:cs="宋体"/>
          <w:color w:val="000000" w:themeColor="text1"/>
          <w:spacing w:val="-5"/>
          <w:sz w:val="24"/>
          <w:szCs w:val="24"/>
          <w:lang w:eastAsia="zh-CN"/>
          <w14:textFill>
            <w14:solidFill>
              <w14:schemeClr w14:val="tx1"/>
            </w14:solidFill>
          </w14:textFill>
        </w:rPr>
        <w:t>保护和区域发</w:t>
      </w:r>
      <w:r>
        <w:rPr>
          <w:rFonts w:ascii="宋体" w:hAnsi="宋体" w:eastAsia="宋体" w:cs="宋体"/>
          <w:color w:val="000000" w:themeColor="text1"/>
          <w:sz w:val="24"/>
          <w:szCs w:val="24"/>
          <w:lang w:eastAsia="zh-CN"/>
          <w14:textFill>
            <w14:solidFill>
              <w14:schemeClr w14:val="tx1"/>
            </w14:solidFill>
          </w14:textFill>
        </w:rPr>
        <w:t>展的关系，营造人与自然的和谐氛围，有效</w:t>
      </w:r>
      <w:r>
        <w:rPr>
          <w:rFonts w:ascii="宋体" w:hAnsi="宋体" w:eastAsia="宋体" w:cs="宋体"/>
          <w:sz w:val="24"/>
          <w:szCs w:val="24"/>
          <w:lang w:eastAsia="zh-CN"/>
        </w:rPr>
        <w:t>保护水域水质</w:t>
      </w:r>
      <w:r>
        <w:rPr>
          <w:rFonts w:ascii="宋体" w:hAnsi="宋体" w:eastAsia="宋体" w:cs="宋体"/>
          <w:spacing w:val="-1"/>
          <w:sz w:val="24"/>
          <w:szCs w:val="24"/>
          <w:lang w:eastAsia="zh-CN"/>
        </w:rPr>
        <w:t>安全和生态环境，实现</w:t>
      </w:r>
      <w:r>
        <w:rPr>
          <w:rFonts w:ascii="宋体" w:hAnsi="宋体" w:eastAsia="宋体" w:cs="宋体"/>
          <w:sz w:val="24"/>
          <w:szCs w:val="24"/>
          <w:lang w:eastAsia="zh-CN"/>
        </w:rPr>
        <w:t>排污口有效监督管理，按照《中华人民共和国水法》、《</w:t>
      </w:r>
      <w:r>
        <w:rPr>
          <w:rFonts w:ascii="宋体" w:hAnsi="宋体" w:eastAsia="宋体" w:cs="宋体"/>
          <w:spacing w:val="-1"/>
          <w:sz w:val="24"/>
          <w:szCs w:val="24"/>
          <w:lang w:eastAsia="zh-CN"/>
        </w:rPr>
        <w:t>入河排污口监督管理办</w:t>
      </w:r>
      <w:r>
        <w:rPr>
          <w:rFonts w:ascii="宋体" w:hAnsi="宋体" w:eastAsia="宋体" w:cs="宋体"/>
          <w:spacing w:val="-5"/>
          <w:sz w:val="24"/>
          <w:szCs w:val="24"/>
          <w:lang w:eastAsia="zh-CN"/>
        </w:rPr>
        <w:t>法》、《水功能区监督管理办法》和《湖南省入河排污口监督管</w:t>
      </w:r>
      <w:r>
        <w:rPr>
          <w:rFonts w:ascii="宋体" w:hAnsi="宋体" w:eastAsia="宋体" w:cs="宋体"/>
          <w:spacing w:val="-6"/>
          <w:sz w:val="24"/>
          <w:szCs w:val="24"/>
          <w:lang w:eastAsia="zh-CN"/>
        </w:rPr>
        <w:t>理办法》等要求，</w:t>
      </w:r>
      <w:r>
        <w:rPr>
          <w:rFonts w:ascii="宋体" w:hAnsi="宋体" w:eastAsia="宋体" w:cs="宋体"/>
          <w:sz w:val="24"/>
          <w:szCs w:val="24"/>
          <w:lang w:eastAsia="zh-CN"/>
        </w:rPr>
        <w:t>在满足水功能区保护要求的前提下，论证入河排污口设置</w:t>
      </w:r>
      <w:r>
        <w:rPr>
          <w:rFonts w:ascii="宋体" w:hAnsi="宋体" w:eastAsia="宋体" w:cs="宋体"/>
          <w:spacing w:val="-1"/>
          <w:sz w:val="24"/>
          <w:szCs w:val="24"/>
          <w:lang w:eastAsia="zh-CN"/>
        </w:rPr>
        <w:t>对水功能区水质、水生态和第三者权益的影响。</w:t>
      </w:r>
    </w:p>
    <w:p w14:paraId="54CCD4B4">
      <w:pPr>
        <w:keepNext w:val="0"/>
        <w:keepLines w:val="0"/>
        <w:pageBreakBefore w:val="0"/>
        <w:widowControl/>
        <w:kinsoku w:val="0"/>
        <w:wordWrap/>
        <w:overflowPunct/>
        <w:topLinePunct w:val="0"/>
        <w:autoSpaceDE w:val="0"/>
        <w:autoSpaceDN w:val="0"/>
        <w:bidi w:val="0"/>
        <w:adjustRightInd w:val="0"/>
        <w:snapToGrid w:val="0"/>
        <w:spacing w:line="360" w:lineRule="auto"/>
        <w:ind w:firstLine="464" w:firstLineChars="200"/>
        <w:jc w:val="both"/>
        <w:textAlignment w:val="baseline"/>
        <w:rPr>
          <w:rFonts w:ascii="宋体" w:hAnsi="宋体" w:eastAsia="宋体" w:cs="宋体"/>
          <w:sz w:val="24"/>
          <w:szCs w:val="24"/>
          <w:lang w:eastAsia="zh-CN"/>
        </w:rPr>
      </w:pPr>
      <w:r>
        <w:rPr>
          <w:rFonts w:ascii="宋体" w:hAnsi="宋体" w:eastAsia="宋体" w:cs="宋体"/>
          <w:spacing w:val="-4"/>
          <w:sz w:val="24"/>
          <w:szCs w:val="24"/>
          <w:lang w:eastAsia="zh-CN"/>
        </w:rPr>
        <w:t>（</w:t>
      </w:r>
      <w:r>
        <w:rPr>
          <w:rFonts w:ascii="Times New Roman" w:hAnsi="Times New Roman" w:eastAsia="Times New Roman" w:cs="Times New Roman"/>
          <w:spacing w:val="-4"/>
          <w:sz w:val="24"/>
          <w:szCs w:val="24"/>
          <w:lang w:eastAsia="zh-CN"/>
        </w:rPr>
        <w:t>2</w:t>
      </w:r>
      <w:r>
        <w:rPr>
          <w:rFonts w:ascii="宋体" w:hAnsi="宋体" w:eastAsia="宋体" w:cs="宋体"/>
          <w:spacing w:val="-4"/>
          <w:sz w:val="24"/>
          <w:szCs w:val="24"/>
          <w:lang w:eastAsia="zh-CN"/>
        </w:rPr>
        <w:t>）保护和改善水环境：根据受纳水体纳污能力、排污总量控</w:t>
      </w:r>
      <w:r>
        <w:rPr>
          <w:rFonts w:ascii="宋体" w:hAnsi="宋体" w:eastAsia="宋体" w:cs="宋体"/>
          <w:spacing w:val="-5"/>
          <w:sz w:val="24"/>
          <w:szCs w:val="24"/>
          <w:lang w:eastAsia="zh-CN"/>
        </w:rPr>
        <w:t>制、水生态保</w:t>
      </w:r>
      <w:r>
        <w:rPr>
          <w:rFonts w:ascii="宋体" w:hAnsi="宋体" w:eastAsia="宋体" w:cs="宋体"/>
          <w:sz w:val="24"/>
          <w:szCs w:val="24"/>
          <w:lang w:eastAsia="zh-CN"/>
        </w:rPr>
        <w:t>护等要求，对排污口设置的合理性进行论证分析，优</w:t>
      </w:r>
      <w:r>
        <w:rPr>
          <w:rFonts w:ascii="宋体" w:hAnsi="宋体" w:eastAsia="宋体" w:cs="宋体"/>
          <w:spacing w:val="-1"/>
          <w:sz w:val="24"/>
          <w:szCs w:val="24"/>
          <w:lang w:eastAsia="zh-CN"/>
        </w:rPr>
        <w:t>化入河排污口设置方案，并提出水资源保护措施，以保障所在水域生活、生产和生态用水安全。</w:t>
      </w:r>
    </w:p>
    <w:p w14:paraId="0DF3185C">
      <w:pPr>
        <w:keepNext w:val="0"/>
        <w:keepLines w:val="0"/>
        <w:pageBreakBefore w:val="0"/>
        <w:widowControl/>
        <w:kinsoku w:val="0"/>
        <w:wordWrap/>
        <w:overflowPunct/>
        <w:topLinePunct w:val="0"/>
        <w:autoSpaceDE w:val="0"/>
        <w:autoSpaceDN w:val="0"/>
        <w:bidi w:val="0"/>
        <w:adjustRightInd w:val="0"/>
        <w:snapToGrid w:val="0"/>
        <w:spacing w:line="360" w:lineRule="auto"/>
        <w:ind w:firstLine="464" w:firstLineChars="200"/>
        <w:jc w:val="both"/>
        <w:textAlignment w:val="baseline"/>
        <w:rPr>
          <w:rFonts w:ascii="宋体" w:hAnsi="宋体" w:eastAsia="宋体" w:cs="宋体"/>
          <w:sz w:val="24"/>
          <w:szCs w:val="24"/>
          <w:lang w:eastAsia="zh-CN"/>
        </w:rPr>
      </w:pPr>
      <w:r>
        <w:rPr>
          <w:rFonts w:ascii="宋体" w:hAnsi="宋体" w:eastAsia="宋体" w:cs="宋体"/>
          <w:spacing w:val="-4"/>
          <w:sz w:val="24"/>
          <w:szCs w:val="24"/>
          <w:lang w:eastAsia="zh-CN"/>
        </w:rPr>
        <w:t>（</w:t>
      </w:r>
      <w:r>
        <w:rPr>
          <w:rFonts w:ascii="Times New Roman" w:hAnsi="Times New Roman" w:eastAsia="Times New Roman" w:cs="Times New Roman"/>
          <w:spacing w:val="-4"/>
          <w:sz w:val="24"/>
          <w:szCs w:val="24"/>
          <w:lang w:eastAsia="zh-CN"/>
        </w:rPr>
        <w:t>3</w:t>
      </w:r>
      <w:r>
        <w:rPr>
          <w:rFonts w:ascii="宋体" w:hAnsi="宋体" w:eastAsia="宋体" w:cs="宋体"/>
          <w:spacing w:val="-4"/>
          <w:sz w:val="24"/>
          <w:szCs w:val="24"/>
          <w:lang w:eastAsia="zh-CN"/>
        </w:rPr>
        <w:t>）提供科学审批的依据：通过对入河排污口设置合理性的论</w:t>
      </w:r>
      <w:r>
        <w:rPr>
          <w:rFonts w:ascii="宋体" w:hAnsi="宋体" w:eastAsia="宋体" w:cs="宋体"/>
          <w:spacing w:val="-5"/>
          <w:sz w:val="24"/>
          <w:szCs w:val="24"/>
          <w:lang w:eastAsia="zh-CN"/>
        </w:rPr>
        <w:t>证，为各级水</w:t>
      </w:r>
      <w:r>
        <w:rPr>
          <w:rFonts w:ascii="宋体" w:hAnsi="宋体" w:eastAsia="宋体" w:cs="宋体"/>
          <w:sz w:val="24"/>
          <w:szCs w:val="24"/>
          <w:lang w:eastAsia="zh-CN"/>
        </w:rPr>
        <w:t>行政主管部门审批入河排污口以及建设单位合</w:t>
      </w:r>
      <w:r>
        <w:rPr>
          <w:rFonts w:ascii="宋体" w:hAnsi="宋体" w:eastAsia="宋体" w:cs="宋体"/>
          <w:spacing w:val="-1"/>
          <w:sz w:val="24"/>
          <w:szCs w:val="24"/>
          <w:lang w:eastAsia="zh-CN"/>
        </w:rPr>
        <w:t>理设置入河排污口提供科学根据。</w:t>
      </w:r>
    </w:p>
    <w:p w14:paraId="66382A70">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1"/>
        <w:rPr>
          <w:rFonts w:ascii="宋体" w:hAnsi="宋体" w:eastAsia="宋体" w:cs="宋体"/>
          <w:sz w:val="28"/>
          <w:szCs w:val="28"/>
          <w:u w:val="single"/>
          <w:lang w:eastAsia="zh-CN"/>
        </w:rPr>
      </w:pPr>
      <w:bookmarkStart w:id="10" w:name="_Toc32649"/>
      <w:bookmarkStart w:id="11" w:name="_Toc31156"/>
      <w:r>
        <w:rPr>
          <w:rFonts w:ascii="Times New Roman" w:hAnsi="Times New Roman" w:eastAsia="Times New Roman" w:cs="Times New Roman"/>
          <w:b/>
          <w:bCs/>
          <w:spacing w:val="-4"/>
          <w:sz w:val="28"/>
          <w:szCs w:val="28"/>
          <w:u w:val="single"/>
          <w:lang w:eastAsia="zh-CN"/>
        </w:rPr>
        <w:t>1.2</w:t>
      </w:r>
      <w:r>
        <w:rPr>
          <w:rFonts w:ascii="宋体" w:hAnsi="宋体" w:eastAsia="宋体" w:cs="宋体"/>
          <w:b/>
          <w:bCs/>
          <w:spacing w:val="-4"/>
          <w:sz w:val="28"/>
          <w:szCs w:val="28"/>
          <w:u w:val="single"/>
          <w:lang w:eastAsia="zh-CN"/>
        </w:rPr>
        <w:t>论证依据</w:t>
      </w:r>
      <w:bookmarkEnd w:id="10"/>
      <w:bookmarkEnd w:id="11"/>
    </w:p>
    <w:p w14:paraId="34A9694D">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2"/>
        <w:rPr>
          <w:rFonts w:ascii="宋体" w:hAnsi="宋体" w:eastAsia="宋体" w:cs="宋体"/>
          <w:sz w:val="24"/>
          <w:szCs w:val="24"/>
          <w:u w:val="single"/>
          <w:lang w:eastAsia="zh-CN"/>
        </w:rPr>
      </w:pPr>
      <w:bookmarkStart w:id="12" w:name="_Toc14432"/>
      <w:bookmarkStart w:id="13" w:name="_Toc23389"/>
      <w:bookmarkStart w:id="14" w:name="_Toc8118"/>
      <w:r>
        <w:rPr>
          <w:rFonts w:ascii="Times New Roman" w:hAnsi="Times New Roman" w:eastAsia="Times New Roman" w:cs="Times New Roman"/>
          <w:b/>
          <w:bCs/>
          <w:spacing w:val="-4"/>
          <w:sz w:val="24"/>
          <w:szCs w:val="24"/>
          <w:u w:val="single"/>
          <w:lang w:eastAsia="zh-CN"/>
        </w:rPr>
        <w:t>1.2.1</w:t>
      </w:r>
      <w:r>
        <w:rPr>
          <w:rFonts w:ascii="宋体" w:hAnsi="宋体" w:eastAsia="宋体" w:cs="宋体"/>
          <w:b/>
          <w:bCs/>
          <w:spacing w:val="-4"/>
          <w:sz w:val="24"/>
          <w:szCs w:val="24"/>
          <w:u w:val="single"/>
          <w:lang w:eastAsia="zh-CN"/>
        </w:rPr>
        <w:t>国家有关法律、法规及有关规定</w:t>
      </w:r>
      <w:bookmarkEnd w:id="12"/>
      <w:bookmarkEnd w:id="13"/>
      <w:bookmarkEnd w:id="14"/>
    </w:p>
    <w:p w14:paraId="1973293D">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（1）《中华人民共和国水法》（全国人大常委会2016年7月2日修正）；</w:t>
      </w:r>
    </w:p>
    <w:p w14:paraId="107EFB7B">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（2）《中华人民共和国环境保护法》（2014年4月24日修订，2015年1月1日实施）；</w:t>
      </w:r>
    </w:p>
    <w:p w14:paraId="5CD1ABC6">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（3）《中华人民共和国水污染防治法》（2017年6月28日修订，2018年1月1日实施）；</w:t>
      </w:r>
    </w:p>
    <w:p w14:paraId="682C896F">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color w:val="000000" w:themeColor="text1"/>
          <w:spacing w:val="-3"/>
          <w:sz w:val="24"/>
          <w:szCs w:val="24"/>
          <w:u w:val="single"/>
          <w:lang w:eastAsia="zh-CN"/>
          <w14:textFill>
            <w14:solidFill>
              <w14:schemeClr w14:val="tx1"/>
            </w14:solidFill>
          </w14:textFill>
        </w:rPr>
      </w:pPr>
      <w:r>
        <w:rPr>
          <w:rFonts w:ascii="Times New Roman" w:hAnsi="Times New Roman" w:eastAsia="宋体" w:cs="Times New Roman"/>
          <w:spacing w:val="-3"/>
          <w:sz w:val="24"/>
          <w:szCs w:val="24"/>
          <w:u w:val="single"/>
          <w:lang w:eastAsia="zh-CN"/>
        </w:rPr>
        <w:t>（4）《中华人民共</w:t>
      </w:r>
      <w:r>
        <w:rPr>
          <w:rFonts w:ascii="Times New Roman" w:hAnsi="Times New Roman" w:eastAsia="宋体" w:cs="Times New Roman"/>
          <w:color w:val="000000" w:themeColor="text1"/>
          <w:spacing w:val="-3"/>
          <w:sz w:val="24"/>
          <w:szCs w:val="24"/>
          <w:u w:val="single"/>
          <w:lang w:eastAsia="zh-CN"/>
          <w14:textFill>
            <w14:solidFill>
              <w14:schemeClr w14:val="tx1"/>
            </w14:solidFill>
          </w14:textFill>
        </w:rPr>
        <w:t>和国环境影响评价法》（全国人大常委会2018年12月29日修订）；</w:t>
      </w:r>
    </w:p>
    <w:p w14:paraId="46D39721">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hint="eastAsia" w:ascii="Times New Roman" w:hAnsi="Times New Roman" w:eastAsia="宋体" w:cs="Times New Roman"/>
          <w:color w:val="000000" w:themeColor="text1"/>
          <w:spacing w:val="-3"/>
          <w:sz w:val="24"/>
          <w:szCs w:val="24"/>
          <w:u w:val="single"/>
          <w:lang w:eastAsia="zh-CN"/>
          <w14:textFill>
            <w14:solidFill>
              <w14:schemeClr w14:val="tx1"/>
            </w14:solidFill>
          </w14:textFill>
        </w:rPr>
      </w:pPr>
      <w:r>
        <w:rPr>
          <w:rFonts w:ascii="Times New Roman" w:hAnsi="Times New Roman" w:eastAsia="宋体" w:cs="Times New Roman"/>
          <w:color w:val="000000" w:themeColor="text1"/>
          <w:spacing w:val="-3"/>
          <w:sz w:val="24"/>
          <w:szCs w:val="24"/>
          <w:u w:val="single"/>
          <w:lang w:eastAsia="zh-CN"/>
          <w14:textFill>
            <w14:solidFill>
              <w14:schemeClr w14:val="tx1"/>
            </w14:solidFill>
          </w14:textFill>
        </w:rPr>
        <w:t>（5）</w:t>
      </w:r>
      <w:r>
        <w:rPr>
          <w:rFonts w:hint="eastAsia" w:ascii="Times New Roman" w:hAnsi="Times New Roman" w:eastAsia="宋体" w:cs="Times New Roman"/>
          <w:color w:val="000000" w:themeColor="text1"/>
          <w:spacing w:val="-3"/>
          <w:sz w:val="24"/>
          <w:szCs w:val="24"/>
          <w:u w:val="single"/>
          <w:lang w:eastAsia="zh-CN"/>
          <w14:textFill>
            <w14:solidFill>
              <w14:schemeClr w14:val="tx1"/>
            </w14:solidFill>
          </w14:textFill>
        </w:rPr>
        <w:t>《</w:t>
      </w:r>
      <w:r>
        <w:rPr>
          <w:rFonts w:hint="eastAsia" w:ascii="Times New Roman" w:hAnsi="Times New Roman" w:eastAsia="宋体" w:cs="Times New Roman"/>
          <w:color w:val="000000" w:themeColor="text1"/>
          <w:spacing w:val="-3"/>
          <w:sz w:val="24"/>
          <w:szCs w:val="24"/>
          <w:u w:val="single"/>
          <w:lang w:val="en-US" w:eastAsia="zh-CN"/>
          <w14:textFill>
            <w14:solidFill>
              <w14:schemeClr w14:val="tx1"/>
            </w14:solidFill>
          </w14:textFill>
        </w:rPr>
        <w:t>中华人民共和国长江保护法</w:t>
      </w:r>
      <w:r>
        <w:rPr>
          <w:rFonts w:hint="eastAsia" w:ascii="Times New Roman" w:hAnsi="Times New Roman" w:eastAsia="宋体" w:cs="Times New Roman"/>
          <w:color w:val="000000" w:themeColor="text1"/>
          <w:spacing w:val="-3"/>
          <w:sz w:val="24"/>
          <w:szCs w:val="24"/>
          <w:u w:val="single"/>
          <w:lang w:eastAsia="zh-CN"/>
          <w14:textFill>
            <w14:solidFill>
              <w14:schemeClr w14:val="tx1"/>
            </w14:solidFill>
          </w14:textFill>
        </w:rPr>
        <w:t>》（</w:t>
      </w:r>
      <w:r>
        <w:rPr>
          <w:rFonts w:hint="eastAsia" w:ascii="Times New Roman" w:hAnsi="Times New Roman" w:eastAsia="宋体" w:cs="Times New Roman"/>
          <w:color w:val="000000" w:themeColor="text1"/>
          <w:spacing w:val="-3"/>
          <w:sz w:val="24"/>
          <w:szCs w:val="24"/>
          <w:u w:val="single"/>
          <w:lang w:val="en-US" w:eastAsia="zh-CN"/>
          <w14:textFill>
            <w14:solidFill>
              <w14:schemeClr w14:val="tx1"/>
            </w14:solidFill>
          </w14:textFill>
        </w:rPr>
        <w:t>主席令第六十五号，2021年3月1日实施</w:t>
      </w:r>
      <w:r>
        <w:rPr>
          <w:rFonts w:hint="eastAsia" w:ascii="Times New Roman" w:hAnsi="Times New Roman" w:eastAsia="宋体" w:cs="Times New Roman"/>
          <w:color w:val="000000" w:themeColor="text1"/>
          <w:spacing w:val="-3"/>
          <w:sz w:val="24"/>
          <w:szCs w:val="24"/>
          <w:u w:val="single"/>
          <w:lang w:eastAsia="zh-CN"/>
          <w14:textFill>
            <w14:solidFill>
              <w14:schemeClr w14:val="tx1"/>
            </w14:solidFill>
          </w14:textFill>
        </w:rPr>
        <w:t>）；</w:t>
      </w:r>
    </w:p>
    <w:p w14:paraId="3ECEF144">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hint="eastAsia" w:ascii="Times New Roman" w:hAnsi="Times New Roman" w:eastAsia="宋体" w:cs="Times New Roman"/>
          <w:color w:val="000000" w:themeColor="text1"/>
          <w:spacing w:val="-3"/>
          <w:sz w:val="24"/>
          <w:szCs w:val="24"/>
          <w:u w:val="single"/>
          <w:lang w:eastAsia="zh-CN"/>
          <w14:textFill>
            <w14:solidFill>
              <w14:schemeClr w14:val="tx1"/>
            </w14:solidFill>
          </w14:textFill>
        </w:rPr>
        <w:t>（</w:t>
      </w:r>
      <w:r>
        <w:rPr>
          <w:rFonts w:hint="eastAsia" w:ascii="Times New Roman" w:hAnsi="Times New Roman" w:eastAsia="宋体" w:cs="Times New Roman"/>
          <w:color w:val="000000" w:themeColor="text1"/>
          <w:spacing w:val="-3"/>
          <w:sz w:val="24"/>
          <w:szCs w:val="24"/>
          <w:u w:val="single"/>
          <w:lang w:val="en-US" w:eastAsia="zh-CN"/>
          <w14:textFill>
            <w14:solidFill>
              <w14:schemeClr w14:val="tx1"/>
            </w14:solidFill>
          </w14:textFill>
        </w:rPr>
        <w:t>6</w:t>
      </w:r>
      <w:r>
        <w:rPr>
          <w:rFonts w:hint="eastAsia" w:ascii="Times New Roman" w:hAnsi="Times New Roman" w:eastAsia="宋体" w:cs="Times New Roman"/>
          <w:color w:val="000000" w:themeColor="text1"/>
          <w:spacing w:val="-3"/>
          <w:sz w:val="24"/>
          <w:szCs w:val="24"/>
          <w:u w:val="single"/>
          <w:lang w:eastAsia="zh-CN"/>
          <w14:textFill>
            <w14:solidFill>
              <w14:schemeClr w14:val="tx1"/>
            </w14:solidFill>
          </w14:textFill>
        </w:rPr>
        <w:t>）</w:t>
      </w:r>
      <w:r>
        <w:rPr>
          <w:rFonts w:ascii="Times New Roman" w:hAnsi="Times New Roman" w:eastAsia="宋体" w:cs="Times New Roman"/>
          <w:color w:val="000000" w:themeColor="text1"/>
          <w:spacing w:val="-3"/>
          <w:sz w:val="24"/>
          <w:szCs w:val="24"/>
          <w:u w:val="single"/>
          <w:lang w:eastAsia="zh-CN"/>
          <w14:textFill>
            <w14:solidFill>
              <w14:schemeClr w14:val="tx1"/>
            </w14:solidFill>
          </w14:textFill>
        </w:rPr>
        <w:t>《建设项目水资源论</w:t>
      </w:r>
      <w:r>
        <w:rPr>
          <w:rFonts w:ascii="Times New Roman" w:hAnsi="Times New Roman" w:eastAsia="宋体" w:cs="Times New Roman"/>
          <w:spacing w:val="-3"/>
          <w:sz w:val="24"/>
          <w:szCs w:val="24"/>
          <w:u w:val="single"/>
          <w:lang w:eastAsia="zh-CN"/>
        </w:rPr>
        <w:t>证管理办法》水利部、国家计委（第15号令）；</w:t>
      </w:r>
    </w:p>
    <w:p w14:paraId="78804B04">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hint="eastAsia" w:ascii="Times New Roman" w:hAnsi="Times New Roman" w:eastAsia="宋体" w:cs="Times New Roman"/>
          <w:color w:val="000000" w:themeColor="text1"/>
          <w:spacing w:val="-3"/>
          <w:sz w:val="24"/>
          <w:szCs w:val="24"/>
          <w:u w:val="single"/>
          <w:lang w:eastAsia="zh-CN"/>
          <w14:textFill>
            <w14:solidFill>
              <w14:schemeClr w14:val="tx1"/>
            </w14:solidFill>
          </w14:textFill>
        </w:rPr>
        <w:t>（</w:t>
      </w:r>
      <w:r>
        <w:rPr>
          <w:rFonts w:hint="eastAsia" w:ascii="Times New Roman" w:hAnsi="Times New Roman" w:eastAsia="宋体" w:cs="Times New Roman"/>
          <w:color w:val="000000" w:themeColor="text1"/>
          <w:spacing w:val="-3"/>
          <w:sz w:val="24"/>
          <w:szCs w:val="24"/>
          <w:u w:val="single"/>
          <w:lang w:val="en-US" w:eastAsia="zh-CN"/>
          <w14:textFill>
            <w14:solidFill>
              <w14:schemeClr w14:val="tx1"/>
            </w14:solidFill>
          </w14:textFill>
        </w:rPr>
        <w:t>7</w:t>
      </w:r>
      <w:r>
        <w:rPr>
          <w:rFonts w:hint="eastAsia" w:ascii="Times New Roman" w:hAnsi="Times New Roman" w:eastAsia="宋体" w:cs="Times New Roman"/>
          <w:color w:val="000000" w:themeColor="text1"/>
          <w:spacing w:val="-3"/>
          <w:sz w:val="24"/>
          <w:szCs w:val="24"/>
          <w:u w:val="single"/>
          <w:lang w:eastAsia="zh-CN"/>
          <w14:textFill>
            <w14:solidFill>
              <w14:schemeClr w14:val="tx1"/>
            </w14:solidFill>
          </w14:textFill>
        </w:rPr>
        <w:t>）</w:t>
      </w:r>
      <w:r>
        <w:rPr>
          <w:rFonts w:ascii="Times New Roman" w:hAnsi="Times New Roman" w:eastAsia="宋体" w:cs="Times New Roman"/>
          <w:spacing w:val="-3"/>
          <w:sz w:val="24"/>
          <w:szCs w:val="24"/>
          <w:u w:val="single"/>
          <w:lang w:eastAsia="zh-CN"/>
        </w:rPr>
        <w:t>《关于做好建设项目水资源论证工作的通知》（水利部、水资源</w:t>
      </w:r>
      <w:r>
        <w:rPr>
          <w:rFonts w:hint="eastAsia" w:ascii="Times New Roman" w:hAnsi="Times New Roman" w:eastAsia="宋体" w:cs="Times New Roman"/>
          <w:spacing w:val="-3"/>
          <w:sz w:val="24"/>
          <w:szCs w:val="24"/>
          <w:u w:val="single"/>
          <w:lang w:eastAsia="zh-CN"/>
        </w:rPr>
        <w:t>〔20</w:t>
      </w:r>
      <w:r>
        <w:rPr>
          <w:rFonts w:hint="eastAsia" w:ascii="Times New Roman" w:hAnsi="Times New Roman" w:eastAsia="宋体" w:cs="Times New Roman"/>
          <w:spacing w:val="-3"/>
          <w:sz w:val="24"/>
          <w:szCs w:val="24"/>
          <w:u w:val="single"/>
          <w:lang w:val="en-US" w:eastAsia="zh-CN"/>
        </w:rPr>
        <w:t>0</w:t>
      </w:r>
      <w:r>
        <w:rPr>
          <w:rFonts w:hint="eastAsia" w:ascii="Times New Roman" w:hAnsi="Times New Roman" w:eastAsia="宋体" w:cs="Times New Roman"/>
          <w:spacing w:val="-3"/>
          <w:sz w:val="24"/>
          <w:szCs w:val="24"/>
          <w:u w:val="single"/>
          <w:lang w:eastAsia="zh-CN"/>
        </w:rPr>
        <w:t>2〕</w:t>
      </w:r>
      <w:r>
        <w:rPr>
          <w:rFonts w:ascii="Times New Roman" w:hAnsi="Times New Roman" w:eastAsia="宋体" w:cs="Times New Roman"/>
          <w:spacing w:val="-3"/>
          <w:sz w:val="24"/>
          <w:szCs w:val="24"/>
          <w:u w:val="single"/>
          <w:lang w:eastAsia="zh-CN"/>
        </w:rPr>
        <w:t>145号）；</w:t>
      </w:r>
    </w:p>
    <w:p w14:paraId="47EEACD3">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w:t>
      </w:r>
      <w:r>
        <w:rPr>
          <w:rFonts w:hint="eastAsia" w:ascii="Times New Roman" w:hAnsi="Times New Roman" w:eastAsia="宋体" w:cs="Times New Roman"/>
          <w:spacing w:val="-3"/>
          <w:sz w:val="24"/>
          <w:szCs w:val="24"/>
          <w:u w:val="single"/>
          <w:lang w:val="en-US" w:eastAsia="zh-CN"/>
        </w:rPr>
        <w:t>8</w:t>
      </w:r>
      <w:r>
        <w:rPr>
          <w:rFonts w:ascii="Times New Roman" w:hAnsi="Times New Roman" w:eastAsia="宋体" w:cs="Times New Roman"/>
          <w:spacing w:val="-3"/>
          <w:sz w:val="24"/>
          <w:szCs w:val="24"/>
          <w:u w:val="single"/>
          <w:lang w:eastAsia="zh-CN"/>
        </w:rPr>
        <w:t>）《入河排污口监督管理办法》（2024年，部令第35号）；</w:t>
      </w:r>
    </w:p>
    <w:p w14:paraId="34A3BC32">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w:t>
      </w:r>
      <w:r>
        <w:rPr>
          <w:rFonts w:hint="eastAsia" w:ascii="Times New Roman" w:hAnsi="Times New Roman" w:eastAsia="宋体" w:cs="Times New Roman"/>
          <w:spacing w:val="-3"/>
          <w:sz w:val="24"/>
          <w:szCs w:val="24"/>
          <w:u w:val="single"/>
          <w:lang w:val="en-US" w:eastAsia="zh-CN"/>
        </w:rPr>
        <w:t>9</w:t>
      </w:r>
      <w:r>
        <w:rPr>
          <w:rFonts w:ascii="Times New Roman" w:hAnsi="Times New Roman" w:eastAsia="宋体" w:cs="Times New Roman"/>
          <w:spacing w:val="-3"/>
          <w:sz w:val="24"/>
          <w:szCs w:val="24"/>
          <w:u w:val="single"/>
          <w:lang w:eastAsia="zh-CN"/>
        </w:rPr>
        <w:t>）</w:t>
      </w:r>
      <w:r>
        <w:rPr>
          <w:rFonts w:hint="eastAsia" w:ascii="Times New Roman" w:hAnsi="Times New Roman" w:eastAsia="宋体" w:cs="Times New Roman"/>
          <w:spacing w:val="-3"/>
          <w:sz w:val="24"/>
          <w:szCs w:val="24"/>
          <w:u w:val="single"/>
          <w:lang w:eastAsia="zh-CN"/>
        </w:rPr>
        <w:t>关于贯彻落实《国务院办公厅关于加强入河入海排污口监督管理工作的实施意见》的通知（环办水体〔2022〕34号）</w:t>
      </w:r>
      <w:r>
        <w:rPr>
          <w:rFonts w:ascii="Times New Roman" w:hAnsi="Times New Roman" w:eastAsia="宋体" w:cs="Times New Roman"/>
          <w:spacing w:val="-3"/>
          <w:sz w:val="24"/>
          <w:szCs w:val="24"/>
          <w:u w:val="single"/>
          <w:lang w:eastAsia="zh-CN"/>
        </w:rPr>
        <w:t>；</w:t>
      </w:r>
    </w:p>
    <w:p w14:paraId="7E228539">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w:t>
      </w:r>
      <w:r>
        <w:rPr>
          <w:rFonts w:hint="eastAsia" w:ascii="Times New Roman" w:hAnsi="Times New Roman" w:eastAsia="宋体" w:cs="Times New Roman"/>
          <w:spacing w:val="-3"/>
          <w:sz w:val="24"/>
          <w:szCs w:val="24"/>
          <w:u w:val="single"/>
          <w:lang w:val="en-US" w:eastAsia="zh-CN"/>
        </w:rPr>
        <w:t>10</w:t>
      </w:r>
      <w:r>
        <w:rPr>
          <w:rFonts w:ascii="Times New Roman" w:hAnsi="Times New Roman" w:eastAsia="宋体" w:cs="Times New Roman"/>
          <w:spacing w:val="-3"/>
          <w:sz w:val="24"/>
          <w:szCs w:val="24"/>
          <w:u w:val="single"/>
          <w:lang w:eastAsia="zh-CN"/>
        </w:rPr>
        <w:t>）《饮用水水源保护区污染防治管理规定》（环保部，2010年修订）；</w:t>
      </w:r>
    </w:p>
    <w:p w14:paraId="5CD10A3E">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w:t>
      </w:r>
      <w:r>
        <w:rPr>
          <w:rFonts w:hint="eastAsia" w:ascii="Times New Roman" w:hAnsi="Times New Roman" w:eastAsia="宋体" w:cs="Times New Roman"/>
          <w:spacing w:val="-3"/>
          <w:sz w:val="24"/>
          <w:szCs w:val="24"/>
          <w:u w:val="single"/>
          <w:lang w:val="en-US" w:eastAsia="zh-CN"/>
        </w:rPr>
        <w:t>11</w:t>
      </w:r>
      <w:r>
        <w:rPr>
          <w:rFonts w:ascii="Times New Roman" w:hAnsi="Times New Roman" w:eastAsia="宋体" w:cs="Times New Roman"/>
          <w:spacing w:val="-3"/>
          <w:sz w:val="24"/>
          <w:szCs w:val="24"/>
          <w:u w:val="single"/>
          <w:lang w:eastAsia="zh-CN"/>
        </w:rPr>
        <w:t>）《水功能区监督管理办法》（水利部水资源</w:t>
      </w:r>
      <w:r>
        <w:rPr>
          <w:rFonts w:hint="eastAsia" w:ascii="Times New Roman" w:hAnsi="Times New Roman" w:eastAsia="宋体" w:cs="Times New Roman"/>
          <w:spacing w:val="-3"/>
          <w:sz w:val="24"/>
          <w:szCs w:val="24"/>
          <w:u w:val="single"/>
          <w:lang w:eastAsia="zh-CN"/>
        </w:rPr>
        <w:t>〔</w:t>
      </w:r>
      <w:r>
        <w:rPr>
          <w:rFonts w:ascii="Times New Roman" w:hAnsi="Times New Roman" w:eastAsia="宋体" w:cs="Times New Roman"/>
          <w:spacing w:val="-3"/>
          <w:sz w:val="24"/>
          <w:szCs w:val="24"/>
          <w:u w:val="single"/>
          <w:lang w:eastAsia="zh-CN"/>
        </w:rPr>
        <w:t>2017</w:t>
      </w:r>
      <w:r>
        <w:rPr>
          <w:rFonts w:hint="eastAsia" w:ascii="Times New Roman" w:hAnsi="Times New Roman" w:eastAsia="宋体" w:cs="Times New Roman"/>
          <w:spacing w:val="-3"/>
          <w:sz w:val="24"/>
          <w:szCs w:val="24"/>
          <w:u w:val="single"/>
          <w:lang w:eastAsia="zh-CN"/>
        </w:rPr>
        <w:t>〕</w:t>
      </w:r>
      <w:r>
        <w:rPr>
          <w:rFonts w:ascii="Times New Roman" w:hAnsi="Times New Roman" w:eastAsia="宋体" w:cs="Times New Roman"/>
          <w:spacing w:val="-3"/>
          <w:sz w:val="24"/>
          <w:szCs w:val="24"/>
          <w:u w:val="single"/>
          <w:lang w:eastAsia="zh-CN"/>
        </w:rPr>
        <w:t>101号）；</w:t>
      </w:r>
    </w:p>
    <w:p w14:paraId="172ADEE6">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w:t>
      </w:r>
      <w:r>
        <w:rPr>
          <w:rFonts w:hint="eastAsia" w:ascii="Times New Roman" w:hAnsi="Times New Roman" w:eastAsia="宋体" w:cs="Times New Roman"/>
          <w:spacing w:val="-3"/>
          <w:sz w:val="24"/>
          <w:szCs w:val="24"/>
          <w:u w:val="single"/>
          <w:lang w:val="en-US" w:eastAsia="zh-CN"/>
        </w:rPr>
        <w:t>2</w:t>
      </w:r>
      <w:r>
        <w:rPr>
          <w:rFonts w:ascii="Times New Roman" w:hAnsi="Times New Roman" w:eastAsia="宋体" w:cs="Times New Roman"/>
          <w:spacing w:val="-3"/>
          <w:sz w:val="24"/>
          <w:szCs w:val="24"/>
          <w:u w:val="single"/>
          <w:lang w:eastAsia="zh-CN"/>
        </w:rPr>
        <w:t>）《中华人民共和国河道管理条例》（2018年修订）；</w:t>
      </w:r>
    </w:p>
    <w:p w14:paraId="424D1A3F">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w:t>
      </w:r>
      <w:r>
        <w:rPr>
          <w:rFonts w:hint="eastAsia" w:ascii="Times New Roman" w:hAnsi="Times New Roman" w:eastAsia="宋体" w:cs="Times New Roman"/>
          <w:spacing w:val="-3"/>
          <w:sz w:val="24"/>
          <w:szCs w:val="24"/>
          <w:u w:val="single"/>
          <w:lang w:val="en-US" w:eastAsia="zh-CN"/>
        </w:rPr>
        <w:t>3</w:t>
      </w:r>
      <w:r>
        <w:rPr>
          <w:rFonts w:ascii="Times New Roman" w:hAnsi="Times New Roman" w:eastAsia="宋体" w:cs="Times New Roman"/>
          <w:spacing w:val="-3"/>
          <w:sz w:val="24"/>
          <w:szCs w:val="24"/>
          <w:u w:val="single"/>
          <w:lang w:eastAsia="zh-CN"/>
        </w:rPr>
        <w:t>）《国务院办公厅关于加强饮用水安全保障工作的通知》（国办发〔</w:t>
      </w:r>
      <w:r>
        <w:rPr>
          <w:rFonts w:hint="eastAsia" w:ascii="Times New Roman" w:hAnsi="Times New Roman" w:eastAsia="宋体" w:cs="Times New Roman"/>
          <w:spacing w:val="-3"/>
          <w:sz w:val="24"/>
          <w:szCs w:val="24"/>
          <w:u w:val="single"/>
          <w:lang w:val="en-US" w:eastAsia="zh-CN"/>
        </w:rPr>
        <w:t>2005</w:t>
      </w:r>
      <w:r>
        <w:rPr>
          <w:rFonts w:ascii="Times New Roman" w:hAnsi="Times New Roman" w:eastAsia="宋体" w:cs="Times New Roman"/>
          <w:spacing w:val="-3"/>
          <w:sz w:val="24"/>
          <w:szCs w:val="24"/>
          <w:u w:val="single"/>
          <w:lang w:eastAsia="zh-CN"/>
        </w:rPr>
        <w:t>〕45号）；</w:t>
      </w:r>
    </w:p>
    <w:p w14:paraId="48F513A4">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w:t>
      </w:r>
      <w:r>
        <w:rPr>
          <w:rFonts w:hint="eastAsia" w:ascii="Times New Roman" w:hAnsi="Times New Roman" w:eastAsia="宋体" w:cs="Times New Roman"/>
          <w:spacing w:val="-3"/>
          <w:sz w:val="24"/>
          <w:szCs w:val="24"/>
          <w:u w:val="single"/>
          <w:lang w:val="en-US" w:eastAsia="zh-CN"/>
        </w:rPr>
        <w:t>4</w:t>
      </w:r>
      <w:r>
        <w:rPr>
          <w:rFonts w:ascii="Times New Roman" w:hAnsi="Times New Roman" w:eastAsia="宋体" w:cs="Times New Roman"/>
          <w:spacing w:val="-3"/>
          <w:sz w:val="24"/>
          <w:szCs w:val="24"/>
          <w:u w:val="single"/>
          <w:lang w:eastAsia="zh-CN"/>
        </w:rPr>
        <w:t>）《湖南省水污染防治条例》（2025年5月1日实施）；</w:t>
      </w:r>
    </w:p>
    <w:p w14:paraId="39378B6D">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w:t>
      </w:r>
      <w:r>
        <w:rPr>
          <w:rFonts w:hint="eastAsia" w:ascii="Times New Roman" w:hAnsi="Times New Roman" w:eastAsia="宋体" w:cs="Times New Roman"/>
          <w:spacing w:val="-3"/>
          <w:sz w:val="24"/>
          <w:szCs w:val="24"/>
          <w:u w:val="single"/>
          <w:lang w:val="en-US" w:eastAsia="zh-CN"/>
        </w:rPr>
        <w:t>5</w:t>
      </w:r>
      <w:r>
        <w:rPr>
          <w:rFonts w:ascii="Times New Roman" w:hAnsi="Times New Roman" w:eastAsia="宋体" w:cs="Times New Roman"/>
          <w:spacing w:val="-3"/>
          <w:sz w:val="24"/>
          <w:szCs w:val="24"/>
          <w:u w:val="single"/>
          <w:lang w:eastAsia="zh-CN"/>
        </w:rPr>
        <w:t>）湖南省实施《中华人民共和国河道管理条例》办法；</w:t>
      </w:r>
    </w:p>
    <w:p w14:paraId="2D868A59">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w:t>
      </w:r>
      <w:r>
        <w:rPr>
          <w:rFonts w:hint="eastAsia" w:ascii="Times New Roman" w:hAnsi="Times New Roman" w:eastAsia="宋体" w:cs="Times New Roman"/>
          <w:spacing w:val="-3"/>
          <w:sz w:val="24"/>
          <w:szCs w:val="24"/>
          <w:u w:val="single"/>
          <w:lang w:val="en-US" w:eastAsia="zh-CN"/>
        </w:rPr>
        <w:t>6</w:t>
      </w:r>
      <w:r>
        <w:rPr>
          <w:rFonts w:ascii="Times New Roman" w:hAnsi="Times New Roman" w:eastAsia="宋体" w:cs="Times New Roman"/>
          <w:spacing w:val="-3"/>
          <w:sz w:val="24"/>
          <w:szCs w:val="24"/>
          <w:u w:val="single"/>
          <w:lang w:eastAsia="zh-CN"/>
        </w:rPr>
        <w:t>）《湖南省入河排污口监督管理办法》（湘政办发〔2018〕44号）；</w:t>
      </w:r>
    </w:p>
    <w:p w14:paraId="4882F90E">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w:t>
      </w:r>
      <w:r>
        <w:rPr>
          <w:rFonts w:hint="eastAsia" w:ascii="Times New Roman" w:hAnsi="Times New Roman" w:eastAsia="宋体" w:cs="Times New Roman"/>
          <w:spacing w:val="-3"/>
          <w:sz w:val="24"/>
          <w:szCs w:val="24"/>
          <w:u w:val="single"/>
          <w:lang w:val="en-US" w:eastAsia="zh-CN"/>
        </w:rPr>
        <w:t>7</w:t>
      </w:r>
      <w:r>
        <w:rPr>
          <w:rFonts w:ascii="Times New Roman" w:hAnsi="Times New Roman" w:eastAsia="宋体" w:cs="Times New Roman"/>
          <w:spacing w:val="-3"/>
          <w:sz w:val="24"/>
          <w:szCs w:val="24"/>
          <w:u w:val="single"/>
          <w:lang w:eastAsia="zh-CN"/>
        </w:rPr>
        <w:t>）《关于公布湖南省县级以上地表水集中式饮用水水源保护区划定方案的通知》（湘政函〔201</w:t>
      </w:r>
      <w:r>
        <w:rPr>
          <w:rFonts w:hint="eastAsia" w:ascii="Times New Roman" w:hAnsi="Times New Roman" w:eastAsia="宋体" w:cs="Times New Roman"/>
          <w:spacing w:val="-3"/>
          <w:sz w:val="24"/>
          <w:szCs w:val="24"/>
          <w:u w:val="single"/>
          <w:lang w:val="en-US" w:eastAsia="zh-CN"/>
        </w:rPr>
        <w:t>6</w:t>
      </w:r>
      <w:r>
        <w:rPr>
          <w:rFonts w:ascii="Times New Roman" w:hAnsi="Times New Roman" w:eastAsia="宋体" w:cs="Times New Roman"/>
          <w:spacing w:val="-3"/>
          <w:sz w:val="24"/>
          <w:szCs w:val="24"/>
          <w:u w:val="single"/>
          <w:lang w:eastAsia="zh-CN"/>
        </w:rPr>
        <w:t>〕176号）；</w:t>
      </w:r>
    </w:p>
    <w:p w14:paraId="73E32DF7">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hint="default" w:ascii="Times New Roman" w:hAnsi="Times New Roman" w:eastAsia="宋体" w:cs="Times New Roman"/>
          <w:spacing w:val="-3"/>
          <w:sz w:val="24"/>
          <w:szCs w:val="24"/>
          <w:u w:val="single"/>
          <w:lang w:val="en-US" w:eastAsia="zh-CN"/>
        </w:rPr>
      </w:pPr>
      <w:r>
        <w:rPr>
          <w:rFonts w:ascii="Times New Roman" w:hAnsi="Times New Roman" w:eastAsia="宋体" w:cs="Times New Roman"/>
          <w:spacing w:val="-3"/>
          <w:sz w:val="24"/>
          <w:szCs w:val="24"/>
          <w:u w:val="single"/>
          <w:lang w:eastAsia="zh-CN"/>
        </w:rPr>
        <w:t>（1</w:t>
      </w:r>
      <w:r>
        <w:rPr>
          <w:rFonts w:hint="eastAsia" w:ascii="Times New Roman" w:hAnsi="Times New Roman" w:eastAsia="宋体" w:cs="Times New Roman"/>
          <w:spacing w:val="-3"/>
          <w:sz w:val="24"/>
          <w:szCs w:val="24"/>
          <w:u w:val="single"/>
          <w:lang w:val="en-US" w:eastAsia="zh-CN"/>
        </w:rPr>
        <w:t>8</w:t>
      </w:r>
      <w:r>
        <w:rPr>
          <w:rFonts w:ascii="Times New Roman" w:hAnsi="Times New Roman" w:eastAsia="宋体" w:cs="Times New Roman"/>
          <w:spacing w:val="-3"/>
          <w:sz w:val="24"/>
          <w:szCs w:val="24"/>
          <w:u w:val="single"/>
          <w:lang w:eastAsia="zh-CN"/>
        </w:rPr>
        <w:t>）《湖南省县级以上城市集中式饮用水水源地名录》（2022年7月25日）</w:t>
      </w:r>
    </w:p>
    <w:p w14:paraId="1D405BFF">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w:t>
      </w:r>
      <w:r>
        <w:rPr>
          <w:rFonts w:hint="eastAsia" w:ascii="Times New Roman" w:hAnsi="Times New Roman" w:eastAsia="宋体" w:cs="Times New Roman"/>
          <w:spacing w:val="-3"/>
          <w:sz w:val="24"/>
          <w:szCs w:val="24"/>
          <w:u w:val="single"/>
          <w:lang w:val="en-US" w:eastAsia="zh-CN"/>
        </w:rPr>
        <w:t>9</w:t>
      </w:r>
      <w:r>
        <w:rPr>
          <w:rFonts w:ascii="Times New Roman" w:hAnsi="Times New Roman" w:eastAsia="宋体" w:cs="Times New Roman"/>
          <w:spacing w:val="-3"/>
          <w:sz w:val="24"/>
          <w:szCs w:val="24"/>
          <w:u w:val="single"/>
          <w:lang w:eastAsia="zh-CN"/>
        </w:rPr>
        <w:t>）《湖南省水功能区划（修编）》（湖南省水利厅2014年）；</w:t>
      </w:r>
    </w:p>
    <w:p w14:paraId="502D81F9">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w:t>
      </w:r>
      <w:r>
        <w:rPr>
          <w:rFonts w:hint="eastAsia" w:ascii="Times New Roman" w:hAnsi="Times New Roman" w:eastAsia="宋体" w:cs="Times New Roman"/>
          <w:spacing w:val="-3"/>
          <w:sz w:val="24"/>
          <w:szCs w:val="24"/>
          <w:u w:val="single"/>
          <w:lang w:val="en-US" w:eastAsia="zh-CN"/>
        </w:rPr>
        <w:t>20</w:t>
      </w:r>
      <w:r>
        <w:rPr>
          <w:rFonts w:ascii="Times New Roman" w:hAnsi="Times New Roman" w:eastAsia="宋体" w:cs="Times New Roman"/>
          <w:spacing w:val="-3"/>
          <w:sz w:val="24"/>
          <w:szCs w:val="24"/>
          <w:u w:val="single"/>
          <w:lang w:eastAsia="zh-CN"/>
        </w:rPr>
        <w:t>）《湖南省水功能区监督管理办法》（湘政办发〔2016〕14号）</w:t>
      </w:r>
      <w:r>
        <w:rPr>
          <w:rFonts w:hint="eastAsia" w:ascii="Times New Roman" w:hAnsi="Times New Roman" w:eastAsia="宋体" w:cs="Times New Roman"/>
          <w:spacing w:val="-3"/>
          <w:sz w:val="24"/>
          <w:szCs w:val="24"/>
          <w:u w:val="single"/>
          <w:lang w:eastAsia="zh-CN"/>
        </w:rPr>
        <w:t>；</w:t>
      </w:r>
    </w:p>
    <w:p w14:paraId="038986EA">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（2</w:t>
      </w:r>
      <w:r>
        <w:rPr>
          <w:rFonts w:hint="eastAsia" w:ascii="Times New Roman" w:hAnsi="Times New Roman" w:eastAsia="宋体" w:cs="Times New Roman"/>
          <w:spacing w:val="-3"/>
          <w:sz w:val="24"/>
          <w:szCs w:val="24"/>
          <w:u w:val="single"/>
          <w:lang w:val="en-US" w:eastAsia="zh-CN"/>
        </w:rPr>
        <w:t>1</w:t>
      </w:r>
      <w:r>
        <w:rPr>
          <w:rFonts w:ascii="Times New Roman" w:hAnsi="Times New Roman" w:eastAsia="宋体" w:cs="Times New Roman"/>
          <w:spacing w:val="-3"/>
          <w:sz w:val="24"/>
          <w:szCs w:val="24"/>
          <w:u w:val="single"/>
          <w:lang w:eastAsia="zh-CN"/>
        </w:rPr>
        <w:t>）《关于做好入河排污口和水功能区划相关工作的通知》（环办水体函</w:t>
      </w:r>
    </w:p>
    <w:p w14:paraId="3506175C">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〔201</w:t>
      </w:r>
      <w:r>
        <w:rPr>
          <w:rFonts w:hint="eastAsia" w:ascii="Times New Roman" w:hAnsi="Times New Roman" w:eastAsia="宋体" w:cs="Times New Roman"/>
          <w:spacing w:val="-3"/>
          <w:sz w:val="24"/>
          <w:szCs w:val="24"/>
          <w:u w:val="single"/>
          <w:lang w:val="en-US" w:eastAsia="zh-CN"/>
        </w:rPr>
        <w:t>9</w:t>
      </w:r>
      <w:r>
        <w:rPr>
          <w:rFonts w:ascii="Times New Roman" w:hAnsi="Times New Roman" w:eastAsia="宋体" w:cs="Times New Roman"/>
          <w:spacing w:val="-3"/>
          <w:sz w:val="24"/>
          <w:szCs w:val="24"/>
          <w:u w:val="single"/>
          <w:lang w:eastAsia="zh-CN"/>
        </w:rPr>
        <w:t>〕36号）；</w:t>
      </w:r>
    </w:p>
    <w:p w14:paraId="454C904B">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（2</w:t>
      </w:r>
      <w:r>
        <w:rPr>
          <w:rFonts w:hint="eastAsia" w:ascii="Times New Roman" w:hAnsi="Times New Roman" w:eastAsia="宋体" w:cs="Times New Roman"/>
          <w:spacing w:val="-3"/>
          <w:sz w:val="24"/>
          <w:szCs w:val="24"/>
          <w:u w:val="single"/>
          <w:lang w:val="en-US" w:eastAsia="zh-CN"/>
        </w:rPr>
        <w:t>2</w:t>
      </w:r>
      <w:r>
        <w:rPr>
          <w:rFonts w:ascii="Times New Roman" w:hAnsi="Times New Roman" w:eastAsia="宋体" w:cs="Times New Roman"/>
          <w:spacing w:val="-3"/>
          <w:sz w:val="24"/>
          <w:szCs w:val="24"/>
          <w:u w:val="single"/>
          <w:lang w:eastAsia="zh-CN"/>
        </w:rPr>
        <w:t>）《水行政许可实施办法》（水利部令第23号）；</w:t>
      </w:r>
    </w:p>
    <w:p w14:paraId="0B18D7EF">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（2</w:t>
      </w:r>
      <w:r>
        <w:rPr>
          <w:rFonts w:hint="eastAsia" w:ascii="Times New Roman" w:hAnsi="Times New Roman" w:eastAsia="宋体" w:cs="Times New Roman"/>
          <w:spacing w:val="-3"/>
          <w:sz w:val="24"/>
          <w:szCs w:val="24"/>
          <w:u w:val="single"/>
          <w:lang w:val="en-US" w:eastAsia="zh-CN"/>
        </w:rPr>
        <w:t>3</w:t>
      </w:r>
      <w:r>
        <w:rPr>
          <w:rFonts w:ascii="Times New Roman" w:hAnsi="Times New Roman" w:eastAsia="宋体" w:cs="Times New Roman"/>
          <w:spacing w:val="-3"/>
          <w:sz w:val="24"/>
          <w:szCs w:val="24"/>
          <w:u w:val="single"/>
          <w:lang w:eastAsia="zh-CN"/>
        </w:rPr>
        <w:t>）《关于规范入河排污口设置审批工作的函》（湘环函〔2021〕71号省生态环境厅、农业农村厅、省林业局联合发布）；</w:t>
      </w:r>
    </w:p>
    <w:p w14:paraId="3111B6EE">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（2</w:t>
      </w:r>
      <w:r>
        <w:rPr>
          <w:rFonts w:hint="eastAsia" w:ascii="Times New Roman" w:hAnsi="Times New Roman" w:eastAsia="宋体" w:cs="Times New Roman"/>
          <w:spacing w:val="-3"/>
          <w:sz w:val="24"/>
          <w:szCs w:val="24"/>
          <w:u w:val="single"/>
          <w:lang w:val="en-US" w:eastAsia="zh-CN"/>
        </w:rPr>
        <w:t>4</w:t>
      </w:r>
      <w:r>
        <w:rPr>
          <w:rFonts w:ascii="Times New Roman" w:hAnsi="Times New Roman" w:eastAsia="宋体" w:cs="Times New Roman"/>
          <w:spacing w:val="-3"/>
          <w:sz w:val="24"/>
          <w:szCs w:val="24"/>
          <w:u w:val="single"/>
          <w:lang w:eastAsia="zh-CN"/>
        </w:rPr>
        <w:t>）《湖南省生态环境厅湖南省水利厅关于印发&lt;湖南省入河（湖）排污口监督管理工作方案&gt;的通知》（湘环发〔2023〕31号）</w:t>
      </w:r>
      <w:r>
        <w:rPr>
          <w:rFonts w:hint="eastAsia" w:ascii="Times New Roman" w:hAnsi="Times New Roman" w:eastAsia="宋体" w:cs="Times New Roman"/>
          <w:spacing w:val="-3"/>
          <w:sz w:val="24"/>
          <w:szCs w:val="24"/>
          <w:u w:val="single"/>
          <w:lang w:eastAsia="zh-CN"/>
        </w:rPr>
        <w:t>；</w:t>
      </w:r>
    </w:p>
    <w:p w14:paraId="3E620E6B">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（2</w:t>
      </w:r>
      <w:r>
        <w:rPr>
          <w:rFonts w:hint="eastAsia" w:ascii="Times New Roman" w:hAnsi="Times New Roman" w:eastAsia="宋体" w:cs="Times New Roman"/>
          <w:spacing w:val="-3"/>
          <w:sz w:val="24"/>
          <w:szCs w:val="24"/>
          <w:u w:val="single"/>
          <w:lang w:val="en-US" w:eastAsia="zh-CN"/>
        </w:rPr>
        <w:t>5</w:t>
      </w:r>
      <w:r>
        <w:rPr>
          <w:rFonts w:ascii="Times New Roman" w:hAnsi="Times New Roman" w:eastAsia="宋体" w:cs="Times New Roman"/>
          <w:spacing w:val="-3"/>
          <w:sz w:val="24"/>
          <w:szCs w:val="24"/>
          <w:u w:val="single"/>
          <w:lang w:eastAsia="zh-CN"/>
        </w:rPr>
        <w:t>）</w:t>
      </w:r>
      <w:r>
        <w:rPr>
          <w:rFonts w:hint="eastAsia" w:ascii="Times New Roman" w:hAnsi="Times New Roman" w:eastAsia="宋体" w:cs="Times New Roman"/>
          <w:spacing w:val="-3"/>
          <w:sz w:val="24"/>
          <w:szCs w:val="24"/>
          <w:u w:val="single"/>
          <w:lang w:eastAsia="zh-CN"/>
        </w:rPr>
        <w:t>《湖南省环境保护厅对湘潭市千人以上饮用水水源保护区划分方案的批复》（</w:t>
      </w:r>
      <w:r>
        <w:rPr>
          <w:rFonts w:hint="eastAsia" w:ascii="Times New Roman" w:hAnsi="Times New Roman" w:eastAsia="宋体" w:cs="Times New Roman"/>
          <w:spacing w:val="-3"/>
          <w:sz w:val="24"/>
          <w:szCs w:val="24"/>
          <w:u w:val="single"/>
          <w:lang w:val="en-US" w:eastAsia="zh-CN"/>
        </w:rPr>
        <w:t>湘环函</w:t>
      </w:r>
      <w:r>
        <w:rPr>
          <w:rFonts w:hint="eastAsia" w:ascii="Times New Roman" w:hAnsi="Times New Roman" w:eastAsia="宋体" w:cs="Times New Roman"/>
          <w:spacing w:val="-3"/>
          <w:sz w:val="24"/>
          <w:szCs w:val="24"/>
          <w:u w:val="single"/>
          <w:lang w:eastAsia="zh-CN"/>
        </w:rPr>
        <w:t>〔20</w:t>
      </w:r>
      <w:r>
        <w:rPr>
          <w:rFonts w:hint="eastAsia" w:ascii="Times New Roman" w:hAnsi="Times New Roman" w:eastAsia="宋体" w:cs="Times New Roman"/>
          <w:spacing w:val="-3"/>
          <w:sz w:val="24"/>
          <w:szCs w:val="24"/>
          <w:u w:val="single"/>
          <w:lang w:val="en-US" w:eastAsia="zh-CN"/>
        </w:rPr>
        <w:t>18</w:t>
      </w:r>
      <w:r>
        <w:rPr>
          <w:rFonts w:hint="eastAsia" w:ascii="Times New Roman" w:hAnsi="Times New Roman" w:eastAsia="宋体" w:cs="Times New Roman"/>
          <w:spacing w:val="-3"/>
          <w:sz w:val="24"/>
          <w:szCs w:val="24"/>
          <w:u w:val="single"/>
          <w:lang w:eastAsia="zh-CN"/>
        </w:rPr>
        <w:t>〕</w:t>
      </w:r>
      <w:r>
        <w:rPr>
          <w:rFonts w:hint="eastAsia" w:ascii="Times New Roman" w:hAnsi="Times New Roman" w:eastAsia="宋体" w:cs="Times New Roman"/>
          <w:spacing w:val="-3"/>
          <w:sz w:val="24"/>
          <w:szCs w:val="24"/>
          <w:u w:val="single"/>
          <w:lang w:val="en-US" w:eastAsia="zh-CN"/>
        </w:rPr>
        <w:t>196</w:t>
      </w:r>
      <w:r>
        <w:rPr>
          <w:rFonts w:hint="eastAsia" w:ascii="Times New Roman" w:hAnsi="Times New Roman" w:eastAsia="宋体" w:cs="Times New Roman"/>
          <w:spacing w:val="-3"/>
          <w:sz w:val="24"/>
          <w:szCs w:val="24"/>
          <w:u w:val="single"/>
          <w:lang w:eastAsia="zh-CN"/>
        </w:rPr>
        <w:t>号）</w:t>
      </w:r>
      <w:r>
        <w:rPr>
          <w:rFonts w:ascii="Times New Roman" w:hAnsi="Times New Roman" w:eastAsia="宋体" w:cs="Times New Roman"/>
          <w:spacing w:val="-3"/>
          <w:sz w:val="24"/>
          <w:szCs w:val="24"/>
          <w:u w:val="single"/>
          <w:lang w:eastAsia="zh-CN"/>
        </w:rPr>
        <w:t>；</w:t>
      </w:r>
    </w:p>
    <w:p w14:paraId="0E928BCF">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（2</w:t>
      </w:r>
      <w:r>
        <w:rPr>
          <w:rFonts w:hint="eastAsia" w:ascii="Times New Roman" w:hAnsi="Times New Roman" w:eastAsia="宋体" w:cs="Times New Roman"/>
          <w:spacing w:val="-3"/>
          <w:sz w:val="24"/>
          <w:szCs w:val="24"/>
          <w:u w:val="single"/>
          <w:lang w:val="en-US" w:eastAsia="zh-CN"/>
        </w:rPr>
        <w:t>6</w:t>
      </w:r>
      <w:r>
        <w:rPr>
          <w:rFonts w:ascii="Times New Roman" w:hAnsi="Times New Roman" w:eastAsia="宋体" w:cs="Times New Roman"/>
          <w:spacing w:val="-3"/>
          <w:sz w:val="24"/>
          <w:szCs w:val="24"/>
          <w:u w:val="single"/>
          <w:lang w:eastAsia="zh-CN"/>
        </w:rPr>
        <w:t>）</w:t>
      </w:r>
      <w:r>
        <w:rPr>
          <w:rFonts w:hint="eastAsia" w:ascii="Times New Roman" w:hAnsi="Times New Roman" w:eastAsia="宋体" w:cs="Times New Roman"/>
          <w:spacing w:val="-3"/>
          <w:sz w:val="24"/>
          <w:szCs w:val="24"/>
          <w:u w:val="single"/>
          <w:lang w:eastAsia="zh-CN"/>
        </w:rPr>
        <w:t>《湖南省生态环境厅关于划定长沙等14个市州第二批乡镇级"千吨万人"集中式饮用水水源保护区的函》（</w:t>
      </w:r>
      <w:r>
        <w:rPr>
          <w:rFonts w:hint="eastAsia" w:ascii="Times New Roman" w:hAnsi="Times New Roman" w:eastAsia="宋体" w:cs="Times New Roman"/>
          <w:spacing w:val="-3"/>
          <w:sz w:val="24"/>
          <w:szCs w:val="24"/>
          <w:u w:val="single"/>
          <w:lang w:val="en-US" w:eastAsia="zh-CN"/>
        </w:rPr>
        <w:t>湘环函</w:t>
      </w:r>
      <w:r>
        <w:rPr>
          <w:rFonts w:hint="eastAsia" w:ascii="Times New Roman" w:hAnsi="Times New Roman" w:eastAsia="宋体" w:cs="Times New Roman"/>
          <w:spacing w:val="-3"/>
          <w:sz w:val="24"/>
          <w:szCs w:val="24"/>
          <w:u w:val="single"/>
          <w:lang w:eastAsia="zh-CN"/>
        </w:rPr>
        <w:t>〔20</w:t>
      </w:r>
      <w:r>
        <w:rPr>
          <w:rFonts w:hint="eastAsia" w:ascii="Times New Roman" w:hAnsi="Times New Roman" w:eastAsia="宋体" w:cs="Times New Roman"/>
          <w:spacing w:val="-3"/>
          <w:sz w:val="24"/>
          <w:szCs w:val="24"/>
          <w:u w:val="single"/>
          <w:lang w:val="en-US" w:eastAsia="zh-CN"/>
        </w:rPr>
        <w:t>19</w:t>
      </w:r>
      <w:r>
        <w:rPr>
          <w:rFonts w:hint="eastAsia" w:ascii="Times New Roman" w:hAnsi="Times New Roman" w:eastAsia="宋体" w:cs="Times New Roman"/>
          <w:spacing w:val="-3"/>
          <w:sz w:val="24"/>
          <w:szCs w:val="24"/>
          <w:u w:val="single"/>
          <w:lang w:eastAsia="zh-CN"/>
        </w:rPr>
        <w:t>〕</w:t>
      </w:r>
      <w:r>
        <w:rPr>
          <w:rFonts w:hint="eastAsia" w:ascii="Times New Roman" w:hAnsi="Times New Roman" w:eastAsia="宋体" w:cs="Times New Roman"/>
          <w:spacing w:val="-3"/>
          <w:sz w:val="24"/>
          <w:szCs w:val="24"/>
          <w:u w:val="single"/>
          <w:lang w:val="en-US" w:eastAsia="zh-CN"/>
        </w:rPr>
        <w:t>231</w:t>
      </w:r>
      <w:r>
        <w:rPr>
          <w:rFonts w:hint="eastAsia" w:ascii="Times New Roman" w:hAnsi="Times New Roman" w:eastAsia="宋体" w:cs="Times New Roman"/>
          <w:spacing w:val="-3"/>
          <w:sz w:val="24"/>
          <w:szCs w:val="24"/>
          <w:u w:val="single"/>
          <w:lang w:eastAsia="zh-CN"/>
        </w:rPr>
        <w:t>号）</w:t>
      </w:r>
      <w:r>
        <w:rPr>
          <w:rFonts w:ascii="Times New Roman" w:hAnsi="Times New Roman" w:eastAsia="宋体" w:cs="Times New Roman"/>
          <w:spacing w:val="-3"/>
          <w:sz w:val="24"/>
          <w:szCs w:val="24"/>
          <w:u w:val="single"/>
          <w:lang w:eastAsia="zh-CN"/>
        </w:rPr>
        <w:t>；</w:t>
      </w:r>
    </w:p>
    <w:p w14:paraId="5536EEC5">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ascii="Times New Roman" w:hAnsi="Times New Roman" w:eastAsia="宋体" w:cs="Times New Roman"/>
          <w:b/>
          <w:bCs/>
          <w:spacing w:val="-3"/>
          <w:sz w:val="24"/>
          <w:szCs w:val="24"/>
          <w:u w:val="single"/>
          <w:lang w:eastAsia="zh-CN"/>
        </w:rPr>
      </w:pPr>
      <w:r>
        <w:rPr>
          <w:rFonts w:ascii="Times New Roman" w:hAnsi="Times New Roman" w:eastAsia="宋体" w:cs="Times New Roman"/>
          <w:b/>
          <w:bCs/>
          <w:spacing w:val="-3"/>
          <w:sz w:val="24"/>
          <w:szCs w:val="24"/>
          <w:u w:val="single"/>
          <w:lang w:eastAsia="zh-CN"/>
        </w:rPr>
        <w:t>1.2.2有关技术规范和技术标准</w:t>
      </w:r>
    </w:p>
    <w:p w14:paraId="452E5B30">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（1）《入河入海排污口监督管理技术指南入河排污口规范化建设》（HJ1309-2023）；</w:t>
      </w:r>
    </w:p>
    <w:p w14:paraId="5C8C0A77">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（2）《入河入海排污口监督管理技术指南入河排污口设置》（HJ1386-2024）</w:t>
      </w:r>
    </w:p>
    <w:p w14:paraId="73280533">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（3）《入河入海排污口监督管理技术指南监测》（HJ1387-2024）；</w:t>
      </w:r>
    </w:p>
    <w:p w14:paraId="3D28F22C">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（4）《环境影响评价技术导则-地表水环境》（HJ/T2.3-2018）；</w:t>
      </w:r>
    </w:p>
    <w:p w14:paraId="1B4813B6">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（5）《建设项目水资源论证导则》（SL322-2017）；</w:t>
      </w:r>
    </w:p>
    <w:p w14:paraId="74432C57">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（6）《水域纳污能力计算规程》（GB/T25173-2010）；</w:t>
      </w:r>
    </w:p>
    <w:p w14:paraId="3D4D330A">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（7）《污水再生利用工程设计规范》（GB50335-2002）；</w:t>
      </w:r>
    </w:p>
    <w:p w14:paraId="4B4D4E20">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（8）《水利水电工程水文计算规范》（J929-2009）；</w:t>
      </w:r>
    </w:p>
    <w:p w14:paraId="37BDB86A">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（9）《地表水资源质量评价技术规程》（SL395-2007）；</w:t>
      </w:r>
    </w:p>
    <w:p w14:paraId="129CED29">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（10）《水资源评价导则》（SL/T238-1999）；</w:t>
      </w:r>
    </w:p>
    <w:p w14:paraId="30F46DF5">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（11）《地表水环境质量标准》（GB3838-2002）；</w:t>
      </w:r>
    </w:p>
    <w:p w14:paraId="46570300">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（12）《地表水资源质量标准》（SL63-94）；</w:t>
      </w:r>
    </w:p>
    <w:p w14:paraId="41031363">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（13）《水环境监测规范》（SL219-2013）；</w:t>
      </w:r>
    </w:p>
    <w:p w14:paraId="6827C0F3">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（14）《水文调查规范》（SL196-2015）；</w:t>
      </w:r>
    </w:p>
    <w:p w14:paraId="328261C1">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（15）《水资源实时监控系统建设技术导则》（SL/Z349-2006）；</w:t>
      </w:r>
    </w:p>
    <w:p w14:paraId="0834C426">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（16）《水资源水量监测技术导则》（SL365-2007）；</w:t>
      </w:r>
    </w:p>
    <w:p w14:paraId="14E339F4">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（17）《地表水水资源质量评价技术规程》（SL395-2007）；</w:t>
      </w:r>
    </w:p>
    <w:p w14:paraId="092D3E8F">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u w:val="single"/>
          <w:lang w:eastAsia="zh-CN"/>
        </w:rPr>
      </w:pPr>
      <w:r>
        <w:rPr>
          <w:rFonts w:ascii="Times New Roman" w:hAnsi="Times New Roman" w:eastAsia="宋体" w:cs="Times New Roman"/>
          <w:spacing w:val="-3"/>
          <w:sz w:val="24"/>
          <w:szCs w:val="24"/>
          <w:u w:val="single"/>
          <w:lang w:eastAsia="zh-CN"/>
        </w:rPr>
        <w:t>（1</w:t>
      </w:r>
      <w:r>
        <w:rPr>
          <w:rFonts w:hint="eastAsia" w:ascii="Times New Roman" w:hAnsi="Times New Roman" w:eastAsia="宋体" w:cs="Times New Roman"/>
          <w:spacing w:val="-3"/>
          <w:sz w:val="24"/>
          <w:szCs w:val="24"/>
          <w:u w:val="single"/>
          <w:lang w:val="en-US" w:eastAsia="zh-CN"/>
        </w:rPr>
        <w:t>8</w:t>
      </w:r>
      <w:r>
        <w:rPr>
          <w:rFonts w:ascii="Times New Roman" w:hAnsi="Times New Roman" w:eastAsia="宋体" w:cs="Times New Roman"/>
          <w:spacing w:val="-3"/>
          <w:sz w:val="24"/>
          <w:szCs w:val="24"/>
          <w:u w:val="single"/>
          <w:lang w:eastAsia="zh-CN"/>
        </w:rPr>
        <w:t>）《水利工程水利计算规范》（SL104-2015）；</w:t>
      </w:r>
    </w:p>
    <w:p w14:paraId="61A25D13">
      <w:pPr>
        <w:keepNext w:val="0"/>
        <w:keepLines w:val="0"/>
        <w:pageBreakBefore w:val="0"/>
        <w:widowControl/>
        <w:kinsoku w:val="0"/>
        <w:wordWrap/>
        <w:overflowPunct/>
        <w:topLinePunct w:val="0"/>
        <w:autoSpaceDE w:val="0"/>
        <w:autoSpaceDN w:val="0"/>
        <w:bidi w:val="0"/>
        <w:adjustRightInd w:val="0"/>
        <w:snapToGrid w:val="0"/>
        <w:spacing w:line="360" w:lineRule="auto"/>
        <w:ind w:firstLine="468" w:firstLineChars="200"/>
        <w:jc w:val="both"/>
        <w:textAlignment w:val="baseline"/>
        <w:rPr>
          <w:rFonts w:ascii="Times New Roman" w:hAnsi="Times New Roman" w:eastAsia="宋体" w:cs="Times New Roman"/>
          <w:spacing w:val="-3"/>
          <w:sz w:val="24"/>
          <w:szCs w:val="24"/>
          <w:lang w:eastAsia="zh-CN"/>
        </w:rPr>
      </w:pPr>
      <w:r>
        <w:rPr>
          <w:rFonts w:ascii="Times New Roman" w:hAnsi="Times New Roman" w:eastAsia="宋体" w:cs="Times New Roman"/>
          <w:spacing w:val="-3"/>
          <w:sz w:val="24"/>
          <w:szCs w:val="24"/>
          <w:u w:val="single"/>
          <w:lang w:eastAsia="zh-CN"/>
        </w:rPr>
        <w:t>（</w:t>
      </w:r>
      <w:r>
        <w:rPr>
          <w:rFonts w:hint="eastAsia" w:ascii="Times New Roman" w:hAnsi="Times New Roman" w:eastAsia="宋体" w:cs="Times New Roman"/>
          <w:spacing w:val="-3"/>
          <w:sz w:val="24"/>
          <w:szCs w:val="24"/>
          <w:u w:val="single"/>
          <w:lang w:val="en-US" w:eastAsia="zh-CN"/>
        </w:rPr>
        <w:t>19</w:t>
      </w:r>
      <w:r>
        <w:rPr>
          <w:rFonts w:ascii="Times New Roman" w:hAnsi="Times New Roman" w:eastAsia="宋体" w:cs="Times New Roman"/>
          <w:spacing w:val="-3"/>
          <w:sz w:val="24"/>
          <w:szCs w:val="24"/>
          <w:u w:val="single"/>
          <w:lang w:eastAsia="zh-CN"/>
        </w:rPr>
        <w:t>）</w:t>
      </w:r>
      <w:r>
        <w:rPr>
          <w:rFonts w:hint="eastAsia" w:ascii="Times New Roman" w:hAnsi="Times New Roman" w:eastAsia="宋体" w:cs="Times New Roman"/>
          <w:spacing w:val="-3"/>
          <w:sz w:val="24"/>
          <w:szCs w:val="24"/>
          <w:u w:val="single"/>
          <w:lang w:eastAsia="zh-CN"/>
        </w:rPr>
        <w:t>《食品加工制造业水污染物排放标准》（GB46817-2025）</w:t>
      </w:r>
      <w:r>
        <w:rPr>
          <w:rFonts w:ascii="Times New Roman" w:hAnsi="Times New Roman" w:eastAsia="宋体" w:cs="Times New Roman"/>
          <w:spacing w:val="-3"/>
          <w:sz w:val="24"/>
          <w:szCs w:val="24"/>
          <w:u w:val="single"/>
          <w:lang w:eastAsia="zh-CN"/>
        </w:rPr>
        <w:t>；</w:t>
      </w:r>
    </w:p>
    <w:p w14:paraId="69F67A8C">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ascii="Times New Roman" w:hAnsi="Times New Roman" w:eastAsia="宋体" w:cs="Times New Roman"/>
          <w:b/>
          <w:bCs/>
          <w:spacing w:val="-3"/>
          <w:sz w:val="24"/>
          <w:szCs w:val="24"/>
          <w:u w:val="single"/>
          <w:lang w:eastAsia="zh-CN"/>
        </w:rPr>
      </w:pPr>
      <w:r>
        <w:rPr>
          <w:rFonts w:ascii="Times New Roman" w:hAnsi="Times New Roman" w:eastAsia="宋体" w:cs="Times New Roman"/>
          <w:b/>
          <w:bCs/>
          <w:spacing w:val="-3"/>
          <w:sz w:val="24"/>
          <w:szCs w:val="24"/>
          <w:u w:val="single"/>
          <w:lang w:eastAsia="zh-CN"/>
        </w:rPr>
        <w:t>1.2.3相关技术报告</w:t>
      </w:r>
    </w:p>
    <w:p w14:paraId="044BBE3F">
      <w:pPr>
        <w:keepNext w:val="0"/>
        <w:keepLines w:val="0"/>
        <w:pageBreakBefore w:val="0"/>
        <w:widowControl/>
        <w:kinsoku w:val="0"/>
        <w:wordWrap/>
        <w:overflowPunct/>
        <w:topLinePunct w:val="0"/>
        <w:autoSpaceDE w:val="0"/>
        <w:autoSpaceDN w:val="0"/>
        <w:bidi w:val="0"/>
        <w:adjustRightInd w:val="0"/>
        <w:snapToGrid w:val="0"/>
        <w:spacing w:line="360" w:lineRule="auto"/>
        <w:ind w:firstLine="489"/>
        <w:jc w:val="both"/>
        <w:textAlignment w:val="baseline"/>
        <w:rPr>
          <w:rFonts w:hint="default" w:ascii="Times New Roman" w:hAnsi="Times New Roman" w:eastAsia="宋体" w:cs="Times New Roman"/>
          <w:spacing w:val="-4"/>
          <w:sz w:val="24"/>
          <w:szCs w:val="24"/>
          <w:u w:val="single"/>
          <w:lang w:val="en-US" w:eastAsia="zh-CN"/>
        </w:rPr>
      </w:pPr>
      <w:r>
        <w:rPr>
          <w:rFonts w:ascii="Times New Roman" w:hAnsi="Times New Roman" w:eastAsia="宋体" w:cs="Times New Roman"/>
          <w:spacing w:val="-4"/>
          <w:sz w:val="24"/>
          <w:szCs w:val="24"/>
          <w:u w:val="single"/>
          <w:lang w:eastAsia="zh-CN"/>
        </w:rPr>
        <w:t>（1）</w:t>
      </w:r>
      <w:r>
        <w:rPr>
          <w:rFonts w:hint="eastAsia" w:ascii="Times New Roman" w:hAnsi="Times New Roman" w:eastAsia="宋体" w:cs="Times New Roman"/>
          <w:spacing w:val="-4"/>
          <w:sz w:val="24"/>
          <w:szCs w:val="24"/>
          <w:u w:val="single"/>
          <w:lang w:eastAsia="zh-CN"/>
        </w:rPr>
        <w:t>《</w:t>
      </w:r>
      <w:r>
        <w:rPr>
          <w:rFonts w:hint="eastAsia" w:ascii="Times New Roman" w:hAnsi="Times New Roman" w:eastAsia="宋体" w:cs="Times New Roman"/>
          <w:spacing w:val="-4"/>
          <w:sz w:val="24"/>
          <w:szCs w:val="24"/>
          <w:u w:val="single"/>
          <w:lang w:val="en-US" w:eastAsia="zh-CN"/>
        </w:rPr>
        <w:t>湘潭县水功能区划》2016</w:t>
      </w:r>
    </w:p>
    <w:p w14:paraId="5AE0F8DF">
      <w:pPr>
        <w:keepNext w:val="0"/>
        <w:keepLines w:val="0"/>
        <w:pageBreakBefore w:val="0"/>
        <w:widowControl/>
        <w:kinsoku w:val="0"/>
        <w:wordWrap/>
        <w:overflowPunct/>
        <w:topLinePunct w:val="0"/>
        <w:autoSpaceDE w:val="0"/>
        <w:autoSpaceDN w:val="0"/>
        <w:bidi w:val="0"/>
        <w:adjustRightInd w:val="0"/>
        <w:snapToGrid w:val="0"/>
        <w:spacing w:line="360" w:lineRule="auto"/>
        <w:ind w:firstLine="489"/>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4"/>
          <w:sz w:val="24"/>
          <w:szCs w:val="24"/>
          <w:u w:val="single"/>
          <w:lang w:eastAsia="zh-CN"/>
        </w:rPr>
        <w:t>（2）</w:t>
      </w:r>
      <w:r>
        <w:rPr>
          <w:rFonts w:hint="eastAsia" w:ascii="Times New Roman" w:hAnsi="Times New Roman" w:eastAsia="宋体" w:cs="Times New Roman"/>
          <w:spacing w:val="-4"/>
          <w:sz w:val="24"/>
          <w:szCs w:val="24"/>
          <w:u w:val="single"/>
          <w:lang w:eastAsia="zh-CN"/>
        </w:rPr>
        <w:t>其他相关部门提供的资料</w:t>
      </w:r>
    </w:p>
    <w:p w14:paraId="3B54657F">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1"/>
        <w:rPr>
          <w:rFonts w:ascii="Times New Roman" w:hAnsi="Times New Roman" w:eastAsia="宋体" w:cs="Times New Roman"/>
          <w:sz w:val="28"/>
          <w:szCs w:val="28"/>
          <w:lang w:eastAsia="zh-CN"/>
        </w:rPr>
      </w:pPr>
      <w:bookmarkStart w:id="15" w:name="_Toc8199"/>
      <w:bookmarkStart w:id="16" w:name="_Toc25271"/>
      <w:r>
        <w:rPr>
          <w:rFonts w:ascii="Times New Roman" w:hAnsi="Times New Roman" w:eastAsia="宋体" w:cs="Times New Roman"/>
          <w:b/>
          <w:bCs/>
          <w:spacing w:val="-4"/>
          <w:sz w:val="28"/>
          <w:szCs w:val="28"/>
          <w:lang w:eastAsia="zh-CN"/>
        </w:rPr>
        <w:t>1.3论证原则</w:t>
      </w:r>
      <w:bookmarkEnd w:id="15"/>
      <w:bookmarkEnd w:id="16"/>
    </w:p>
    <w:p w14:paraId="5F18E347">
      <w:pPr>
        <w:keepNext w:val="0"/>
        <w:keepLines w:val="0"/>
        <w:pageBreakBefore w:val="0"/>
        <w:widowControl/>
        <w:kinsoku w:val="0"/>
        <w:wordWrap/>
        <w:overflowPunct/>
        <w:topLinePunct w:val="0"/>
        <w:autoSpaceDE w:val="0"/>
        <w:autoSpaceDN w:val="0"/>
        <w:bidi w:val="0"/>
        <w:adjustRightInd w:val="0"/>
        <w:snapToGrid w:val="0"/>
        <w:spacing w:line="360" w:lineRule="auto"/>
        <w:ind w:firstLine="472" w:firstLineChars="200"/>
        <w:jc w:val="both"/>
        <w:textAlignment w:val="baseline"/>
        <w:rPr>
          <w:rFonts w:ascii="Times New Roman" w:hAnsi="Times New Roman" w:eastAsia="宋体" w:cs="Times New Roman"/>
          <w:sz w:val="24"/>
          <w:szCs w:val="24"/>
          <w:lang w:eastAsia="zh-CN"/>
        </w:rPr>
      </w:pPr>
      <w:r>
        <w:rPr>
          <w:rFonts w:ascii="Times New Roman" w:hAnsi="Times New Roman" w:eastAsia="宋体" w:cs="Times New Roman"/>
          <w:spacing w:val="-2"/>
          <w:sz w:val="24"/>
          <w:szCs w:val="24"/>
          <w:lang w:eastAsia="zh-CN"/>
        </w:rPr>
        <w:t>（1）以国家法律法规为依据</w:t>
      </w:r>
    </w:p>
    <w:p w14:paraId="3A56B30D">
      <w:pPr>
        <w:keepNext w:val="0"/>
        <w:keepLines w:val="0"/>
        <w:pageBreakBefore w:val="0"/>
        <w:widowControl/>
        <w:kinsoku w:val="0"/>
        <w:wordWrap/>
        <w:overflowPunct/>
        <w:topLinePunct w:val="0"/>
        <w:autoSpaceDE w:val="0"/>
        <w:autoSpaceDN w:val="0"/>
        <w:bidi w:val="0"/>
        <w:adjustRightInd w:val="0"/>
        <w:snapToGrid w:val="0"/>
        <w:spacing w:line="360" w:lineRule="auto"/>
        <w:ind w:firstLine="482"/>
        <w:jc w:val="both"/>
        <w:textAlignment w:val="baseline"/>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按照《中华人民共和国水法》、《中华人民共</w:t>
      </w:r>
      <w:r>
        <w:rPr>
          <w:rFonts w:ascii="Times New Roman" w:hAnsi="Times New Roman" w:eastAsia="宋体" w:cs="Times New Roman"/>
          <w:spacing w:val="-1"/>
          <w:sz w:val="24"/>
          <w:szCs w:val="24"/>
          <w:lang w:eastAsia="zh-CN"/>
        </w:rPr>
        <w:t>和国环境保护法》、《水功能</w:t>
      </w:r>
      <w:r>
        <w:rPr>
          <w:rFonts w:ascii="Times New Roman" w:hAnsi="Times New Roman" w:eastAsia="宋体" w:cs="Times New Roman"/>
          <w:sz w:val="24"/>
          <w:szCs w:val="24"/>
          <w:lang w:eastAsia="zh-CN"/>
        </w:rPr>
        <w:t>区管理办法》和《入河排污口监督管理办法》等法律法规</w:t>
      </w:r>
      <w:r>
        <w:rPr>
          <w:rFonts w:ascii="Times New Roman" w:hAnsi="Times New Roman" w:eastAsia="宋体" w:cs="Times New Roman"/>
          <w:spacing w:val="-1"/>
          <w:sz w:val="24"/>
          <w:szCs w:val="24"/>
          <w:lang w:eastAsia="zh-CN"/>
        </w:rPr>
        <w:t>的规定，充分考虑水资</w:t>
      </w:r>
      <w:r>
        <w:rPr>
          <w:rFonts w:ascii="Times New Roman" w:hAnsi="Times New Roman" w:eastAsia="宋体" w:cs="Times New Roman"/>
          <w:sz w:val="24"/>
          <w:szCs w:val="24"/>
          <w:lang w:eastAsia="zh-CN"/>
        </w:rPr>
        <w:t>源的可再生能力以及自然环境的承受能力，坚持可持续发</w:t>
      </w:r>
      <w:r>
        <w:rPr>
          <w:rFonts w:ascii="Times New Roman" w:hAnsi="Times New Roman" w:eastAsia="宋体" w:cs="Times New Roman"/>
          <w:spacing w:val="-1"/>
          <w:sz w:val="24"/>
          <w:szCs w:val="24"/>
          <w:lang w:eastAsia="zh-CN"/>
        </w:rPr>
        <w:t>展的原则，进行科学合</w:t>
      </w:r>
      <w:r>
        <w:rPr>
          <w:rFonts w:ascii="Times New Roman" w:hAnsi="Times New Roman" w:eastAsia="宋体" w:cs="Times New Roman"/>
          <w:sz w:val="24"/>
          <w:szCs w:val="24"/>
          <w:lang w:eastAsia="zh-CN"/>
        </w:rPr>
        <w:t>理的论证，既要保证本区域和当地居民的用水安全，又不</w:t>
      </w:r>
      <w:r>
        <w:rPr>
          <w:rFonts w:ascii="Times New Roman" w:hAnsi="Times New Roman" w:eastAsia="宋体" w:cs="Times New Roman"/>
          <w:spacing w:val="-1"/>
          <w:sz w:val="24"/>
          <w:szCs w:val="24"/>
          <w:lang w:eastAsia="zh-CN"/>
        </w:rPr>
        <w:t>破坏相邻区域和后代人赖以生存的水环境。</w:t>
      </w:r>
    </w:p>
    <w:p w14:paraId="4D83A1E6">
      <w:pPr>
        <w:keepNext w:val="0"/>
        <w:keepLines w:val="0"/>
        <w:pageBreakBefore w:val="0"/>
        <w:widowControl/>
        <w:kinsoku w:val="0"/>
        <w:wordWrap/>
        <w:overflowPunct/>
        <w:topLinePunct w:val="0"/>
        <w:autoSpaceDE w:val="0"/>
        <w:autoSpaceDN w:val="0"/>
        <w:bidi w:val="0"/>
        <w:adjustRightInd w:val="0"/>
        <w:snapToGrid w:val="0"/>
        <w:spacing w:line="360" w:lineRule="auto"/>
        <w:ind w:firstLine="472" w:firstLineChars="200"/>
        <w:jc w:val="both"/>
        <w:textAlignment w:val="baseline"/>
        <w:rPr>
          <w:rFonts w:ascii="Times New Roman" w:hAnsi="Times New Roman" w:eastAsia="宋体" w:cs="Times New Roman"/>
          <w:sz w:val="24"/>
          <w:szCs w:val="24"/>
          <w:lang w:eastAsia="zh-CN"/>
        </w:rPr>
      </w:pPr>
      <w:r>
        <w:rPr>
          <w:rFonts w:ascii="Times New Roman" w:hAnsi="Times New Roman" w:eastAsia="宋体" w:cs="Times New Roman"/>
          <w:spacing w:val="-2"/>
          <w:sz w:val="24"/>
          <w:szCs w:val="24"/>
          <w:lang w:eastAsia="zh-CN"/>
        </w:rPr>
        <w:t>（2）以保护水资源功能为目标</w:t>
      </w:r>
    </w:p>
    <w:p w14:paraId="422C2785">
      <w:pPr>
        <w:keepNext w:val="0"/>
        <w:keepLines w:val="0"/>
        <w:pageBreakBefore w:val="0"/>
        <w:widowControl/>
        <w:kinsoku w:val="0"/>
        <w:wordWrap/>
        <w:overflowPunct/>
        <w:topLinePunct w:val="0"/>
        <w:autoSpaceDE w:val="0"/>
        <w:autoSpaceDN w:val="0"/>
        <w:bidi w:val="0"/>
        <w:adjustRightInd w:val="0"/>
        <w:snapToGrid w:val="0"/>
        <w:spacing w:line="360" w:lineRule="auto"/>
        <w:ind w:firstLine="482"/>
        <w:jc w:val="both"/>
        <w:textAlignment w:val="baseline"/>
        <w:rPr>
          <w:rFonts w:ascii="Times New Roman" w:hAnsi="Times New Roman" w:eastAsia="宋体" w:cs="Times New Roman"/>
          <w:sz w:val="24"/>
          <w:szCs w:val="24"/>
          <w:lang w:eastAsia="zh-CN"/>
        </w:rPr>
      </w:pPr>
      <w:r>
        <w:rPr>
          <w:rFonts w:ascii="Times New Roman" w:hAnsi="Times New Roman" w:eastAsia="宋体" w:cs="Times New Roman"/>
          <w:spacing w:val="-8"/>
          <w:sz w:val="24"/>
          <w:szCs w:val="24"/>
          <w:lang w:eastAsia="zh-CN"/>
        </w:rPr>
        <w:t>坚持水资源利用与保护并重的原则，严格按照《地表水环境质量标准》</w:t>
      </w:r>
      <w:r>
        <w:rPr>
          <w:rFonts w:hint="eastAsia" w:ascii="Times New Roman" w:hAnsi="Times New Roman" w:eastAsia="宋体" w:cs="Times New Roman"/>
          <w:spacing w:val="-8"/>
          <w:sz w:val="24"/>
          <w:szCs w:val="24"/>
          <w:lang w:val="en-US" w:eastAsia="zh-CN"/>
        </w:rPr>
        <w:t>,</w:t>
      </w:r>
      <w:r>
        <w:rPr>
          <w:rFonts w:ascii="Times New Roman" w:hAnsi="Times New Roman" w:eastAsia="宋体" w:cs="Times New Roman"/>
          <w:spacing w:val="-8"/>
          <w:sz w:val="24"/>
          <w:szCs w:val="24"/>
          <w:lang w:eastAsia="zh-CN"/>
        </w:rPr>
        <w:t>《</w:t>
      </w:r>
      <w:r>
        <w:rPr>
          <w:rFonts w:hint="eastAsia" w:ascii="Times New Roman" w:hAnsi="Times New Roman" w:eastAsia="宋体" w:cs="Times New Roman"/>
          <w:spacing w:val="-8"/>
          <w:sz w:val="24"/>
          <w:szCs w:val="24"/>
          <w:lang w:eastAsia="zh-CN"/>
        </w:rPr>
        <w:t>食品加工制造业水污染物排放标准</w:t>
      </w:r>
      <w:r>
        <w:rPr>
          <w:rFonts w:ascii="Times New Roman" w:hAnsi="Times New Roman" w:eastAsia="宋体" w:cs="Times New Roman"/>
          <w:spacing w:val="-5"/>
          <w:sz w:val="24"/>
          <w:szCs w:val="24"/>
          <w:lang w:eastAsia="zh-CN"/>
        </w:rPr>
        <w:t>》等相关技术标准和规程进行论证，既要合</w:t>
      </w:r>
      <w:r>
        <w:rPr>
          <w:rFonts w:ascii="Times New Roman" w:hAnsi="Times New Roman" w:eastAsia="宋体" w:cs="Times New Roman"/>
          <w:spacing w:val="-6"/>
          <w:sz w:val="24"/>
          <w:szCs w:val="24"/>
          <w:lang w:eastAsia="zh-CN"/>
        </w:rPr>
        <w:t>理利用水体自净能力，</w:t>
      </w:r>
      <w:r>
        <w:rPr>
          <w:rFonts w:ascii="Times New Roman" w:hAnsi="Times New Roman" w:eastAsia="宋体" w:cs="Times New Roman"/>
          <w:sz w:val="24"/>
          <w:szCs w:val="24"/>
          <w:lang w:eastAsia="zh-CN"/>
        </w:rPr>
        <w:t>又要依据国家和行业有关技术标准，严格遵循水环境</w:t>
      </w:r>
      <w:r>
        <w:rPr>
          <w:rFonts w:ascii="Times New Roman" w:hAnsi="Times New Roman" w:eastAsia="宋体" w:cs="Times New Roman"/>
          <w:spacing w:val="-1"/>
          <w:sz w:val="24"/>
          <w:szCs w:val="24"/>
          <w:lang w:eastAsia="zh-CN"/>
        </w:rPr>
        <w:t>保护规律和原理，保障水环</w:t>
      </w:r>
      <w:r>
        <w:rPr>
          <w:rFonts w:ascii="Times New Roman" w:hAnsi="Times New Roman" w:eastAsia="宋体" w:cs="Times New Roman"/>
          <w:spacing w:val="-3"/>
          <w:sz w:val="24"/>
          <w:szCs w:val="24"/>
          <w:lang w:eastAsia="zh-CN"/>
        </w:rPr>
        <w:t>境安全。</w:t>
      </w:r>
    </w:p>
    <w:p w14:paraId="2286D78A">
      <w:pPr>
        <w:keepNext w:val="0"/>
        <w:keepLines w:val="0"/>
        <w:pageBreakBefore w:val="0"/>
        <w:widowControl/>
        <w:kinsoku w:val="0"/>
        <w:wordWrap/>
        <w:overflowPunct/>
        <w:topLinePunct w:val="0"/>
        <w:autoSpaceDE w:val="0"/>
        <w:autoSpaceDN w:val="0"/>
        <w:bidi w:val="0"/>
        <w:adjustRightInd w:val="0"/>
        <w:snapToGrid w:val="0"/>
        <w:spacing w:line="360" w:lineRule="auto"/>
        <w:ind w:firstLine="472" w:firstLineChars="200"/>
        <w:jc w:val="both"/>
        <w:textAlignment w:val="baseline"/>
        <w:rPr>
          <w:rFonts w:ascii="Times New Roman" w:hAnsi="Times New Roman" w:eastAsia="宋体" w:cs="Times New Roman"/>
          <w:sz w:val="24"/>
          <w:szCs w:val="24"/>
          <w:lang w:eastAsia="zh-CN"/>
        </w:rPr>
      </w:pPr>
      <w:r>
        <w:rPr>
          <w:rFonts w:ascii="Times New Roman" w:hAnsi="Times New Roman" w:eastAsia="宋体" w:cs="Times New Roman"/>
          <w:spacing w:val="-2"/>
          <w:sz w:val="24"/>
          <w:szCs w:val="24"/>
          <w:lang w:eastAsia="zh-CN"/>
        </w:rPr>
        <w:t>（3）以符合区域发展规划为基础</w:t>
      </w:r>
    </w:p>
    <w:p w14:paraId="491294F2">
      <w:pPr>
        <w:keepNext w:val="0"/>
        <w:keepLines w:val="0"/>
        <w:pageBreakBefore w:val="0"/>
        <w:widowControl/>
        <w:kinsoku w:val="0"/>
        <w:wordWrap/>
        <w:overflowPunct/>
        <w:topLinePunct w:val="0"/>
        <w:autoSpaceDE w:val="0"/>
        <w:autoSpaceDN w:val="0"/>
        <w:bidi w:val="0"/>
        <w:adjustRightInd w:val="0"/>
        <w:snapToGrid w:val="0"/>
        <w:spacing w:line="360" w:lineRule="auto"/>
        <w:ind w:firstLine="479"/>
        <w:jc w:val="both"/>
        <w:textAlignment w:val="baseline"/>
        <w:rPr>
          <w:rFonts w:ascii="Times New Roman" w:hAnsi="Times New Roman" w:eastAsia="宋体" w:cs="Times New Roman"/>
          <w:b/>
          <w:bCs/>
          <w:spacing w:val="-4"/>
          <w:sz w:val="28"/>
          <w:szCs w:val="28"/>
          <w:lang w:eastAsia="zh-CN"/>
        </w:rPr>
      </w:pPr>
      <w:r>
        <w:rPr>
          <w:rFonts w:ascii="Times New Roman" w:hAnsi="Times New Roman" w:eastAsia="宋体" w:cs="Times New Roman"/>
          <w:spacing w:val="-6"/>
          <w:sz w:val="24"/>
          <w:szCs w:val="24"/>
          <w:lang w:eastAsia="zh-CN"/>
        </w:rPr>
        <w:t>结合水资源保护的要求，遵循客观事实，</w:t>
      </w:r>
      <w:r>
        <w:rPr>
          <w:rFonts w:ascii="Times New Roman" w:hAnsi="Times New Roman" w:eastAsia="宋体" w:cs="Times New Roman"/>
          <w:sz w:val="24"/>
          <w:szCs w:val="24"/>
          <w:lang w:eastAsia="zh-CN"/>
        </w:rPr>
        <w:t>真实反应论证区域水环境状况；对入河排污口设置方案</w:t>
      </w:r>
      <w:r>
        <w:rPr>
          <w:rFonts w:ascii="Times New Roman" w:hAnsi="Times New Roman" w:eastAsia="宋体" w:cs="Times New Roman"/>
          <w:spacing w:val="-1"/>
          <w:sz w:val="24"/>
          <w:szCs w:val="24"/>
          <w:lang w:eastAsia="zh-CN"/>
        </w:rPr>
        <w:t>进行充分论证；客观分析</w:t>
      </w:r>
      <w:r>
        <w:rPr>
          <w:rFonts w:ascii="Times New Roman" w:hAnsi="Times New Roman" w:eastAsia="宋体" w:cs="Times New Roman"/>
          <w:sz w:val="24"/>
          <w:szCs w:val="24"/>
          <w:lang w:eastAsia="zh-CN"/>
        </w:rPr>
        <w:t>排污对水功能区水质和水生态环境的影响；确保水功能</w:t>
      </w:r>
      <w:r>
        <w:rPr>
          <w:rFonts w:ascii="Times New Roman" w:hAnsi="Times New Roman" w:eastAsia="宋体" w:cs="Times New Roman"/>
          <w:spacing w:val="-1"/>
          <w:sz w:val="24"/>
          <w:szCs w:val="24"/>
          <w:lang w:eastAsia="zh-CN"/>
        </w:rPr>
        <w:t>区水体功能不受影响；保</w:t>
      </w:r>
      <w:r>
        <w:rPr>
          <w:rFonts w:ascii="Times New Roman" w:hAnsi="Times New Roman" w:eastAsia="宋体" w:cs="Times New Roman"/>
          <w:sz w:val="24"/>
          <w:szCs w:val="24"/>
          <w:lang w:eastAsia="zh-CN"/>
        </w:rPr>
        <w:t>护第三者权益不受损害；对可能的影响提出具</w:t>
      </w:r>
      <w:r>
        <w:rPr>
          <w:rFonts w:ascii="Times New Roman" w:hAnsi="Times New Roman" w:eastAsia="宋体" w:cs="Times New Roman"/>
          <w:spacing w:val="-1"/>
          <w:sz w:val="24"/>
          <w:szCs w:val="24"/>
          <w:lang w:eastAsia="zh-CN"/>
        </w:rPr>
        <w:t>有可操作性的防范措施。</w:t>
      </w:r>
    </w:p>
    <w:p w14:paraId="6B0A9C8C">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1"/>
        <w:rPr>
          <w:rFonts w:ascii="Times New Roman" w:hAnsi="Times New Roman" w:eastAsia="宋体" w:cs="Times New Roman"/>
          <w:sz w:val="28"/>
          <w:szCs w:val="28"/>
          <w:lang w:eastAsia="zh-CN"/>
        </w:rPr>
      </w:pPr>
      <w:bookmarkStart w:id="17" w:name="_Toc12237"/>
      <w:bookmarkStart w:id="18" w:name="_Toc9677"/>
      <w:r>
        <w:rPr>
          <w:rFonts w:ascii="Times New Roman" w:hAnsi="Times New Roman" w:eastAsia="宋体" w:cs="Times New Roman"/>
          <w:b/>
          <w:bCs/>
          <w:spacing w:val="-4"/>
          <w:sz w:val="28"/>
          <w:szCs w:val="28"/>
          <w:lang w:eastAsia="zh-CN"/>
        </w:rPr>
        <w:t>1.4论证范围</w:t>
      </w:r>
      <w:bookmarkEnd w:id="17"/>
      <w:bookmarkEnd w:id="18"/>
    </w:p>
    <w:p w14:paraId="5E9A1B05">
      <w:pPr>
        <w:keepNext w:val="0"/>
        <w:keepLines w:val="0"/>
        <w:pageBreakBefore w:val="0"/>
        <w:widowControl/>
        <w:kinsoku w:val="0"/>
        <w:wordWrap/>
        <w:overflowPunct/>
        <w:topLinePunct w:val="0"/>
        <w:autoSpaceDE w:val="0"/>
        <w:autoSpaceDN w:val="0"/>
        <w:bidi w:val="0"/>
        <w:adjustRightInd w:val="0"/>
        <w:snapToGrid w:val="0"/>
        <w:spacing w:line="360" w:lineRule="auto"/>
        <w:ind w:firstLine="480"/>
        <w:jc w:val="both"/>
        <w:textAlignment w:val="baseline"/>
        <w:rPr>
          <w:rFonts w:ascii="Times New Roman" w:hAnsi="Times New Roman" w:eastAsia="宋体" w:cs="Times New Roman"/>
          <w:spacing w:val="-2"/>
          <w:sz w:val="24"/>
          <w:szCs w:val="24"/>
          <w:lang w:eastAsia="zh-CN"/>
        </w:rPr>
      </w:pPr>
      <w:r>
        <w:rPr>
          <w:rFonts w:ascii="Times New Roman" w:hAnsi="Times New Roman" w:eastAsia="宋体" w:cs="Times New Roman"/>
          <w:sz w:val="24"/>
          <w:szCs w:val="24"/>
          <w:lang w:eastAsia="zh-CN"/>
        </w:rPr>
        <w:t>根据入河排污口设置论证技术要求，论证范围确定</w:t>
      </w:r>
      <w:r>
        <w:rPr>
          <w:rFonts w:ascii="Times New Roman" w:hAnsi="Times New Roman" w:eastAsia="宋体" w:cs="Times New Roman"/>
          <w:spacing w:val="-1"/>
          <w:sz w:val="24"/>
          <w:szCs w:val="24"/>
          <w:lang w:eastAsia="zh-CN"/>
        </w:rPr>
        <w:t>是否合适，直接关系到论</w:t>
      </w:r>
      <w:r>
        <w:rPr>
          <w:rFonts w:ascii="Times New Roman" w:hAnsi="Times New Roman" w:eastAsia="宋体" w:cs="Times New Roman"/>
          <w:sz w:val="24"/>
          <w:szCs w:val="24"/>
          <w:lang w:eastAsia="zh-CN"/>
        </w:rPr>
        <w:t>证结论是否全面、客观，因此入河排污口论证范围原则</w:t>
      </w:r>
      <w:r>
        <w:rPr>
          <w:rFonts w:ascii="Times New Roman" w:hAnsi="Times New Roman" w:eastAsia="宋体" w:cs="Times New Roman"/>
          <w:spacing w:val="-1"/>
          <w:sz w:val="24"/>
          <w:szCs w:val="24"/>
          <w:lang w:eastAsia="zh-CN"/>
        </w:rPr>
        <w:t>上应以受入河排污口影响</w:t>
      </w:r>
      <w:r>
        <w:rPr>
          <w:rFonts w:ascii="Times New Roman" w:hAnsi="Times New Roman" w:eastAsia="宋体" w:cs="Times New Roman"/>
          <w:sz w:val="24"/>
          <w:szCs w:val="24"/>
          <w:lang w:eastAsia="zh-CN"/>
        </w:rPr>
        <w:t>的主要水域和其影响范围内的第三方取、用水户为论证</w:t>
      </w:r>
      <w:r>
        <w:rPr>
          <w:rFonts w:ascii="Times New Roman" w:hAnsi="Times New Roman" w:eastAsia="宋体" w:cs="Times New Roman"/>
          <w:spacing w:val="-1"/>
          <w:sz w:val="24"/>
          <w:szCs w:val="24"/>
          <w:lang w:eastAsia="zh-CN"/>
        </w:rPr>
        <w:t>范围。分析评价的基础单</w:t>
      </w:r>
      <w:r>
        <w:rPr>
          <w:rFonts w:ascii="Times New Roman" w:hAnsi="Times New Roman" w:eastAsia="宋体" w:cs="Times New Roman"/>
          <w:spacing w:val="-2"/>
          <w:sz w:val="24"/>
          <w:szCs w:val="24"/>
          <w:lang w:eastAsia="zh-CN"/>
        </w:rPr>
        <w:t>元为排污口所在的水功能区（水域</w:t>
      </w:r>
      <w:r>
        <w:rPr>
          <w:rFonts w:ascii="Times New Roman" w:hAnsi="Times New Roman" w:eastAsia="宋体" w:cs="Times New Roman"/>
          <w:spacing w:val="24"/>
          <w:sz w:val="24"/>
          <w:szCs w:val="24"/>
          <w:lang w:eastAsia="zh-CN"/>
        </w:rPr>
        <w:t>），</w:t>
      </w:r>
      <w:r>
        <w:rPr>
          <w:rFonts w:ascii="Times New Roman" w:hAnsi="Times New Roman" w:eastAsia="宋体" w:cs="Times New Roman"/>
          <w:spacing w:val="-2"/>
          <w:sz w:val="24"/>
          <w:szCs w:val="24"/>
          <w:lang w:eastAsia="zh-CN"/>
        </w:rPr>
        <w:t>以及可能受其影响的上下游水域。</w:t>
      </w:r>
    </w:p>
    <w:p w14:paraId="50F31FC2">
      <w:pPr>
        <w:snapToGrid w:val="0"/>
        <w:spacing w:line="360" w:lineRule="auto"/>
        <w:ind w:firstLine="480" w:firstLineChars="200"/>
        <w:rPr>
          <w:rFonts w:hint="eastAsia" w:ascii="宋体" w:hAnsi="宋体" w:eastAsia="宋体" w:cs="宋体"/>
          <w:color w:val="auto"/>
          <w:sz w:val="24"/>
          <w:szCs w:val="24"/>
          <w:u w:val="none" w:color="auto"/>
          <w:lang w:val="en-US" w:eastAsia="zh-CN"/>
        </w:rPr>
      </w:pPr>
      <w:r>
        <w:rPr>
          <w:rFonts w:hint="default" w:ascii="Times New Roman" w:hAnsi="Times New Roman" w:eastAsia="宋体" w:cs="Times New Roman"/>
          <w:color w:val="auto"/>
          <w:sz w:val="24"/>
          <w:szCs w:val="24"/>
          <w:u w:val="none" w:color="auto"/>
          <w:lang w:val="en-US" w:eastAsia="zh-CN"/>
        </w:rPr>
        <w:t>项目尾水经自建排水管道排入青山河，</w:t>
      </w:r>
      <w:r>
        <w:rPr>
          <w:rFonts w:hint="eastAsia" w:ascii="Times New Roman" w:hAnsi="Times New Roman" w:eastAsia="宋体" w:cs="Times New Roman"/>
          <w:color w:val="auto"/>
          <w:sz w:val="24"/>
          <w:szCs w:val="24"/>
          <w:u w:val="none" w:color="auto"/>
          <w:lang w:val="en-US" w:eastAsia="zh-CN"/>
        </w:rPr>
        <w:t>流经16.423km汇入涓水。</w:t>
      </w:r>
      <w:r>
        <w:rPr>
          <w:rFonts w:hint="default" w:ascii="Times New Roman" w:hAnsi="Times New Roman" w:eastAsia="宋体" w:cs="Times New Roman"/>
          <w:color w:val="auto"/>
          <w:sz w:val="24"/>
          <w:szCs w:val="24"/>
          <w:u w:val="none" w:color="auto"/>
          <w:lang w:val="en-US" w:eastAsia="zh-CN"/>
        </w:rPr>
        <w:t>根据《湘潭县水功能区划》（2016），论证项目排污口位于所在水功能区为青山河湘潭县保留区，水质管理目标为Ⅲ类，青山河在当地主要功能为灌溉。</w:t>
      </w:r>
    </w:p>
    <w:p w14:paraId="0B48F664">
      <w:pPr>
        <w:keepNext w:val="0"/>
        <w:keepLines w:val="0"/>
        <w:pageBreakBefore w:val="0"/>
        <w:widowControl/>
        <w:kinsoku w:val="0"/>
        <w:wordWrap/>
        <w:overflowPunct/>
        <w:topLinePunct w:val="0"/>
        <w:autoSpaceDE w:val="0"/>
        <w:autoSpaceDN w:val="0"/>
        <w:bidi w:val="0"/>
        <w:adjustRightInd w:val="0"/>
        <w:snapToGrid w:val="0"/>
        <w:spacing w:line="360" w:lineRule="auto"/>
        <w:ind w:firstLine="480"/>
        <w:jc w:val="both"/>
        <w:textAlignment w:val="baseline"/>
        <w:rPr>
          <w:rFonts w:ascii="Times New Roman" w:hAnsi="Times New Roman" w:eastAsia="宋体" w:cs="Times New Roman"/>
          <w:spacing w:val="-2"/>
          <w:sz w:val="24"/>
          <w:szCs w:val="24"/>
          <w:lang w:eastAsia="zh-CN"/>
        </w:rPr>
      </w:pPr>
      <w:r>
        <w:rPr>
          <w:rFonts w:hint="eastAsia" w:ascii="Times New Roman" w:hAnsi="Times New Roman" w:eastAsia="宋体" w:cs="Times New Roman"/>
          <w:spacing w:val="-2"/>
          <w:sz w:val="24"/>
          <w:szCs w:val="24"/>
          <w:u w:val="single"/>
          <w:lang w:eastAsia="zh-CN"/>
        </w:rPr>
        <w:t>根据本项目污水排放情况，</w:t>
      </w:r>
      <w:r>
        <w:rPr>
          <w:rFonts w:hint="default" w:ascii="Times New Roman" w:hAnsi="Times New Roman" w:eastAsia="宋体" w:cs="Times New Roman"/>
          <w:color w:val="auto"/>
          <w:kern w:val="2"/>
          <w:sz w:val="24"/>
          <w:szCs w:val="24"/>
          <w:u w:val="single" w:color="auto"/>
          <w:lang w:val="en-US" w:eastAsia="zh-CN"/>
        </w:rPr>
        <w:t>废水经自建管道排入</w:t>
      </w:r>
      <w:r>
        <w:rPr>
          <w:rFonts w:hint="default" w:ascii="Times New Roman" w:hAnsi="Times New Roman" w:cs="Times New Roman"/>
          <w:b w:val="0"/>
          <w:bCs/>
          <w:color w:val="auto"/>
          <w:sz w:val="24"/>
          <w:szCs w:val="24"/>
          <w:u w:val="single" w:color="auto"/>
          <w:lang w:val="en-US" w:eastAsia="zh-CN"/>
        </w:rPr>
        <w:t>青山河，流经16.423km后汇入涓水</w:t>
      </w:r>
      <w:r>
        <w:rPr>
          <w:rFonts w:hint="eastAsia" w:ascii="Times New Roman" w:hAnsi="Times New Roman" w:cs="Times New Roman"/>
          <w:b w:val="0"/>
          <w:bCs/>
          <w:color w:val="auto"/>
          <w:sz w:val="24"/>
          <w:szCs w:val="24"/>
          <w:u w:val="single" w:color="auto"/>
          <w:lang w:val="en-US" w:eastAsia="zh-CN"/>
        </w:rPr>
        <w:t>，</w:t>
      </w:r>
      <w:r>
        <w:rPr>
          <w:rFonts w:hint="eastAsia" w:ascii="Times New Roman" w:hAnsi="Times New Roman" w:eastAsia="宋体" w:cs="Times New Roman"/>
          <w:color w:val="auto"/>
          <w:kern w:val="2"/>
          <w:sz w:val="24"/>
          <w:szCs w:val="24"/>
          <w:u w:val="single" w:color="auto"/>
          <w:lang w:val="en-US" w:eastAsia="zh-CN"/>
        </w:rPr>
        <w:t>涓水下游约6.87km处为湘潭市湘潭县花石镇涓水饮用水水源二级保护区。由于项目排污口流入青山河至汇入涓水下游距离较远，考虑废水中污染因子的衰减，故本次论证范围不考虑青山河汇入涓水下游的河段。仅考虑</w:t>
      </w:r>
      <w:r>
        <w:rPr>
          <w:rFonts w:hint="eastAsia" w:ascii="Times New Roman" w:hAnsi="Times New Roman" w:eastAsia="宋体" w:cs="Times New Roman"/>
          <w:spacing w:val="-2"/>
          <w:sz w:val="24"/>
          <w:szCs w:val="24"/>
          <w:u w:val="single" w:color="auto"/>
          <w:lang w:eastAsia="zh-CN"/>
        </w:rPr>
        <w:t>本项目自建污水处理站尾水排放主要对排放口所在水域</w:t>
      </w:r>
      <w:r>
        <w:rPr>
          <w:rFonts w:hint="eastAsia" w:ascii="Times New Roman" w:hAnsi="Times New Roman" w:eastAsia="宋体" w:cs="Times New Roman"/>
          <w:spacing w:val="-2"/>
          <w:sz w:val="24"/>
          <w:szCs w:val="24"/>
          <w:u w:val="single" w:color="auto"/>
          <w:lang w:val="en-US" w:eastAsia="zh-CN"/>
        </w:rPr>
        <w:t>青山河</w:t>
      </w:r>
      <w:r>
        <w:rPr>
          <w:rFonts w:hint="eastAsia" w:ascii="Times New Roman" w:hAnsi="Times New Roman" w:eastAsia="宋体" w:cs="Times New Roman"/>
          <w:spacing w:val="-2"/>
          <w:sz w:val="24"/>
          <w:szCs w:val="24"/>
          <w:u w:val="single" w:color="auto"/>
          <w:lang w:eastAsia="zh-CN"/>
        </w:rPr>
        <w:t>可能产生影响，本次论证范围从实际水质影响角度考虑，选取排污口与青山河交汇处上游200m至交汇处下游16.423km，合计16.623km为论证范围。论证范围示意图见附图</w:t>
      </w:r>
      <w:r>
        <w:rPr>
          <w:rFonts w:hint="eastAsia" w:ascii="Times New Roman" w:hAnsi="Times New Roman" w:eastAsia="宋体" w:cs="Times New Roman"/>
          <w:spacing w:val="-2"/>
          <w:sz w:val="24"/>
          <w:szCs w:val="24"/>
          <w:lang w:eastAsia="zh-CN"/>
        </w:rPr>
        <w:t>。</w:t>
      </w:r>
    </w:p>
    <w:p w14:paraId="46895E82">
      <w:pPr>
        <w:spacing w:line="480" w:lineRule="exact"/>
        <w:outlineLvl w:val="1"/>
        <w:rPr>
          <w:rFonts w:ascii="宋体" w:hAnsi="宋体" w:eastAsia="宋体" w:cs="宋体"/>
          <w:sz w:val="28"/>
          <w:szCs w:val="28"/>
          <w:lang w:eastAsia="zh-CN"/>
        </w:rPr>
      </w:pPr>
      <w:bookmarkStart w:id="19" w:name="_Toc29852"/>
      <w:bookmarkStart w:id="20" w:name="_Toc30372"/>
      <w:r>
        <w:rPr>
          <w:rFonts w:ascii="Times New Roman" w:hAnsi="Times New Roman" w:eastAsia="Times New Roman" w:cs="Times New Roman"/>
          <w:b/>
          <w:bCs/>
          <w:spacing w:val="-3"/>
          <w:sz w:val="28"/>
          <w:szCs w:val="28"/>
          <w:lang w:eastAsia="zh-CN"/>
        </w:rPr>
        <w:t>1.5</w:t>
      </w:r>
      <w:r>
        <w:rPr>
          <w:rFonts w:ascii="宋体" w:hAnsi="宋体" w:eastAsia="宋体" w:cs="宋体"/>
          <w:b/>
          <w:bCs/>
          <w:spacing w:val="-3"/>
          <w:sz w:val="28"/>
          <w:szCs w:val="28"/>
          <w:lang w:eastAsia="zh-CN"/>
        </w:rPr>
        <w:t>论证工作程序</w:t>
      </w:r>
      <w:bookmarkEnd w:id="19"/>
      <w:bookmarkEnd w:id="20"/>
    </w:p>
    <w:p w14:paraId="3A65CEAE">
      <w:pPr>
        <w:spacing w:line="480" w:lineRule="exact"/>
        <w:ind w:firstLine="472"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pacing w:val="-2"/>
          <w:sz w:val="24"/>
          <w:szCs w:val="24"/>
          <w:lang w:eastAsia="zh-CN"/>
        </w:rPr>
        <w:t>（1）现场查勘与资料收集</w:t>
      </w:r>
    </w:p>
    <w:p w14:paraId="2F5E54B4">
      <w:pPr>
        <w:spacing w:line="480" w:lineRule="exact"/>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val="en-US" w:eastAsia="zh-CN"/>
        </w:rPr>
        <w:t>收</w:t>
      </w:r>
      <w:r>
        <w:rPr>
          <w:rFonts w:hint="default" w:ascii="Times New Roman" w:hAnsi="Times New Roman" w:eastAsia="宋体" w:cs="Times New Roman"/>
          <w:sz w:val="24"/>
          <w:szCs w:val="24"/>
          <w:lang w:eastAsia="zh-CN"/>
        </w:rPr>
        <w:t>集建设项目工程方案资料，特别是入河排污口设置方案，以及废水处理工艺流程资料等，通过现场查勘，调查和收集排污口相关工程的基本资料、项目所在区域的自然环境和社会环境资料、排污口设置河段的水文、水质和水生态资料等，同时收集可能影响的其他取、排水用户资料，依据排污口论证相关的技术规程和规范要求，按照水资源保护规划的要求，遵循合理开发、节约使用、有效保护的原则，分析入河排污口相关信息。</w:t>
      </w:r>
    </w:p>
    <w:p w14:paraId="3EC9BB6B">
      <w:pPr>
        <w:spacing w:line="480" w:lineRule="exact"/>
        <w:ind w:firstLine="468"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pacing w:val="-3"/>
          <w:sz w:val="24"/>
          <w:szCs w:val="24"/>
          <w:lang w:eastAsia="zh-CN"/>
        </w:rPr>
        <w:t>（2）资料整理与分析</w:t>
      </w:r>
    </w:p>
    <w:p w14:paraId="4B23A038">
      <w:pPr>
        <w:spacing w:line="480" w:lineRule="exact"/>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根据所收集的资料，进行整理分析，明确工程布局、工艺流程、入河排污口位置、主要污染物排放量及法律特性等基本情况：分析所属河段水资源保护管理要求，水环境现状和水生态现状等情况，以及其他取排水用户分布情况等</w:t>
      </w:r>
      <w:r>
        <w:rPr>
          <w:rFonts w:hint="default" w:ascii="Times New Roman" w:hAnsi="Times New Roman" w:eastAsia="宋体" w:cs="Times New Roman"/>
          <w:spacing w:val="-1"/>
          <w:sz w:val="24"/>
          <w:szCs w:val="24"/>
          <w:lang w:eastAsia="zh-CN"/>
        </w:rPr>
        <w:t>。</w:t>
      </w:r>
    </w:p>
    <w:p w14:paraId="4A2DD1DB">
      <w:pPr>
        <w:spacing w:line="480" w:lineRule="exact"/>
        <w:ind w:firstLine="472"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pacing w:val="-2"/>
          <w:sz w:val="24"/>
          <w:szCs w:val="24"/>
          <w:lang w:eastAsia="zh-CN"/>
        </w:rPr>
        <w:t>（3）建立数学模型，进行预测模拟</w:t>
      </w:r>
    </w:p>
    <w:p w14:paraId="3A459EFE">
      <w:pPr>
        <w:spacing w:line="480" w:lineRule="exact"/>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根据水功能区水质和水生态保护要求，结合废污水</w:t>
      </w:r>
      <w:r>
        <w:rPr>
          <w:rFonts w:hint="default" w:ascii="Times New Roman" w:hAnsi="Times New Roman" w:eastAsia="宋体" w:cs="Times New Roman"/>
          <w:spacing w:val="-1"/>
          <w:sz w:val="24"/>
          <w:szCs w:val="24"/>
          <w:lang w:eastAsia="zh-CN"/>
        </w:rPr>
        <w:t>处理排放情况，项目所处</w:t>
      </w:r>
      <w:r>
        <w:rPr>
          <w:rFonts w:hint="default" w:ascii="Times New Roman" w:hAnsi="Times New Roman" w:eastAsia="宋体" w:cs="Times New Roman"/>
          <w:sz w:val="24"/>
          <w:szCs w:val="24"/>
          <w:lang w:eastAsia="zh-CN"/>
        </w:rPr>
        <w:t>河段河道水文特性，按照《水域纳污能力计算规程》，选</w:t>
      </w:r>
      <w:r>
        <w:rPr>
          <w:rFonts w:hint="default" w:ascii="Times New Roman" w:hAnsi="Times New Roman" w:eastAsia="宋体" w:cs="Times New Roman"/>
          <w:spacing w:val="-1"/>
          <w:sz w:val="24"/>
          <w:szCs w:val="24"/>
          <w:lang w:eastAsia="zh-CN"/>
        </w:rPr>
        <w:t>定合适的数学模型，拟定模型预测计算工况，进行污染物扩散浓度预测计算，统计分析不同条件下入河废污水的影响程度及范围。</w:t>
      </w:r>
    </w:p>
    <w:p w14:paraId="749FCC90">
      <w:pPr>
        <w:spacing w:line="480" w:lineRule="exact"/>
        <w:ind w:firstLine="468"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pacing w:val="-3"/>
          <w:sz w:val="24"/>
          <w:szCs w:val="24"/>
          <w:lang w:eastAsia="zh-CN"/>
        </w:rPr>
        <w:t>（4）影响分析</w:t>
      </w:r>
    </w:p>
    <w:p w14:paraId="785B2E60">
      <w:pPr>
        <w:spacing w:line="480" w:lineRule="exact"/>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根据计算结果，得出的入河排污口污染物排放产生</w:t>
      </w:r>
      <w:r>
        <w:rPr>
          <w:rFonts w:hint="default" w:ascii="Times New Roman" w:hAnsi="Times New Roman" w:eastAsia="宋体" w:cs="Times New Roman"/>
          <w:spacing w:val="-1"/>
          <w:sz w:val="24"/>
          <w:szCs w:val="24"/>
          <w:lang w:eastAsia="zh-CN"/>
        </w:rPr>
        <w:t>的影响范围，以及所处河</w:t>
      </w:r>
      <w:r>
        <w:rPr>
          <w:rFonts w:hint="default" w:ascii="Times New Roman" w:hAnsi="Times New Roman" w:eastAsia="宋体" w:cs="Times New Roman"/>
          <w:sz w:val="24"/>
          <w:szCs w:val="24"/>
          <w:lang w:eastAsia="zh-CN"/>
        </w:rPr>
        <w:t>段水生态现状，论证分析入河排污口对水功能区的影</w:t>
      </w:r>
      <w:r>
        <w:rPr>
          <w:rFonts w:hint="default" w:ascii="Times New Roman" w:hAnsi="Times New Roman" w:eastAsia="宋体" w:cs="Times New Roman"/>
          <w:spacing w:val="-1"/>
          <w:sz w:val="24"/>
          <w:szCs w:val="24"/>
          <w:lang w:eastAsia="zh-CN"/>
        </w:rPr>
        <w:t>响程度。论证分析排污口对</w:t>
      </w:r>
      <w:r>
        <w:rPr>
          <w:rFonts w:hint="default" w:ascii="Times New Roman" w:hAnsi="Times New Roman" w:eastAsia="宋体" w:cs="Times New Roman"/>
          <w:sz w:val="24"/>
          <w:szCs w:val="24"/>
          <w:lang w:eastAsia="zh-CN"/>
        </w:rPr>
        <w:t>上下游水功能区内第三方取用水安全的影响，提出入</w:t>
      </w:r>
      <w:r>
        <w:rPr>
          <w:rFonts w:hint="default" w:ascii="Times New Roman" w:hAnsi="Times New Roman" w:eastAsia="宋体" w:cs="Times New Roman"/>
          <w:spacing w:val="-1"/>
          <w:sz w:val="24"/>
          <w:szCs w:val="24"/>
          <w:lang w:eastAsia="zh-CN"/>
        </w:rPr>
        <w:t>河排污口设置的制约因素。</w:t>
      </w:r>
    </w:p>
    <w:p w14:paraId="5B3FD5FF">
      <w:pPr>
        <w:spacing w:line="480" w:lineRule="exact"/>
        <w:ind w:firstLine="472"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pacing w:val="-2"/>
          <w:sz w:val="24"/>
          <w:szCs w:val="24"/>
          <w:lang w:eastAsia="zh-CN"/>
        </w:rPr>
        <w:t>（5）排污口设置合理性分析</w:t>
      </w:r>
    </w:p>
    <w:p w14:paraId="63E77950">
      <w:pPr>
        <w:spacing w:line="480" w:lineRule="exact"/>
        <w:ind w:firstLine="452" w:firstLineChars="200"/>
        <w:rPr>
          <w:rFonts w:hint="default" w:ascii="Times New Roman" w:hAnsi="Times New Roman" w:eastAsia="宋体" w:cs="Times New Roman"/>
          <w:spacing w:val="-1"/>
          <w:sz w:val="24"/>
          <w:szCs w:val="24"/>
          <w:lang w:eastAsia="zh-CN"/>
        </w:rPr>
      </w:pPr>
      <w:r>
        <w:rPr>
          <w:rFonts w:hint="default" w:ascii="Times New Roman" w:hAnsi="Times New Roman" w:eastAsia="宋体" w:cs="Times New Roman"/>
          <w:spacing w:val="-7"/>
          <w:sz w:val="24"/>
          <w:szCs w:val="24"/>
          <w:lang w:eastAsia="zh-CN"/>
        </w:rPr>
        <w:t>根据论证结果，综合考虑规划排污口所在河段水</w:t>
      </w:r>
      <w:r>
        <w:rPr>
          <w:rFonts w:hint="default" w:ascii="Times New Roman" w:hAnsi="Times New Roman" w:eastAsia="宋体" w:cs="Times New Roman"/>
          <w:spacing w:val="-8"/>
          <w:sz w:val="24"/>
          <w:szCs w:val="24"/>
          <w:lang w:eastAsia="zh-CN"/>
        </w:rPr>
        <w:t>文与河道形态、水功能区（水</w:t>
      </w:r>
      <w:r>
        <w:rPr>
          <w:rFonts w:hint="default" w:ascii="Times New Roman" w:hAnsi="Times New Roman" w:eastAsia="宋体" w:cs="Times New Roman"/>
          <w:sz w:val="24"/>
          <w:szCs w:val="24"/>
          <w:lang w:eastAsia="zh-CN"/>
        </w:rPr>
        <w:t>域）水质和水生态保护要求、第三者权益等因素，分析</w:t>
      </w:r>
      <w:r>
        <w:rPr>
          <w:rFonts w:hint="default" w:ascii="Times New Roman" w:hAnsi="Times New Roman" w:eastAsia="宋体" w:cs="Times New Roman"/>
          <w:spacing w:val="-1"/>
          <w:sz w:val="24"/>
          <w:szCs w:val="24"/>
          <w:lang w:eastAsia="zh-CN"/>
        </w:rPr>
        <w:t>入河排污口位置、污水排</w:t>
      </w:r>
      <w:r>
        <w:rPr>
          <w:rFonts w:hint="default" w:ascii="Times New Roman" w:hAnsi="Times New Roman" w:eastAsia="宋体" w:cs="Times New Roman"/>
          <w:sz w:val="24"/>
          <w:szCs w:val="24"/>
          <w:lang w:eastAsia="zh-CN"/>
        </w:rPr>
        <w:t>放影响范围的相对关系；根据排放总量，对照所在水域</w:t>
      </w:r>
      <w:r>
        <w:rPr>
          <w:rFonts w:hint="default" w:ascii="Times New Roman" w:hAnsi="Times New Roman" w:eastAsia="宋体" w:cs="Times New Roman"/>
          <w:spacing w:val="-1"/>
          <w:sz w:val="24"/>
          <w:szCs w:val="24"/>
          <w:lang w:eastAsia="zh-CN"/>
        </w:rPr>
        <w:t>纳污能力综合分析论证排污口设置的合理性，提出排污口设置的制约性因素</w:t>
      </w:r>
    </w:p>
    <w:p w14:paraId="0D5E8391">
      <w:pPr>
        <w:bidi w:val="0"/>
        <w:rPr>
          <w:rFonts w:hint="eastAsia"/>
          <w:lang w:eastAsia="zh-CN"/>
        </w:rPr>
      </w:pPr>
    </w:p>
    <w:p w14:paraId="25D9ABE5">
      <w:pPr>
        <w:spacing w:line="480" w:lineRule="exact"/>
        <w:ind w:firstLine="476" w:firstLineChars="200"/>
        <w:rPr>
          <w:rFonts w:hint="eastAsia" w:ascii="宋体" w:hAnsi="宋体" w:eastAsia="宋体" w:cs="宋体"/>
          <w:spacing w:val="-1"/>
          <w:sz w:val="24"/>
          <w:szCs w:val="24"/>
          <w:lang w:eastAsia="zh-CN"/>
        </w:rPr>
      </w:pPr>
    </w:p>
    <w:p w14:paraId="6CDC8517">
      <w:pPr>
        <w:spacing w:line="480" w:lineRule="exact"/>
        <w:ind w:firstLine="476" w:firstLineChars="200"/>
        <w:rPr>
          <w:rFonts w:hint="eastAsia" w:ascii="宋体" w:hAnsi="宋体" w:eastAsia="宋体" w:cs="宋体"/>
          <w:spacing w:val="-1"/>
          <w:sz w:val="24"/>
          <w:szCs w:val="24"/>
          <w:lang w:eastAsia="zh-CN"/>
        </w:rPr>
      </w:pPr>
    </w:p>
    <w:p w14:paraId="36A8FD75">
      <w:pPr>
        <w:spacing w:line="480" w:lineRule="exact"/>
        <w:ind w:firstLine="476" w:firstLineChars="200"/>
        <w:rPr>
          <w:rFonts w:hint="eastAsia" w:ascii="宋体" w:hAnsi="宋体" w:eastAsia="宋体" w:cs="宋体"/>
          <w:spacing w:val="-1"/>
          <w:sz w:val="24"/>
          <w:szCs w:val="24"/>
          <w:lang w:eastAsia="zh-CN"/>
        </w:rPr>
      </w:pPr>
    </w:p>
    <w:p w14:paraId="2FF1C46B">
      <w:pPr>
        <w:spacing w:line="480" w:lineRule="exact"/>
        <w:ind w:firstLine="476" w:firstLineChars="200"/>
        <w:rPr>
          <w:rFonts w:hint="eastAsia" w:ascii="宋体" w:hAnsi="宋体" w:eastAsia="宋体" w:cs="宋体"/>
          <w:spacing w:val="-1"/>
          <w:sz w:val="24"/>
          <w:szCs w:val="24"/>
          <w:lang w:eastAsia="zh-CN"/>
        </w:rPr>
      </w:pPr>
    </w:p>
    <w:p w14:paraId="64010743">
      <w:pPr>
        <w:spacing w:line="480" w:lineRule="exact"/>
        <w:ind w:firstLine="476" w:firstLineChars="200"/>
        <w:rPr>
          <w:rFonts w:hint="eastAsia" w:ascii="宋体" w:hAnsi="宋体" w:eastAsia="宋体" w:cs="宋体"/>
          <w:spacing w:val="-1"/>
          <w:sz w:val="24"/>
          <w:szCs w:val="24"/>
          <w:lang w:eastAsia="zh-CN"/>
        </w:rPr>
      </w:pPr>
    </w:p>
    <w:p w14:paraId="7501A927">
      <w:pPr>
        <w:spacing w:line="480" w:lineRule="exact"/>
        <w:ind w:firstLine="476" w:firstLineChars="200"/>
        <w:rPr>
          <w:rFonts w:hint="eastAsia" w:ascii="宋体" w:hAnsi="宋体" w:eastAsia="宋体" w:cs="宋体"/>
          <w:spacing w:val="-1"/>
          <w:sz w:val="24"/>
          <w:szCs w:val="24"/>
          <w:lang w:eastAsia="zh-CN"/>
        </w:rPr>
      </w:pPr>
    </w:p>
    <w:p w14:paraId="5A77CBDC">
      <w:pPr>
        <w:spacing w:line="480" w:lineRule="exact"/>
        <w:ind w:firstLine="476" w:firstLineChars="200"/>
        <w:rPr>
          <w:rFonts w:hint="eastAsia" w:ascii="宋体" w:hAnsi="宋体" w:eastAsia="宋体" w:cs="宋体"/>
          <w:spacing w:val="-1"/>
          <w:sz w:val="24"/>
          <w:szCs w:val="24"/>
          <w:lang w:eastAsia="zh-CN"/>
        </w:rPr>
      </w:pPr>
    </w:p>
    <w:p w14:paraId="48ABFE61">
      <w:pPr>
        <w:spacing w:line="480" w:lineRule="exact"/>
        <w:ind w:firstLine="476" w:firstLineChars="200"/>
        <w:rPr>
          <w:rFonts w:hint="eastAsia" w:ascii="宋体" w:hAnsi="宋体" w:eastAsia="宋体" w:cs="宋体"/>
          <w:spacing w:val="-1"/>
          <w:sz w:val="24"/>
          <w:szCs w:val="24"/>
          <w:lang w:eastAsia="zh-CN"/>
        </w:rPr>
      </w:pPr>
    </w:p>
    <w:p w14:paraId="1A5EE76F">
      <w:pPr>
        <w:spacing w:line="480" w:lineRule="exact"/>
        <w:ind w:firstLine="476" w:firstLineChars="200"/>
        <w:rPr>
          <w:rFonts w:hint="eastAsia" w:ascii="宋体" w:hAnsi="宋体" w:eastAsia="宋体" w:cs="宋体"/>
          <w:spacing w:val="-1"/>
          <w:sz w:val="24"/>
          <w:szCs w:val="24"/>
          <w:lang w:eastAsia="zh-CN"/>
        </w:rPr>
      </w:pPr>
    </w:p>
    <w:p w14:paraId="45D3468E">
      <w:pPr>
        <w:spacing w:line="480" w:lineRule="exact"/>
        <w:ind w:firstLine="476" w:firstLineChars="200"/>
        <w:rPr>
          <w:rFonts w:hint="eastAsia" w:ascii="宋体" w:hAnsi="宋体" w:eastAsia="宋体" w:cs="宋体"/>
          <w:spacing w:val="-1"/>
          <w:sz w:val="24"/>
          <w:szCs w:val="24"/>
          <w:lang w:eastAsia="zh-CN"/>
        </w:rPr>
      </w:pPr>
    </w:p>
    <w:p w14:paraId="2BF625DD">
      <w:pPr>
        <w:spacing w:line="480" w:lineRule="exact"/>
        <w:ind w:firstLine="420" w:firstLineChars="200"/>
        <w:rPr>
          <w:rFonts w:hint="eastAsia" w:ascii="宋体" w:hAnsi="宋体" w:eastAsia="宋体" w:cs="宋体"/>
          <w:spacing w:val="-1"/>
          <w:sz w:val="24"/>
          <w:szCs w:val="24"/>
          <w:lang w:eastAsia="zh-CN"/>
        </w:rPr>
      </w:pPr>
      <w:r>
        <w:rPr>
          <w:rFonts w:hint="eastAsia"/>
          <w:lang w:eastAsia="zh-CN"/>
        </w:rPr>
        <w:drawing>
          <wp:anchor distT="0" distB="0" distL="114300" distR="114300" simplePos="0" relativeHeight="251669504" behindDoc="0" locked="0" layoutInCell="1" allowOverlap="1">
            <wp:simplePos x="0" y="0"/>
            <wp:positionH relativeFrom="column">
              <wp:posOffset>207010</wp:posOffset>
            </wp:positionH>
            <wp:positionV relativeFrom="paragraph">
              <wp:posOffset>140335</wp:posOffset>
            </wp:positionV>
            <wp:extent cx="4943475" cy="3622675"/>
            <wp:effectExtent l="0" t="0" r="9525" b="15875"/>
            <wp:wrapNone/>
            <wp:docPr id="3" name="图片 3" descr="1755092504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55092504528"/>
                    <pic:cNvPicPr>
                      <a:picLocks noChangeAspect="1"/>
                    </pic:cNvPicPr>
                  </pic:nvPicPr>
                  <pic:blipFill>
                    <a:blip r:embed="rId17"/>
                    <a:stretch>
                      <a:fillRect/>
                    </a:stretch>
                  </pic:blipFill>
                  <pic:spPr>
                    <a:xfrm>
                      <a:off x="0" y="0"/>
                      <a:ext cx="4943475" cy="3622675"/>
                    </a:xfrm>
                    <a:prstGeom prst="rect">
                      <a:avLst/>
                    </a:prstGeom>
                  </pic:spPr>
                </pic:pic>
              </a:graphicData>
            </a:graphic>
          </wp:anchor>
        </w:drawing>
      </w:r>
    </w:p>
    <w:p w14:paraId="25FDBD28">
      <w:pPr>
        <w:spacing w:line="480" w:lineRule="exact"/>
        <w:ind w:firstLine="476" w:firstLineChars="200"/>
        <w:rPr>
          <w:rFonts w:hint="eastAsia" w:ascii="宋体" w:hAnsi="宋体" w:eastAsia="宋体" w:cs="宋体"/>
          <w:spacing w:val="-1"/>
          <w:sz w:val="24"/>
          <w:szCs w:val="24"/>
          <w:lang w:eastAsia="zh-CN"/>
        </w:rPr>
      </w:pPr>
    </w:p>
    <w:p w14:paraId="0DF9DF70">
      <w:pPr>
        <w:spacing w:line="480" w:lineRule="exact"/>
        <w:jc w:val="center"/>
        <w:rPr>
          <w:rFonts w:ascii="Times New Roman" w:hAnsi="Times New Roman" w:eastAsia="宋体" w:cs="Times New Roman"/>
          <w:b/>
          <w:bCs/>
          <w:spacing w:val="4"/>
          <w:sz w:val="24"/>
          <w:szCs w:val="24"/>
          <w:lang w:eastAsia="zh-CN"/>
        </w:rPr>
      </w:pPr>
    </w:p>
    <w:p w14:paraId="3D2A9C0D">
      <w:pPr>
        <w:spacing w:line="480" w:lineRule="exact"/>
        <w:jc w:val="center"/>
        <w:rPr>
          <w:rFonts w:ascii="Times New Roman" w:hAnsi="Times New Roman" w:eastAsia="宋体" w:cs="Times New Roman"/>
          <w:b/>
          <w:bCs/>
          <w:spacing w:val="4"/>
          <w:sz w:val="24"/>
          <w:szCs w:val="24"/>
          <w:lang w:eastAsia="zh-CN"/>
        </w:rPr>
      </w:pPr>
    </w:p>
    <w:p w14:paraId="07AE69F8">
      <w:pPr>
        <w:spacing w:line="480" w:lineRule="exact"/>
        <w:jc w:val="center"/>
        <w:rPr>
          <w:rFonts w:ascii="Times New Roman" w:hAnsi="Times New Roman" w:eastAsia="宋体" w:cs="Times New Roman"/>
          <w:b/>
          <w:bCs/>
          <w:spacing w:val="4"/>
          <w:sz w:val="24"/>
          <w:szCs w:val="24"/>
          <w:lang w:eastAsia="zh-CN"/>
        </w:rPr>
      </w:pPr>
    </w:p>
    <w:p w14:paraId="336A2B7A">
      <w:pPr>
        <w:spacing w:line="480" w:lineRule="exact"/>
        <w:jc w:val="center"/>
        <w:rPr>
          <w:rFonts w:ascii="Times New Roman" w:hAnsi="Times New Roman" w:eastAsia="宋体" w:cs="Times New Roman"/>
          <w:b/>
          <w:bCs/>
          <w:spacing w:val="4"/>
          <w:sz w:val="24"/>
          <w:szCs w:val="24"/>
          <w:lang w:eastAsia="zh-CN"/>
        </w:rPr>
      </w:pPr>
    </w:p>
    <w:p w14:paraId="57B1B5FA">
      <w:pPr>
        <w:spacing w:line="480" w:lineRule="exact"/>
        <w:jc w:val="center"/>
        <w:rPr>
          <w:rFonts w:ascii="Times New Roman" w:hAnsi="Times New Roman" w:eastAsia="宋体" w:cs="Times New Roman"/>
          <w:b/>
          <w:bCs/>
          <w:spacing w:val="4"/>
          <w:sz w:val="24"/>
          <w:szCs w:val="24"/>
          <w:lang w:eastAsia="zh-CN"/>
        </w:rPr>
      </w:pPr>
    </w:p>
    <w:p w14:paraId="71900D13">
      <w:pPr>
        <w:spacing w:line="480" w:lineRule="exact"/>
        <w:jc w:val="center"/>
        <w:rPr>
          <w:rFonts w:ascii="Times New Roman" w:hAnsi="Times New Roman" w:eastAsia="宋体" w:cs="Times New Roman"/>
          <w:b/>
          <w:bCs/>
          <w:spacing w:val="4"/>
          <w:sz w:val="24"/>
          <w:szCs w:val="24"/>
          <w:lang w:eastAsia="zh-CN"/>
        </w:rPr>
      </w:pPr>
    </w:p>
    <w:p w14:paraId="531E6D6F">
      <w:pPr>
        <w:spacing w:line="480" w:lineRule="exact"/>
        <w:jc w:val="center"/>
        <w:rPr>
          <w:rFonts w:ascii="Times New Roman" w:hAnsi="Times New Roman" w:eastAsia="宋体" w:cs="Times New Roman"/>
          <w:b/>
          <w:bCs/>
          <w:spacing w:val="4"/>
          <w:sz w:val="24"/>
          <w:szCs w:val="24"/>
          <w:lang w:eastAsia="zh-CN"/>
        </w:rPr>
      </w:pPr>
    </w:p>
    <w:p w14:paraId="2BAB8465">
      <w:pPr>
        <w:spacing w:line="480" w:lineRule="exact"/>
        <w:jc w:val="center"/>
        <w:rPr>
          <w:rFonts w:ascii="Times New Roman" w:hAnsi="Times New Roman" w:eastAsia="宋体" w:cs="Times New Roman"/>
          <w:b/>
          <w:bCs/>
          <w:spacing w:val="4"/>
          <w:sz w:val="24"/>
          <w:szCs w:val="24"/>
          <w:lang w:eastAsia="zh-CN"/>
        </w:rPr>
      </w:pPr>
    </w:p>
    <w:p w14:paraId="3644516A">
      <w:pPr>
        <w:spacing w:line="480" w:lineRule="exact"/>
        <w:jc w:val="center"/>
        <w:rPr>
          <w:rFonts w:ascii="Times New Roman" w:hAnsi="Times New Roman" w:eastAsia="宋体" w:cs="Times New Roman"/>
          <w:b/>
          <w:bCs/>
          <w:spacing w:val="4"/>
          <w:sz w:val="24"/>
          <w:szCs w:val="24"/>
          <w:lang w:eastAsia="zh-CN"/>
        </w:rPr>
      </w:pPr>
    </w:p>
    <w:p w14:paraId="6EC0D6E5">
      <w:pPr>
        <w:spacing w:line="480" w:lineRule="exact"/>
        <w:jc w:val="center"/>
        <w:rPr>
          <w:rFonts w:ascii="Times New Roman" w:hAnsi="Times New Roman" w:eastAsia="宋体" w:cs="Times New Roman"/>
          <w:b/>
          <w:bCs/>
          <w:spacing w:val="4"/>
          <w:sz w:val="24"/>
          <w:szCs w:val="24"/>
          <w:lang w:eastAsia="zh-CN"/>
        </w:rPr>
      </w:pPr>
    </w:p>
    <w:p w14:paraId="39234F89">
      <w:pPr>
        <w:spacing w:line="480" w:lineRule="exact"/>
        <w:jc w:val="center"/>
        <w:rPr>
          <w:rFonts w:ascii="Times New Roman" w:hAnsi="Times New Roman" w:eastAsia="宋体" w:cs="Times New Roman"/>
          <w:b/>
          <w:bCs/>
          <w:spacing w:val="4"/>
          <w:sz w:val="24"/>
          <w:szCs w:val="24"/>
          <w:lang w:eastAsia="zh-CN"/>
        </w:rPr>
      </w:pPr>
      <w:r>
        <w:rPr>
          <w:rFonts w:ascii="Times New Roman" w:hAnsi="Times New Roman" w:eastAsia="宋体" w:cs="Times New Roman"/>
          <w:b/>
          <w:bCs/>
          <w:spacing w:val="4"/>
          <w:sz w:val="24"/>
          <w:szCs w:val="24"/>
          <w:lang w:eastAsia="zh-CN"/>
        </w:rPr>
        <w:t>图1.5-1入河排污口论证工作程序</w:t>
      </w:r>
    </w:p>
    <w:p w14:paraId="07A8DE35">
      <w:pPr>
        <w:spacing w:line="480" w:lineRule="exact"/>
        <w:outlineLvl w:val="1"/>
        <w:rPr>
          <w:rFonts w:ascii="Times New Roman" w:hAnsi="Times New Roman" w:eastAsia="宋体" w:cs="Times New Roman"/>
          <w:sz w:val="28"/>
          <w:szCs w:val="28"/>
          <w:lang w:eastAsia="zh-CN"/>
        </w:rPr>
      </w:pPr>
      <w:bookmarkStart w:id="21" w:name="_Toc24953"/>
      <w:bookmarkStart w:id="22" w:name="_Toc21641"/>
      <w:r>
        <w:rPr>
          <w:rFonts w:ascii="Times New Roman" w:hAnsi="Times New Roman" w:eastAsia="宋体" w:cs="Times New Roman"/>
          <w:b/>
          <w:bCs/>
          <w:spacing w:val="-3"/>
          <w:sz w:val="28"/>
          <w:szCs w:val="28"/>
          <w:lang w:eastAsia="zh-CN"/>
        </w:rPr>
        <w:t>1.6论证的主要内容</w:t>
      </w:r>
      <w:bookmarkEnd w:id="21"/>
      <w:bookmarkEnd w:id="22"/>
    </w:p>
    <w:p w14:paraId="46F8618F">
      <w:pPr>
        <w:spacing w:line="480" w:lineRule="exact"/>
        <w:ind w:firstLine="476" w:firstLineChars="200"/>
        <w:jc w:val="both"/>
        <w:rPr>
          <w:rFonts w:ascii="Times New Roman" w:hAnsi="Times New Roman" w:eastAsia="宋体" w:cs="Times New Roman"/>
          <w:sz w:val="24"/>
          <w:szCs w:val="24"/>
          <w:lang w:eastAsia="zh-CN"/>
        </w:rPr>
      </w:pPr>
      <w:r>
        <w:rPr>
          <w:rFonts w:ascii="Times New Roman" w:hAnsi="Times New Roman" w:eastAsia="宋体" w:cs="Times New Roman"/>
          <w:spacing w:val="-1"/>
          <w:sz w:val="24"/>
          <w:szCs w:val="24"/>
          <w:lang w:eastAsia="zh-CN"/>
        </w:rPr>
        <w:t>结合本项目建设情况、处理规模及所含污染物浓度、总量及对水</w:t>
      </w:r>
      <w:r>
        <w:rPr>
          <w:rFonts w:ascii="Times New Roman" w:hAnsi="Times New Roman" w:eastAsia="宋体" w:cs="Times New Roman"/>
          <w:sz w:val="24"/>
          <w:szCs w:val="24"/>
          <w:lang w:eastAsia="zh-CN"/>
        </w:rPr>
        <w:t>域和水功能区影响综合分析，根据《入河排污口监督</w:t>
      </w:r>
      <w:r>
        <w:rPr>
          <w:rFonts w:ascii="Times New Roman" w:hAnsi="Times New Roman" w:eastAsia="宋体" w:cs="Times New Roman"/>
          <w:spacing w:val="-1"/>
          <w:sz w:val="24"/>
          <w:szCs w:val="24"/>
          <w:lang w:eastAsia="zh-CN"/>
        </w:rPr>
        <w:t>管理办法》（生态环境部部</w:t>
      </w:r>
      <w:r>
        <w:rPr>
          <w:rFonts w:ascii="Times New Roman" w:hAnsi="Times New Roman" w:eastAsia="宋体" w:cs="Times New Roman"/>
          <w:spacing w:val="-2"/>
          <w:sz w:val="24"/>
          <w:szCs w:val="24"/>
          <w:lang w:eastAsia="zh-CN"/>
        </w:rPr>
        <w:t>令第35号）等相关文件要求，论证的主要内容如下：</w:t>
      </w:r>
    </w:p>
    <w:p w14:paraId="1535DEFF">
      <w:pPr>
        <w:spacing w:line="480" w:lineRule="exact"/>
        <w:ind w:firstLine="472" w:firstLineChars="200"/>
        <w:rPr>
          <w:rFonts w:ascii="Times New Roman" w:hAnsi="Times New Roman" w:eastAsia="宋体" w:cs="Times New Roman"/>
          <w:sz w:val="24"/>
          <w:szCs w:val="24"/>
          <w:lang w:eastAsia="zh-CN"/>
        </w:rPr>
      </w:pPr>
      <w:r>
        <w:rPr>
          <w:rFonts w:ascii="Times New Roman" w:hAnsi="Times New Roman" w:eastAsia="宋体" w:cs="Times New Roman"/>
          <w:spacing w:val="-2"/>
          <w:sz w:val="24"/>
          <w:szCs w:val="24"/>
          <w:lang w:eastAsia="zh-CN"/>
        </w:rPr>
        <w:t>（1）责任主体基本情况；</w:t>
      </w:r>
    </w:p>
    <w:p w14:paraId="164EE2F9">
      <w:pPr>
        <w:spacing w:line="480" w:lineRule="exact"/>
        <w:ind w:firstLine="472" w:firstLineChars="200"/>
        <w:rPr>
          <w:rFonts w:ascii="Times New Roman" w:hAnsi="Times New Roman" w:eastAsia="宋体" w:cs="Times New Roman"/>
          <w:sz w:val="24"/>
          <w:szCs w:val="24"/>
          <w:lang w:eastAsia="zh-CN"/>
        </w:rPr>
      </w:pPr>
      <w:r>
        <w:rPr>
          <w:rFonts w:ascii="Times New Roman" w:hAnsi="Times New Roman" w:eastAsia="宋体" w:cs="Times New Roman"/>
          <w:spacing w:val="-2"/>
          <w:sz w:val="24"/>
          <w:szCs w:val="24"/>
          <w:lang w:eastAsia="zh-CN"/>
        </w:rPr>
        <w:t>（2）入河排污口所在水域水生态环境现状；</w:t>
      </w:r>
    </w:p>
    <w:p w14:paraId="3193CE17">
      <w:pPr>
        <w:spacing w:line="480" w:lineRule="exact"/>
        <w:ind w:firstLine="476" w:firstLineChars="200"/>
        <w:rPr>
          <w:rFonts w:ascii="Times New Roman" w:hAnsi="Times New Roman" w:eastAsia="宋体" w:cs="Times New Roman"/>
          <w:sz w:val="24"/>
          <w:szCs w:val="24"/>
          <w:lang w:eastAsia="zh-CN"/>
        </w:rPr>
      </w:pPr>
      <w:r>
        <w:rPr>
          <w:rFonts w:ascii="Times New Roman" w:hAnsi="Times New Roman" w:eastAsia="宋体" w:cs="Times New Roman"/>
          <w:spacing w:val="-1"/>
          <w:sz w:val="24"/>
          <w:szCs w:val="24"/>
          <w:lang w:eastAsia="zh-CN"/>
        </w:rPr>
        <w:t>（3）入河排污口设置地点，污水排放方式、排放去向；</w:t>
      </w:r>
    </w:p>
    <w:p w14:paraId="57624746">
      <w:pPr>
        <w:spacing w:line="480" w:lineRule="exact"/>
        <w:ind w:firstLine="464" w:firstLineChars="200"/>
        <w:rPr>
          <w:rFonts w:ascii="Times New Roman" w:hAnsi="Times New Roman" w:eastAsia="宋体" w:cs="Times New Roman"/>
          <w:sz w:val="24"/>
          <w:szCs w:val="24"/>
          <w:lang w:eastAsia="zh-CN"/>
        </w:rPr>
      </w:pPr>
      <w:r>
        <w:rPr>
          <w:rFonts w:ascii="Times New Roman" w:hAnsi="Times New Roman" w:eastAsia="宋体" w:cs="Times New Roman"/>
          <w:spacing w:val="-4"/>
          <w:sz w:val="24"/>
          <w:szCs w:val="24"/>
          <w:lang w:eastAsia="zh-CN"/>
        </w:rPr>
        <w:t>（4）入河排污口污水排放量，入河排污口重点污染物排放种类</w:t>
      </w:r>
      <w:r>
        <w:rPr>
          <w:rFonts w:ascii="Times New Roman" w:hAnsi="Times New Roman" w:eastAsia="宋体" w:cs="Times New Roman"/>
          <w:spacing w:val="-5"/>
          <w:sz w:val="24"/>
          <w:szCs w:val="24"/>
          <w:lang w:eastAsia="zh-CN"/>
        </w:rPr>
        <w:t>、排放浓度和</w:t>
      </w:r>
      <w:r>
        <w:rPr>
          <w:rFonts w:ascii="Times New Roman" w:hAnsi="Times New Roman" w:eastAsia="宋体" w:cs="Times New Roman"/>
          <w:spacing w:val="-3"/>
          <w:sz w:val="24"/>
          <w:szCs w:val="24"/>
          <w:lang w:eastAsia="zh-CN"/>
        </w:rPr>
        <w:t>排放量；</w:t>
      </w:r>
    </w:p>
    <w:p w14:paraId="7B0310A0">
      <w:pPr>
        <w:spacing w:line="480" w:lineRule="exact"/>
        <w:ind w:firstLine="476" w:firstLineChars="200"/>
        <w:rPr>
          <w:rFonts w:ascii="Times New Roman" w:hAnsi="Times New Roman" w:eastAsia="宋体" w:cs="Times New Roman"/>
          <w:sz w:val="24"/>
          <w:szCs w:val="24"/>
          <w:lang w:eastAsia="zh-CN"/>
        </w:rPr>
      </w:pPr>
      <w:r>
        <w:rPr>
          <w:rFonts w:ascii="Times New Roman" w:hAnsi="Times New Roman" w:eastAsia="宋体" w:cs="Times New Roman"/>
          <w:spacing w:val="-1"/>
          <w:sz w:val="24"/>
          <w:szCs w:val="24"/>
          <w:lang w:eastAsia="zh-CN"/>
        </w:rPr>
        <w:t>（5）入河排污口设置对周边环境影响以及相关环境风险分析；</w:t>
      </w:r>
    </w:p>
    <w:p w14:paraId="4256A5E9">
      <w:pPr>
        <w:spacing w:line="480" w:lineRule="exact"/>
        <w:ind w:firstLine="472" w:firstLineChars="200"/>
        <w:rPr>
          <w:rFonts w:ascii="Times New Roman" w:hAnsi="Times New Roman" w:eastAsia="宋体" w:cs="Times New Roman"/>
          <w:sz w:val="24"/>
          <w:szCs w:val="24"/>
          <w:lang w:eastAsia="zh-CN"/>
        </w:rPr>
      </w:pPr>
      <w:r>
        <w:rPr>
          <w:rFonts w:ascii="Times New Roman" w:hAnsi="Times New Roman" w:eastAsia="宋体" w:cs="Times New Roman"/>
          <w:spacing w:val="-2"/>
          <w:sz w:val="24"/>
          <w:szCs w:val="24"/>
          <w:lang w:eastAsia="zh-CN"/>
        </w:rPr>
        <w:t>（6）水生态环境保护措施以及效果分析；</w:t>
      </w:r>
    </w:p>
    <w:p w14:paraId="02FC5F59">
      <w:pPr>
        <w:spacing w:line="480" w:lineRule="exact"/>
        <w:ind w:firstLine="468" w:firstLineChars="200"/>
        <w:rPr>
          <w:rFonts w:ascii="宋体" w:hAnsi="宋体" w:eastAsia="宋体" w:cs="宋体"/>
          <w:sz w:val="24"/>
          <w:szCs w:val="24"/>
          <w:lang w:eastAsia="zh-CN"/>
        </w:rPr>
      </w:pPr>
      <w:r>
        <w:rPr>
          <w:rFonts w:ascii="Times New Roman" w:hAnsi="Times New Roman" w:eastAsia="宋体" w:cs="Times New Roman"/>
          <w:spacing w:val="-3"/>
          <w:sz w:val="24"/>
          <w:szCs w:val="24"/>
          <w:lang w:eastAsia="zh-CN"/>
        </w:rPr>
        <w:t>（7）论证结</w:t>
      </w:r>
      <w:r>
        <w:rPr>
          <w:rFonts w:ascii="宋体" w:hAnsi="宋体" w:eastAsia="宋体" w:cs="宋体"/>
          <w:spacing w:val="-3"/>
          <w:sz w:val="24"/>
          <w:szCs w:val="24"/>
          <w:lang w:eastAsia="zh-CN"/>
        </w:rPr>
        <w:t>论。</w:t>
      </w:r>
    </w:p>
    <w:p w14:paraId="44E171E9">
      <w:pPr>
        <w:spacing w:line="221" w:lineRule="auto"/>
        <w:rPr>
          <w:rFonts w:ascii="宋体" w:hAnsi="宋体" w:eastAsia="宋体" w:cs="宋体"/>
          <w:sz w:val="24"/>
          <w:szCs w:val="24"/>
          <w:lang w:eastAsia="zh-CN"/>
        </w:rPr>
        <w:sectPr>
          <w:pgSz w:w="11905" w:h="16838"/>
          <w:pgMar w:top="1440" w:right="1803" w:bottom="1440" w:left="1803" w:header="828" w:footer="794" w:gutter="0"/>
          <w:pgNumType w:fmt="decimal"/>
          <w:cols w:space="0" w:num="1"/>
          <w:rtlGutter w:val="0"/>
          <w:docGrid w:linePitch="0" w:charSpace="0"/>
        </w:sectPr>
      </w:pPr>
    </w:p>
    <w:p w14:paraId="22009107">
      <w:pPr>
        <w:keepNext w:val="0"/>
        <w:keepLines w:val="0"/>
        <w:pageBreakBefore w:val="0"/>
        <w:widowControl/>
        <w:kinsoku w:val="0"/>
        <w:wordWrap/>
        <w:overflowPunct/>
        <w:topLinePunct w:val="0"/>
        <w:autoSpaceDE w:val="0"/>
        <w:autoSpaceDN w:val="0"/>
        <w:bidi w:val="0"/>
        <w:adjustRightInd w:val="0"/>
        <w:snapToGrid w:val="0"/>
        <w:spacing w:before="334" w:line="360" w:lineRule="auto"/>
        <w:jc w:val="center"/>
        <w:textAlignment w:val="baseline"/>
        <w:outlineLvl w:val="0"/>
        <w:rPr>
          <w:rFonts w:hint="default" w:ascii="Times New Roman" w:hAnsi="Times New Roman" w:eastAsia="宋体" w:cs="Times New Roman"/>
          <w:b/>
          <w:bCs/>
          <w:spacing w:val="6"/>
          <w:sz w:val="31"/>
          <w:szCs w:val="31"/>
          <w:lang w:eastAsia="zh-CN"/>
        </w:rPr>
      </w:pPr>
      <w:bookmarkStart w:id="23" w:name="_Toc25078"/>
      <w:bookmarkStart w:id="24" w:name="_Toc11663"/>
      <w:r>
        <w:rPr>
          <w:rFonts w:hint="default" w:ascii="Times New Roman" w:hAnsi="Times New Roman" w:eastAsia="宋体" w:cs="Times New Roman"/>
          <w:b/>
          <w:bCs/>
          <w:spacing w:val="6"/>
          <w:sz w:val="31"/>
          <w:szCs w:val="31"/>
          <w:lang w:eastAsia="zh-CN"/>
        </w:rPr>
        <w:t>2责任主体基本情况</w:t>
      </w:r>
      <w:bookmarkEnd w:id="23"/>
      <w:bookmarkEnd w:id="24"/>
    </w:p>
    <w:p w14:paraId="04512DCC">
      <w:pPr>
        <w:keepNext w:val="0"/>
        <w:keepLines w:val="0"/>
        <w:pageBreakBefore w:val="0"/>
        <w:widowControl/>
        <w:kinsoku w:val="0"/>
        <w:wordWrap/>
        <w:overflowPunct/>
        <w:topLinePunct w:val="0"/>
        <w:autoSpaceDE w:val="0"/>
        <w:autoSpaceDN w:val="0"/>
        <w:bidi w:val="0"/>
        <w:adjustRightInd w:val="0"/>
        <w:snapToGrid w:val="0"/>
        <w:spacing w:line="360" w:lineRule="auto"/>
        <w:ind w:left="0"/>
        <w:jc w:val="both"/>
        <w:textAlignment w:val="baseline"/>
        <w:outlineLvl w:val="1"/>
        <w:rPr>
          <w:rFonts w:ascii="宋体" w:hAnsi="宋体" w:eastAsia="宋体" w:cs="宋体"/>
          <w:sz w:val="28"/>
          <w:szCs w:val="28"/>
          <w:lang w:eastAsia="zh-CN"/>
        </w:rPr>
      </w:pPr>
      <w:bookmarkStart w:id="25" w:name="_Toc24691"/>
      <w:bookmarkStart w:id="26" w:name="_Toc24200"/>
      <w:r>
        <w:rPr>
          <w:rFonts w:ascii="Times New Roman" w:hAnsi="Times New Roman" w:eastAsia="Times New Roman" w:cs="Times New Roman"/>
          <w:b/>
          <w:bCs/>
          <w:spacing w:val="-4"/>
          <w:sz w:val="28"/>
          <w:szCs w:val="28"/>
          <w:lang w:eastAsia="zh-CN"/>
        </w:rPr>
        <w:t>2.1</w:t>
      </w:r>
      <w:r>
        <w:rPr>
          <w:rFonts w:ascii="宋体" w:hAnsi="宋体" w:eastAsia="宋体" w:cs="宋体"/>
          <w:b/>
          <w:bCs/>
          <w:spacing w:val="-4"/>
          <w:sz w:val="28"/>
          <w:szCs w:val="28"/>
          <w:lang w:eastAsia="zh-CN"/>
        </w:rPr>
        <w:t>责任主体名称、单位性质、地址</w:t>
      </w:r>
      <w:bookmarkEnd w:id="25"/>
      <w:bookmarkEnd w:id="26"/>
    </w:p>
    <w:p w14:paraId="791A6890">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78"/>
        <w:jc w:val="both"/>
        <w:textAlignment w:val="baseline"/>
        <w:rPr>
          <w:rFonts w:ascii="Times New Roman" w:hAnsi="Times New Roman" w:eastAsia="宋体" w:cs="Times New Roman"/>
          <w:sz w:val="24"/>
          <w:szCs w:val="24"/>
          <w:lang w:eastAsia="zh-CN"/>
        </w:rPr>
      </w:pPr>
      <w:r>
        <w:rPr>
          <w:rFonts w:ascii="Times New Roman" w:hAnsi="Times New Roman" w:eastAsia="宋体" w:cs="Times New Roman"/>
          <w:spacing w:val="3"/>
          <w:sz w:val="24"/>
          <w:szCs w:val="24"/>
          <w:lang w:eastAsia="zh-CN"/>
        </w:rPr>
        <w:t>本次审批入河排污口的责任主体为</w:t>
      </w:r>
      <w:r>
        <w:rPr>
          <w:rFonts w:hint="eastAsia" w:ascii="Times New Roman" w:hAnsi="Times New Roman" w:eastAsia="宋体" w:cs="Times New Roman"/>
          <w:spacing w:val="3"/>
          <w:sz w:val="24"/>
          <w:szCs w:val="24"/>
          <w:lang w:eastAsia="zh-CN"/>
        </w:rPr>
        <w:t>湘潭县怡和顺科技有限公司</w:t>
      </w:r>
      <w:r>
        <w:rPr>
          <w:rFonts w:ascii="Times New Roman" w:hAnsi="Times New Roman" w:eastAsia="宋体" w:cs="Times New Roman"/>
          <w:spacing w:val="2"/>
          <w:sz w:val="24"/>
          <w:szCs w:val="24"/>
          <w:lang w:eastAsia="zh-CN"/>
        </w:rPr>
        <w:t>。本</w:t>
      </w:r>
      <w:r>
        <w:rPr>
          <w:rFonts w:ascii="Times New Roman" w:hAnsi="Times New Roman" w:eastAsia="宋体" w:cs="Times New Roman"/>
          <w:spacing w:val="3"/>
          <w:sz w:val="24"/>
          <w:szCs w:val="24"/>
          <w:lang w:eastAsia="zh-CN"/>
        </w:rPr>
        <w:t>次由</w:t>
      </w:r>
      <w:r>
        <w:rPr>
          <w:rFonts w:hint="eastAsia" w:ascii="Times New Roman" w:hAnsi="Times New Roman" w:eastAsia="宋体" w:cs="Times New Roman"/>
          <w:spacing w:val="3"/>
          <w:sz w:val="24"/>
          <w:szCs w:val="24"/>
          <w:lang w:eastAsia="zh-CN"/>
        </w:rPr>
        <w:t>湘潭县怡和顺科技有限公司</w:t>
      </w:r>
      <w:r>
        <w:rPr>
          <w:rFonts w:ascii="Times New Roman" w:hAnsi="Times New Roman" w:eastAsia="宋体" w:cs="Times New Roman"/>
          <w:spacing w:val="3"/>
          <w:sz w:val="24"/>
          <w:szCs w:val="24"/>
          <w:lang w:eastAsia="zh-CN"/>
        </w:rPr>
        <w:t>负责</w:t>
      </w:r>
      <w:r>
        <w:rPr>
          <w:rFonts w:hint="eastAsia" w:ascii="Times New Roman" w:hAnsi="Times New Roman" w:eastAsia="宋体" w:cs="Times New Roman"/>
          <w:spacing w:val="3"/>
          <w:sz w:val="24"/>
          <w:szCs w:val="24"/>
          <w:lang w:eastAsia="zh-CN"/>
        </w:rPr>
        <w:t>湘潭县怡和顺科技有限公司</w:t>
      </w:r>
      <w:r>
        <w:rPr>
          <w:rFonts w:ascii="Times New Roman" w:hAnsi="Times New Roman" w:eastAsia="宋体" w:cs="Times New Roman"/>
          <w:spacing w:val="-1"/>
          <w:sz w:val="24"/>
          <w:szCs w:val="24"/>
          <w:lang w:eastAsia="zh-CN"/>
        </w:rPr>
        <w:t>入河排污口设置论证报告工作。</w:t>
      </w:r>
    </w:p>
    <w:p w14:paraId="79775D20">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76" w:firstLineChars="200"/>
        <w:jc w:val="both"/>
        <w:textAlignment w:val="baseline"/>
        <w:rPr>
          <w:rFonts w:ascii="Times New Roman" w:hAnsi="Times New Roman" w:eastAsia="宋体" w:cs="Times New Roman"/>
          <w:sz w:val="24"/>
          <w:szCs w:val="24"/>
          <w:lang w:eastAsia="zh-CN"/>
        </w:rPr>
      </w:pPr>
      <w:r>
        <w:rPr>
          <w:rFonts w:ascii="Times New Roman" w:hAnsi="Times New Roman" w:eastAsia="宋体" w:cs="Times New Roman"/>
          <w:spacing w:val="-1"/>
          <w:sz w:val="24"/>
          <w:szCs w:val="24"/>
          <w:lang w:eastAsia="zh-CN"/>
        </w:rPr>
        <w:t>责任主体名称：</w:t>
      </w:r>
      <w:r>
        <w:rPr>
          <w:rFonts w:hint="eastAsia" w:ascii="Times New Roman" w:hAnsi="Times New Roman" w:eastAsia="宋体" w:cs="Times New Roman"/>
          <w:spacing w:val="-1"/>
          <w:sz w:val="24"/>
          <w:szCs w:val="24"/>
          <w:lang w:eastAsia="zh-CN"/>
        </w:rPr>
        <w:t>湘潭县怡和顺科技有限公司</w:t>
      </w:r>
    </w:p>
    <w:p w14:paraId="1DE087E8">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76" w:firstLineChars="200"/>
        <w:jc w:val="both"/>
        <w:textAlignment w:val="baseline"/>
        <w:rPr>
          <w:rFonts w:ascii="Times New Roman" w:hAnsi="Times New Roman" w:eastAsia="宋体" w:cs="Times New Roman"/>
          <w:sz w:val="24"/>
          <w:szCs w:val="24"/>
          <w:lang w:eastAsia="zh-CN"/>
        </w:rPr>
      </w:pPr>
      <w:r>
        <w:rPr>
          <w:rFonts w:ascii="Times New Roman" w:hAnsi="Times New Roman" w:eastAsia="宋体" w:cs="Times New Roman"/>
          <w:spacing w:val="-1"/>
          <w:sz w:val="24"/>
          <w:szCs w:val="24"/>
          <w:lang w:eastAsia="zh-CN"/>
        </w:rPr>
        <w:t>责任主体单位性质：有限责任公司（自然人投资或控股）</w:t>
      </w:r>
    </w:p>
    <w:p w14:paraId="5725F6FD">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92" w:firstLineChars="200"/>
        <w:jc w:val="both"/>
        <w:textAlignment w:val="baseline"/>
        <w:rPr>
          <w:rFonts w:ascii="Times New Roman" w:hAnsi="Times New Roman" w:eastAsia="宋体" w:cs="Times New Roman"/>
          <w:spacing w:val="3"/>
          <w:sz w:val="24"/>
          <w:szCs w:val="24"/>
          <w:lang w:eastAsia="zh-CN"/>
        </w:rPr>
      </w:pPr>
      <w:r>
        <w:rPr>
          <w:rFonts w:ascii="Times New Roman" w:hAnsi="Times New Roman" w:eastAsia="宋体" w:cs="Times New Roman"/>
          <w:spacing w:val="3"/>
          <w:sz w:val="24"/>
          <w:szCs w:val="24"/>
          <w:lang w:eastAsia="zh-CN"/>
        </w:rPr>
        <w:t>责任主体地址：</w:t>
      </w:r>
      <w:r>
        <w:rPr>
          <w:rFonts w:hint="eastAsia" w:ascii="Times New Roman" w:hAnsi="Times New Roman" w:eastAsia="宋体" w:cs="Times New Roman"/>
          <w:spacing w:val="3"/>
          <w:sz w:val="24"/>
          <w:szCs w:val="24"/>
          <w:lang w:eastAsia="zh-CN"/>
        </w:rPr>
        <w:t>湘潭县石鼓镇垅塅村上田组</w:t>
      </w:r>
    </w:p>
    <w:p w14:paraId="32B9F842">
      <w:pPr>
        <w:keepNext w:val="0"/>
        <w:keepLines w:val="0"/>
        <w:pageBreakBefore w:val="0"/>
        <w:widowControl/>
        <w:kinsoku w:val="0"/>
        <w:wordWrap/>
        <w:overflowPunct/>
        <w:topLinePunct w:val="0"/>
        <w:autoSpaceDE w:val="0"/>
        <w:autoSpaceDN w:val="0"/>
        <w:bidi w:val="0"/>
        <w:adjustRightInd w:val="0"/>
        <w:snapToGrid w:val="0"/>
        <w:spacing w:line="360" w:lineRule="auto"/>
        <w:ind w:left="0"/>
        <w:jc w:val="both"/>
        <w:textAlignment w:val="baseline"/>
        <w:outlineLvl w:val="0"/>
        <w:rPr>
          <w:rFonts w:ascii="宋体" w:hAnsi="宋体" w:eastAsia="宋体" w:cs="宋体"/>
          <w:sz w:val="28"/>
          <w:szCs w:val="28"/>
          <w:lang w:eastAsia="zh-CN"/>
        </w:rPr>
      </w:pPr>
      <w:bookmarkStart w:id="27" w:name="_Toc6896"/>
      <w:bookmarkStart w:id="28" w:name="_Toc9612"/>
      <w:r>
        <w:rPr>
          <w:rFonts w:ascii="Times New Roman" w:hAnsi="Times New Roman" w:eastAsia="Times New Roman" w:cs="Times New Roman"/>
          <w:b/>
          <w:bCs/>
          <w:spacing w:val="-4"/>
          <w:sz w:val="28"/>
          <w:szCs w:val="28"/>
          <w:lang w:eastAsia="zh-CN"/>
        </w:rPr>
        <w:t>2.2</w:t>
      </w:r>
      <w:r>
        <w:rPr>
          <w:rFonts w:ascii="宋体" w:hAnsi="宋体" w:eastAsia="宋体" w:cs="宋体"/>
          <w:b/>
          <w:bCs/>
          <w:spacing w:val="-4"/>
          <w:sz w:val="28"/>
          <w:szCs w:val="28"/>
          <w:lang w:eastAsia="zh-CN"/>
        </w:rPr>
        <w:t>责任主体生产经营状况</w:t>
      </w:r>
      <w:bookmarkEnd w:id="27"/>
      <w:bookmarkEnd w:id="28"/>
    </w:p>
    <w:p w14:paraId="4C598512">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99"/>
        <w:jc w:val="both"/>
        <w:textAlignment w:val="baseline"/>
        <w:rPr>
          <w:rFonts w:ascii="宋体" w:hAnsi="宋体" w:eastAsia="宋体" w:cs="宋体"/>
          <w:sz w:val="24"/>
          <w:szCs w:val="24"/>
          <w:lang w:eastAsia="zh-CN"/>
        </w:rPr>
        <w:sectPr>
          <w:footerReference r:id="rId6" w:type="default"/>
          <w:pgSz w:w="11905" w:h="16838"/>
          <w:pgMar w:top="1440" w:right="1803" w:bottom="1440" w:left="1803" w:header="828" w:footer="794" w:gutter="0"/>
          <w:pgNumType w:fmt="decimal"/>
          <w:cols w:space="0" w:num="1"/>
          <w:rtlGutter w:val="0"/>
          <w:docGrid w:linePitch="0" w:charSpace="0"/>
        </w:sectPr>
      </w:pPr>
      <w:r>
        <w:rPr>
          <w:rFonts w:hint="eastAsia" w:ascii="Times New Roman" w:hAnsi="Times New Roman" w:eastAsia="宋体" w:cs="Times New Roman"/>
          <w:spacing w:val="2"/>
          <w:sz w:val="24"/>
          <w:szCs w:val="24"/>
          <w:lang w:eastAsia="zh-CN"/>
        </w:rPr>
        <w:t>湘潭县怡和顺科技有限公司（原名湘潭县怡和顺食品有限公司）于2017年投资100万元选址于湘潭县石鼓镇垅塅村上田组建设槟榔代加工项目，年代加工槟榔200吨，于2017年3月完成环境影响登记表备案（备案号：201743032100000026），同年11月进行扩建，新增点卤、晾片工序，于2017年11月完成环境影响登记表备案（备案号：201743032100000159）；2018年7月，建设单位在原有基础上扩建，规模为年代加工槟榔250吨，并完成环境影响登记表备案（备案号：201843032100000182）。于2025年6月19日获得排污登记回执（登记编号：9143032IMA4L4Y091B001Y）</w:t>
      </w:r>
      <w:r>
        <w:rPr>
          <w:rFonts w:ascii="Times New Roman" w:hAnsi="Times New Roman" w:eastAsia="宋体" w:cs="Times New Roman"/>
          <w:spacing w:val="-2"/>
          <w:sz w:val="24"/>
          <w:szCs w:val="24"/>
          <w:lang w:eastAsia="zh-CN"/>
        </w:rPr>
        <w:t>。企业的经营范围主要为：</w:t>
      </w:r>
      <w:r>
        <w:rPr>
          <w:rFonts w:hint="eastAsia" w:ascii="Times New Roman" w:hAnsi="Times New Roman" w:eastAsia="宋体" w:cs="Times New Roman"/>
          <w:spacing w:val="-2"/>
          <w:sz w:val="24"/>
          <w:szCs w:val="24"/>
          <w:lang w:eastAsia="zh-CN"/>
        </w:rPr>
        <w:t>槟榔加工；食品生产；保健食品生产；食品销售</w:t>
      </w:r>
      <w:r>
        <w:rPr>
          <w:rFonts w:hint="eastAsia" w:ascii="Times New Roman" w:hAnsi="Times New Roman" w:eastAsia="宋体" w:cs="Times New Roman"/>
          <w:spacing w:val="-2"/>
          <w:sz w:val="24"/>
          <w:szCs w:val="24"/>
          <w:lang w:val="en-US" w:eastAsia="zh-CN"/>
        </w:rPr>
        <w:t>等</w:t>
      </w:r>
      <w:r>
        <w:rPr>
          <w:rFonts w:hint="eastAsia" w:ascii="Times New Roman" w:hAnsi="Times New Roman" w:eastAsia="宋体" w:cs="Times New Roman"/>
          <w:spacing w:val="-2"/>
          <w:sz w:val="24"/>
          <w:szCs w:val="24"/>
          <w:lang w:eastAsia="zh-CN"/>
        </w:rPr>
        <w:t>（依法须经批准的项目，经相关部门批准后方可开展经营活动。</w:t>
      </w:r>
    </w:p>
    <w:p w14:paraId="5A6B1D6A">
      <w:pPr>
        <w:keepNext w:val="0"/>
        <w:keepLines w:val="0"/>
        <w:pageBreakBefore w:val="0"/>
        <w:widowControl/>
        <w:kinsoku w:val="0"/>
        <w:wordWrap/>
        <w:overflowPunct/>
        <w:topLinePunct w:val="0"/>
        <w:autoSpaceDE w:val="0"/>
        <w:autoSpaceDN w:val="0"/>
        <w:bidi w:val="0"/>
        <w:adjustRightInd w:val="0"/>
        <w:snapToGrid w:val="0"/>
        <w:spacing w:before="334" w:line="360" w:lineRule="auto"/>
        <w:jc w:val="center"/>
        <w:textAlignment w:val="baseline"/>
        <w:outlineLvl w:val="0"/>
        <w:rPr>
          <w:lang w:eastAsia="zh-CN"/>
        </w:rPr>
      </w:pPr>
      <w:bookmarkStart w:id="29" w:name="_Toc4931"/>
      <w:bookmarkStart w:id="30" w:name="_Toc11634"/>
      <w:r>
        <w:rPr>
          <w:rFonts w:hint="default" w:ascii="Times New Roman" w:hAnsi="Times New Roman" w:eastAsia="宋体" w:cs="Times New Roman"/>
          <w:b/>
          <w:bCs/>
          <w:spacing w:val="6"/>
          <w:sz w:val="31"/>
          <w:szCs w:val="31"/>
          <w:lang w:eastAsia="zh-CN"/>
        </w:rPr>
        <w:t>3建设项目基本情况及产排污分析</w:t>
      </w:r>
      <w:bookmarkEnd w:id="29"/>
      <w:bookmarkEnd w:id="30"/>
    </w:p>
    <w:p w14:paraId="7D46CDF5">
      <w:pPr>
        <w:keepNext w:val="0"/>
        <w:keepLines w:val="0"/>
        <w:pageBreakBefore w:val="0"/>
        <w:wordWrap/>
        <w:overflowPunct/>
        <w:topLinePunct w:val="0"/>
        <w:bidi w:val="0"/>
        <w:adjustRightInd w:val="0"/>
        <w:snapToGrid w:val="0"/>
        <w:spacing w:line="360" w:lineRule="auto"/>
        <w:ind w:left="0"/>
        <w:jc w:val="both"/>
        <w:outlineLvl w:val="1"/>
        <w:rPr>
          <w:rFonts w:ascii="宋体" w:hAnsi="宋体" w:eastAsia="宋体" w:cs="宋体"/>
          <w:sz w:val="28"/>
          <w:szCs w:val="28"/>
          <w:lang w:eastAsia="zh-CN"/>
        </w:rPr>
      </w:pPr>
      <w:bookmarkStart w:id="31" w:name="_Toc22285"/>
      <w:bookmarkStart w:id="32" w:name="_Toc15787"/>
      <w:r>
        <w:rPr>
          <w:rFonts w:ascii="Times New Roman" w:hAnsi="Times New Roman" w:eastAsia="Times New Roman" w:cs="Times New Roman"/>
          <w:b/>
          <w:bCs/>
          <w:spacing w:val="-3"/>
          <w:sz w:val="28"/>
          <w:szCs w:val="28"/>
          <w:lang w:eastAsia="zh-CN"/>
        </w:rPr>
        <w:t>3.1</w:t>
      </w:r>
      <w:r>
        <w:rPr>
          <w:rFonts w:hint="eastAsia" w:ascii="Times New Roman" w:hAnsi="Times New Roman" w:eastAsia="宋体" w:cs="Times New Roman"/>
          <w:b/>
          <w:bCs/>
          <w:spacing w:val="-3"/>
          <w:sz w:val="28"/>
          <w:szCs w:val="28"/>
          <w:lang w:eastAsia="zh-CN"/>
        </w:rPr>
        <w:t>建设</w:t>
      </w:r>
      <w:r>
        <w:rPr>
          <w:rFonts w:hint="eastAsia" w:ascii="宋体" w:hAnsi="宋体" w:eastAsia="宋体" w:cs="宋体"/>
          <w:b/>
          <w:bCs/>
          <w:spacing w:val="-3"/>
          <w:sz w:val="28"/>
          <w:szCs w:val="28"/>
          <w:lang w:eastAsia="zh-CN"/>
        </w:rPr>
        <w:t>项目</w:t>
      </w:r>
      <w:r>
        <w:rPr>
          <w:rFonts w:ascii="宋体" w:hAnsi="宋体" w:eastAsia="宋体" w:cs="宋体"/>
          <w:b/>
          <w:bCs/>
          <w:spacing w:val="-4"/>
          <w:sz w:val="28"/>
          <w:szCs w:val="28"/>
          <w:lang w:eastAsia="zh-CN"/>
        </w:rPr>
        <w:t>基本情况</w:t>
      </w:r>
      <w:bookmarkEnd w:id="31"/>
      <w:bookmarkEnd w:id="32"/>
    </w:p>
    <w:p w14:paraId="69A0C56C">
      <w:pPr>
        <w:keepNext w:val="0"/>
        <w:keepLines w:val="0"/>
        <w:pageBreakBefore w:val="0"/>
        <w:wordWrap/>
        <w:overflowPunct/>
        <w:topLinePunct w:val="0"/>
        <w:bidi w:val="0"/>
        <w:adjustRightInd w:val="0"/>
        <w:snapToGrid w:val="0"/>
        <w:spacing w:line="360" w:lineRule="auto"/>
        <w:ind w:left="0"/>
        <w:jc w:val="both"/>
        <w:outlineLvl w:val="2"/>
        <w:rPr>
          <w:rFonts w:ascii="宋体" w:hAnsi="宋体" w:eastAsia="宋体" w:cs="宋体"/>
          <w:sz w:val="24"/>
          <w:szCs w:val="24"/>
          <w:lang w:eastAsia="zh-CN"/>
        </w:rPr>
      </w:pPr>
      <w:bookmarkStart w:id="33" w:name="_Toc6386"/>
      <w:bookmarkStart w:id="34" w:name="_Toc29628"/>
      <w:bookmarkStart w:id="35" w:name="_Toc22800"/>
      <w:r>
        <w:rPr>
          <w:rFonts w:ascii="Times New Roman" w:hAnsi="Times New Roman" w:eastAsia="Times New Roman" w:cs="Times New Roman"/>
          <w:b/>
          <w:bCs/>
          <w:spacing w:val="-2"/>
          <w:sz w:val="24"/>
          <w:szCs w:val="24"/>
          <w:lang w:eastAsia="zh-CN"/>
        </w:rPr>
        <w:t>3.1.1</w:t>
      </w:r>
      <w:r>
        <w:rPr>
          <w:rFonts w:ascii="宋体" w:hAnsi="宋体" w:eastAsia="宋体" w:cs="宋体"/>
          <w:b/>
          <w:bCs/>
          <w:spacing w:val="-2"/>
          <w:sz w:val="24"/>
          <w:szCs w:val="24"/>
          <w:lang w:eastAsia="zh-CN"/>
        </w:rPr>
        <w:t>工程概况</w:t>
      </w:r>
      <w:bookmarkEnd w:id="33"/>
      <w:bookmarkEnd w:id="34"/>
      <w:bookmarkEnd w:id="35"/>
    </w:p>
    <w:p w14:paraId="35375E88">
      <w:pPr>
        <w:keepNext w:val="0"/>
        <w:keepLines w:val="0"/>
        <w:pageBreakBefore w:val="0"/>
        <w:wordWrap/>
        <w:overflowPunct/>
        <w:topLinePunct w:val="0"/>
        <w:bidi w:val="0"/>
        <w:adjustRightInd w:val="0"/>
        <w:snapToGrid w:val="0"/>
        <w:spacing w:line="360" w:lineRule="auto"/>
        <w:ind w:left="0" w:firstLine="476" w:firstLineChars="200"/>
        <w:jc w:val="both"/>
        <w:rPr>
          <w:rFonts w:ascii="宋体" w:hAnsi="宋体" w:eastAsia="宋体" w:cs="宋体"/>
          <w:sz w:val="24"/>
          <w:szCs w:val="24"/>
          <w:lang w:eastAsia="zh-CN"/>
        </w:rPr>
      </w:pPr>
      <w:r>
        <w:rPr>
          <w:rFonts w:ascii="Times New Roman" w:hAnsi="Times New Roman" w:eastAsia="宋体" w:cs="Times New Roman"/>
          <w:spacing w:val="-1"/>
          <w:sz w:val="24"/>
          <w:szCs w:val="24"/>
          <w:lang w:eastAsia="zh-CN"/>
        </w:rPr>
        <w:t>项目名称：</w:t>
      </w:r>
      <w:r>
        <w:rPr>
          <w:rFonts w:hint="eastAsia" w:ascii="Times New Roman" w:hAnsi="Times New Roman" w:eastAsia="宋体" w:cs="Times New Roman"/>
          <w:spacing w:val="-1"/>
          <w:sz w:val="24"/>
          <w:szCs w:val="24"/>
          <w:lang w:eastAsia="zh-CN"/>
        </w:rPr>
        <w:t>湘潭县怡和顺科技有限公司生产线技术改造项目</w:t>
      </w:r>
      <w:r>
        <w:rPr>
          <w:rFonts w:ascii="宋体" w:hAnsi="宋体" w:eastAsia="宋体" w:cs="宋体"/>
          <w:spacing w:val="-1"/>
          <w:sz w:val="24"/>
          <w:szCs w:val="24"/>
          <w:lang w:eastAsia="zh-CN"/>
        </w:rPr>
        <w:t>；</w:t>
      </w:r>
    </w:p>
    <w:p w14:paraId="46A6AB54">
      <w:pPr>
        <w:keepNext w:val="0"/>
        <w:keepLines w:val="0"/>
        <w:pageBreakBefore w:val="0"/>
        <w:wordWrap/>
        <w:overflowPunct/>
        <w:topLinePunct w:val="0"/>
        <w:bidi w:val="0"/>
        <w:adjustRightInd w:val="0"/>
        <w:snapToGrid w:val="0"/>
        <w:spacing w:line="360" w:lineRule="auto"/>
        <w:ind w:firstLine="472" w:firstLineChars="200"/>
        <w:jc w:val="both"/>
        <w:rPr>
          <w:rFonts w:ascii="宋体" w:hAnsi="宋体" w:eastAsia="宋体" w:cs="宋体"/>
          <w:sz w:val="24"/>
          <w:szCs w:val="24"/>
          <w:lang w:eastAsia="zh-CN"/>
        </w:rPr>
      </w:pPr>
      <w:r>
        <w:rPr>
          <w:rFonts w:ascii="宋体" w:hAnsi="宋体" w:eastAsia="宋体" w:cs="宋体"/>
          <w:spacing w:val="-2"/>
          <w:sz w:val="24"/>
          <w:szCs w:val="24"/>
          <w:lang w:eastAsia="zh-CN"/>
        </w:rPr>
        <w:t>项目性质：</w:t>
      </w:r>
      <w:r>
        <w:rPr>
          <w:rFonts w:hint="eastAsia" w:ascii="宋体" w:hAnsi="宋体" w:eastAsia="宋体" w:cs="宋体"/>
          <w:spacing w:val="-2"/>
          <w:sz w:val="24"/>
          <w:szCs w:val="24"/>
          <w:lang w:val="en-US" w:eastAsia="zh-CN"/>
        </w:rPr>
        <w:t>技改</w:t>
      </w:r>
      <w:r>
        <w:rPr>
          <w:rFonts w:ascii="宋体" w:hAnsi="宋体" w:eastAsia="宋体" w:cs="宋体"/>
          <w:spacing w:val="-2"/>
          <w:sz w:val="24"/>
          <w:szCs w:val="24"/>
          <w:lang w:eastAsia="zh-CN"/>
        </w:rPr>
        <w:t>；</w:t>
      </w:r>
    </w:p>
    <w:p w14:paraId="51F53093">
      <w:pPr>
        <w:keepNext w:val="0"/>
        <w:keepLines w:val="0"/>
        <w:pageBreakBefore w:val="0"/>
        <w:wordWrap/>
        <w:overflowPunct/>
        <w:topLinePunct w:val="0"/>
        <w:bidi w:val="0"/>
        <w:adjustRightInd w:val="0"/>
        <w:snapToGrid w:val="0"/>
        <w:spacing w:line="360" w:lineRule="auto"/>
        <w:ind w:firstLine="520" w:firstLineChars="200"/>
        <w:jc w:val="both"/>
        <w:rPr>
          <w:rFonts w:ascii="Times New Roman" w:hAnsi="Times New Roman" w:eastAsia="宋体" w:cs="Times New Roman"/>
          <w:spacing w:val="1"/>
          <w:sz w:val="24"/>
          <w:szCs w:val="24"/>
          <w:lang w:eastAsia="zh-CN"/>
        </w:rPr>
      </w:pPr>
      <w:r>
        <w:rPr>
          <w:rFonts w:ascii="Times New Roman" w:hAnsi="Times New Roman" w:eastAsia="宋体" w:cs="Times New Roman"/>
          <w:spacing w:val="10"/>
          <w:sz w:val="24"/>
          <w:szCs w:val="24"/>
          <w:lang w:eastAsia="zh-CN"/>
        </w:rPr>
        <w:t>项目地点：</w:t>
      </w:r>
      <w:r>
        <w:rPr>
          <w:rFonts w:hint="eastAsia" w:ascii="Times New Roman" w:hAnsi="Times New Roman" w:eastAsia="宋体" w:cs="Times New Roman"/>
          <w:sz w:val="24"/>
          <w:szCs w:val="24"/>
          <w:lang w:eastAsia="zh-CN"/>
        </w:rPr>
        <w:t>湖南省湘潭市湘潭县石鼓镇垅塅村上田组</w:t>
      </w:r>
      <w:r>
        <w:rPr>
          <w:rFonts w:ascii="Times New Roman" w:hAnsi="Times New Roman" w:eastAsia="宋体" w:cs="Times New Roman"/>
          <w:spacing w:val="10"/>
          <w:sz w:val="24"/>
          <w:szCs w:val="24"/>
          <w:lang w:eastAsia="zh-CN"/>
        </w:rPr>
        <w:t>，中心点坐标：</w:t>
      </w:r>
      <w:r>
        <w:rPr>
          <w:rFonts w:ascii="Times New Roman" w:hAnsi="Times New Roman" w:eastAsia="宋体" w:cs="Times New Roman"/>
          <w:sz w:val="24"/>
          <w:szCs w:val="24"/>
          <w:lang w:eastAsia="zh-CN"/>
        </w:rPr>
        <w:t>E11</w:t>
      </w:r>
      <w:r>
        <w:rPr>
          <w:rFonts w:hint="eastAsia" w:ascii="Times New Roman" w:hAnsi="Times New Roman" w:eastAsia="宋体" w:cs="Times New Roman"/>
          <w:sz w:val="24"/>
          <w:szCs w:val="24"/>
          <w:lang w:val="en-US" w:eastAsia="zh-CN"/>
        </w:rPr>
        <w:t>2</w:t>
      </w:r>
      <w:r>
        <w:rPr>
          <w:rFonts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31</w:t>
      </w:r>
      <w:r>
        <w:rPr>
          <w:rFonts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7.203</w:t>
      </w:r>
      <w:r>
        <w:rPr>
          <w:rFonts w:ascii="Times New Roman" w:hAnsi="Times New Roman" w:eastAsia="宋体" w:cs="Times New Roman"/>
          <w:sz w:val="24"/>
          <w:szCs w:val="24"/>
          <w:lang w:eastAsia="zh-CN"/>
        </w:rPr>
        <w:t>″</w:t>
      </w:r>
      <w:r>
        <w:rPr>
          <w:rFonts w:ascii="Times New Roman" w:hAnsi="Times New Roman" w:eastAsia="宋体" w:cs="Times New Roman"/>
          <w:spacing w:val="1"/>
          <w:sz w:val="24"/>
          <w:szCs w:val="24"/>
          <w:lang w:eastAsia="zh-CN"/>
        </w:rPr>
        <w:t>，</w:t>
      </w:r>
      <w:r>
        <w:rPr>
          <w:rFonts w:ascii="Times New Roman" w:hAnsi="Times New Roman" w:eastAsia="宋体" w:cs="Times New Roman"/>
          <w:sz w:val="24"/>
          <w:szCs w:val="24"/>
          <w:lang w:eastAsia="zh-CN"/>
        </w:rPr>
        <w:t>N27°</w:t>
      </w:r>
      <w:r>
        <w:rPr>
          <w:rFonts w:hint="eastAsia" w:ascii="Times New Roman" w:hAnsi="Times New Roman" w:eastAsia="宋体" w:cs="Times New Roman"/>
          <w:sz w:val="24"/>
          <w:szCs w:val="24"/>
          <w:lang w:val="en-US" w:eastAsia="zh-CN"/>
        </w:rPr>
        <w:t>30</w:t>
      </w:r>
      <w:r>
        <w:rPr>
          <w:rFonts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55.953</w:t>
      </w:r>
      <w:r>
        <w:rPr>
          <w:rFonts w:ascii="Times New Roman" w:hAnsi="Times New Roman" w:eastAsia="宋体" w:cs="Times New Roman"/>
          <w:sz w:val="24"/>
          <w:szCs w:val="24"/>
          <w:lang w:eastAsia="zh-CN"/>
        </w:rPr>
        <w:t>″</w:t>
      </w:r>
      <w:r>
        <w:rPr>
          <w:rFonts w:ascii="Times New Roman" w:hAnsi="Times New Roman" w:eastAsia="宋体" w:cs="Times New Roman"/>
          <w:spacing w:val="1"/>
          <w:sz w:val="24"/>
          <w:szCs w:val="24"/>
          <w:lang w:eastAsia="zh-CN"/>
        </w:rPr>
        <w:t>。</w:t>
      </w:r>
    </w:p>
    <w:p w14:paraId="256C12F5">
      <w:pPr>
        <w:keepNext w:val="0"/>
        <w:keepLines w:val="0"/>
        <w:pageBreakBefore w:val="0"/>
        <w:wordWrap/>
        <w:overflowPunct/>
        <w:topLinePunct w:val="0"/>
        <w:bidi w:val="0"/>
        <w:adjustRightInd w:val="0"/>
        <w:snapToGrid w:val="0"/>
        <w:spacing w:line="360" w:lineRule="auto"/>
        <w:ind w:left="0" w:firstLine="484" w:firstLineChars="200"/>
        <w:jc w:val="both"/>
        <w:rPr>
          <w:rFonts w:ascii="Times New Roman" w:hAnsi="Times New Roman" w:eastAsia="宋体" w:cs="Times New Roman"/>
          <w:sz w:val="24"/>
          <w:szCs w:val="24"/>
          <w:lang w:eastAsia="zh-CN"/>
        </w:rPr>
      </w:pPr>
      <w:r>
        <w:rPr>
          <w:rFonts w:ascii="Times New Roman" w:hAnsi="Times New Roman" w:eastAsia="宋体" w:cs="Times New Roman"/>
          <w:spacing w:val="1"/>
          <w:sz w:val="24"/>
          <w:szCs w:val="24"/>
          <w:lang w:eastAsia="zh-CN"/>
        </w:rPr>
        <w:t>入河排污口</w:t>
      </w:r>
      <w:r>
        <w:rPr>
          <w:rFonts w:hint="eastAsia" w:ascii="Times New Roman" w:hAnsi="Times New Roman" w:eastAsia="宋体" w:cs="Times New Roman"/>
          <w:spacing w:val="1"/>
          <w:sz w:val="24"/>
          <w:szCs w:val="24"/>
          <w:lang w:eastAsia="zh-CN"/>
        </w:rPr>
        <w:t>：</w:t>
      </w:r>
      <w:r>
        <w:rPr>
          <w:rFonts w:hint="eastAsia" w:ascii="Times New Roman" w:hAnsi="Times New Roman" w:eastAsia="宋体" w:cs="Times New Roman"/>
          <w:spacing w:val="1"/>
          <w:sz w:val="24"/>
          <w:szCs w:val="24"/>
          <w:lang w:val="en-US" w:eastAsia="zh-CN"/>
        </w:rPr>
        <w:t>青山河左岸，</w:t>
      </w:r>
      <w:r>
        <w:rPr>
          <w:rFonts w:ascii="Times New Roman" w:hAnsi="Times New Roman" w:eastAsia="宋体" w:cs="Times New Roman"/>
          <w:spacing w:val="1"/>
          <w:sz w:val="24"/>
          <w:szCs w:val="24"/>
          <w:lang w:eastAsia="zh-CN"/>
        </w:rPr>
        <w:t>坐标</w:t>
      </w:r>
      <w:r>
        <w:rPr>
          <w:rFonts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E112</w:t>
      </w:r>
      <w:r>
        <w:rPr>
          <w:rFonts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30</w:t>
      </w:r>
      <w:r>
        <w:rPr>
          <w:rFonts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56.928</w:t>
      </w:r>
      <w:r>
        <w:rPr>
          <w:rFonts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，N27</w:t>
      </w:r>
      <w:r>
        <w:rPr>
          <w:rFonts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30</w:t>
      </w:r>
      <w:r>
        <w:rPr>
          <w:rFonts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50.536</w:t>
      </w:r>
      <w:r>
        <w:rPr>
          <w:rFonts w:ascii="Times New Roman" w:hAnsi="Times New Roman" w:eastAsia="宋体" w:cs="Times New Roman"/>
          <w:sz w:val="24"/>
          <w:szCs w:val="24"/>
          <w:lang w:eastAsia="zh-CN"/>
        </w:rPr>
        <w:t>″</w:t>
      </w:r>
      <w:r>
        <w:rPr>
          <w:rFonts w:ascii="Times New Roman" w:hAnsi="Times New Roman" w:eastAsia="宋体" w:cs="Times New Roman"/>
          <w:spacing w:val="-3"/>
          <w:sz w:val="24"/>
          <w:szCs w:val="24"/>
          <w:lang w:eastAsia="zh-CN"/>
        </w:rPr>
        <w:t>；</w:t>
      </w:r>
    </w:p>
    <w:p w14:paraId="3A8E38F5">
      <w:pPr>
        <w:keepNext w:val="0"/>
        <w:keepLines w:val="0"/>
        <w:pageBreakBefore w:val="0"/>
        <w:wordWrap/>
        <w:overflowPunct/>
        <w:topLinePunct w:val="0"/>
        <w:bidi w:val="0"/>
        <w:adjustRightInd w:val="0"/>
        <w:snapToGrid w:val="0"/>
        <w:spacing w:line="360" w:lineRule="auto"/>
        <w:ind w:left="0" w:firstLine="476" w:firstLineChars="200"/>
        <w:jc w:val="both"/>
        <w:rPr>
          <w:rFonts w:ascii="宋体" w:hAnsi="宋体" w:eastAsia="宋体" w:cs="宋体"/>
          <w:sz w:val="24"/>
          <w:szCs w:val="24"/>
          <w:lang w:eastAsia="zh-CN"/>
        </w:rPr>
      </w:pPr>
      <w:r>
        <w:rPr>
          <w:rFonts w:ascii="宋体" w:hAnsi="宋体" w:eastAsia="宋体" w:cs="宋体"/>
          <w:spacing w:val="-1"/>
          <w:sz w:val="24"/>
          <w:szCs w:val="24"/>
          <w:lang w:eastAsia="zh-CN"/>
        </w:rPr>
        <w:t>建设单位：</w:t>
      </w:r>
      <w:r>
        <w:rPr>
          <w:rFonts w:hint="eastAsia" w:ascii="宋体" w:hAnsi="宋体" w:eastAsia="宋体" w:cs="宋体"/>
          <w:spacing w:val="-1"/>
          <w:sz w:val="24"/>
          <w:szCs w:val="24"/>
          <w:lang w:eastAsia="zh-CN"/>
        </w:rPr>
        <w:t>湘潭县怡和顺科技有限公司</w:t>
      </w:r>
      <w:r>
        <w:rPr>
          <w:rFonts w:ascii="宋体" w:hAnsi="宋体" w:eastAsia="宋体" w:cs="宋体"/>
          <w:spacing w:val="-1"/>
          <w:sz w:val="24"/>
          <w:szCs w:val="24"/>
          <w:lang w:eastAsia="zh-CN"/>
        </w:rPr>
        <w:t>；</w:t>
      </w:r>
    </w:p>
    <w:p w14:paraId="0DD8C8CF">
      <w:pPr>
        <w:keepNext w:val="0"/>
        <w:keepLines w:val="0"/>
        <w:pageBreakBefore w:val="0"/>
        <w:wordWrap/>
        <w:overflowPunct/>
        <w:topLinePunct w:val="0"/>
        <w:bidi w:val="0"/>
        <w:adjustRightInd w:val="0"/>
        <w:snapToGrid w:val="0"/>
        <w:spacing w:line="360" w:lineRule="auto"/>
        <w:ind w:left="0" w:firstLine="468" w:firstLineChars="200"/>
        <w:jc w:val="both"/>
        <w:rPr>
          <w:rFonts w:ascii="Times New Roman" w:hAnsi="Times New Roman" w:eastAsia="宋体" w:cs="Times New Roman"/>
          <w:sz w:val="24"/>
          <w:szCs w:val="24"/>
          <w:lang w:eastAsia="zh-CN"/>
        </w:rPr>
      </w:pPr>
      <w:r>
        <w:rPr>
          <w:rFonts w:ascii="Times New Roman" w:hAnsi="Times New Roman" w:eastAsia="宋体" w:cs="Times New Roman"/>
          <w:spacing w:val="-3"/>
          <w:sz w:val="24"/>
          <w:szCs w:val="24"/>
          <w:lang w:eastAsia="zh-CN"/>
        </w:rPr>
        <w:t>建设规模：</w:t>
      </w:r>
      <w:r>
        <w:rPr>
          <w:rFonts w:hint="eastAsia" w:ascii="Times New Roman" w:hAnsi="Times New Roman" w:eastAsia="宋体" w:cs="Times New Roman"/>
          <w:spacing w:val="-3"/>
          <w:sz w:val="24"/>
          <w:szCs w:val="24"/>
          <w:lang w:val="en-US" w:eastAsia="zh-CN"/>
        </w:rPr>
        <w:t>技改工程不增加产能，仅增加生产工序，技改后全厂产能为槟榔250t/a</w:t>
      </w:r>
      <w:r>
        <w:rPr>
          <w:rFonts w:ascii="Times New Roman" w:hAnsi="Times New Roman" w:eastAsia="宋体" w:cs="Times New Roman"/>
          <w:spacing w:val="-3"/>
          <w:sz w:val="24"/>
          <w:szCs w:val="24"/>
          <w:lang w:eastAsia="zh-CN"/>
        </w:rPr>
        <w:t>。</w:t>
      </w:r>
    </w:p>
    <w:p w14:paraId="7349CBAA">
      <w:pPr>
        <w:keepNext w:val="0"/>
        <w:keepLines w:val="0"/>
        <w:pageBreakBefore w:val="0"/>
        <w:wordWrap/>
        <w:overflowPunct/>
        <w:topLinePunct w:val="0"/>
        <w:bidi w:val="0"/>
        <w:adjustRightInd w:val="0"/>
        <w:snapToGrid w:val="0"/>
        <w:spacing w:line="360" w:lineRule="auto"/>
        <w:ind w:left="0" w:firstLine="476" w:firstLineChars="200"/>
        <w:jc w:val="both"/>
        <w:rPr>
          <w:rFonts w:hint="default" w:ascii="Times New Roman" w:hAnsi="Times New Roman" w:eastAsia="宋体" w:cs="Times New Roman"/>
          <w:spacing w:val="-1"/>
          <w:sz w:val="24"/>
          <w:szCs w:val="24"/>
          <w:lang w:val="en-US" w:eastAsia="zh-CN"/>
        </w:rPr>
      </w:pPr>
      <w:r>
        <w:rPr>
          <w:rFonts w:ascii="宋体" w:hAnsi="宋体" w:eastAsia="宋体" w:cs="宋体"/>
          <w:spacing w:val="-1"/>
          <w:sz w:val="24"/>
          <w:szCs w:val="24"/>
          <w:lang w:eastAsia="zh-CN"/>
        </w:rPr>
        <w:t>尾</w:t>
      </w:r>
      <w:r>
        <w:rPr>
          <w:rFonts w:ascii="Times New Roman" w:hAnsi="Times New Roman" w:eastAsia="宋体" w:cs="Times New Roman"/>
          <w:spacing w:val="-1"/>
          <w:sz w:val="24"/>
          <w:szCs w:val="24"/>
          <w:lang w:eastAsia="zh-CN"/>
        </w:rPr>
        <w:t>水排放：本工程处理后的尾水达</w:t>
      </w:r>
      <w:r>
        <w:rPr>
          <w:rFonts w:hint="eastAsia" w:ascii="Times New Roman" w:hAnsi="Times New Roman" w:eastAsia="宋体" w:cs="Times New Roman"/>
          <w:spacing w:val="-1"/>
          <w:sz w:val="24"/>
          <w:szCs w:val="24"/>
          <w:lang w:eastAsia="zh-CN"/>
        </w:rPr>
        <w:t>《食品加工制造业水污染物排放标准》（GB46817-2025）表</w:t>
      </w:r>
      <w:r>
        <w:rPr>
          <w:rFonts w:hint="eastAsia" w:ascii="Times New Roman" w:hAnsi="Times New Roman" w:eastAsia="宋体" w:cs="Times New Roman"/>
          <w:spacing w:val="-1"/>
          <w:sz w:val="24"/>
          <w:szCs w:val="24"/>
          <w:lang w:val="en-US" w:eastAsia="zh-CN"/>
        </w:rPr>
        <w:t>1水污染排放限值中直接排放限值。</w:t>
      </w:r>
    </w:p>
    <w:p w14:paraId="3A721870">
      <w:pPr>
        <w:keepNext w:val="0"/>
        <w:keepLines w:val="0"/>
        <w:pageBreakBefore w:val="0"/>
        <w:wordWrap/>
        <w:overflowPunct/>
        <w:topLinePunct w:val="0"/>
        <w:bidi w:val="0"/>
        <w:adjustRightInd w:val="0"/>
        <w:snapToGrid w:val="0"/>
        <w:spacing w:line="360" w:lineRule="auto"/>
        <w:ind w:left="0"/>
        <w:jc w:val="both"/>
        <w:outlineLvl w:val="2"/>
        <w:rPr>
          <w:rFonts w:hint="default" w:ascii="Times New Roman" w:hAnsi="Times New Roman" w:eastAsia="宋体" w:cs="Times New Roman"/>
          <w:b/>
          <w:bCs/>
          <w:spacing w:val="-2"/>
          <w:sz w:val="24"/>
          <w:szCs w:val="24"/>
          <w:lang w:eastAsia="zh-CN"/>
        </w:rPr>
      </w:pPr>
      <w:bookmarkStart w:id="36" w:name="_Toc31157"/>
      <w:bookmarkStart w:id="37" w:name="_Toc27280"/>
      <w:bookmarkStart w:id="38" w:name="_Toc20049"/>
      <w:r>
        <w:rPr>
          <w:rFonts w:hint="default" w:ascii="Times New Roman" w:hAnsi="Times New Roman" w:eastAsia="宋体" w:cs="Times New Roman"/>
          <w:b/>
          <w:bCs/>
          <w:spacing w:val="-2"/>
          <w:sz w:val="24"/>
          <w:szCs w:val="24"/>
          <w:lang w:eastAsia="zh-CN"/>
        </w:rPr>
        <w:t>3.1.2项目建设内容</w:t>
      </w:r>
      <w:bookmarkEnd w:id="36"/>
      <w:bookmarkEnd w:id="37"/>
      <w:bookmarkEnd w:id="38"/>
    </w:p>
    <w:p w14:paraId="38ECE9B5">
      <w:pPr>
        <w:keepNext w:val="0"/>
        <w:keepLines w:val="0"/>
        <w:pageBreakBefore w:val="0"/>
        <w:wordWrap/>
        <w:overflowPunct/>
        <w:topLinePunct w:val="0"/>
        <w:bidi w:val="0"/>
        <w:adjustRightInd w:val="0"/>
        <w:snapToGrid w:val="0"/>
        <w:spacing w:line="360" w:lineRule="auto"/>
        <w:ind w:left="0" w:firstLine="480" w:firstLineChars="200"/>
        <w:jc w:val="both"/>
        <w:rPr>
          <w:rFonts w:ascii="Times New Roman" w:hAnsi="Times New Roman" w:eastAsia="宋体" w:cs="Times New Roman"/>
          <w:color w:val="auto"/>
          <w:lang w:eastAsia="zh-CN"/>
        </w:rPr>
      </w:pPr>
      <w:r>
        <w:rPr>
          <w:rFonts w:hint="eastAsia" w:ascii="Times New Roman" w:hAnsi="Times New Roman" w:eastAsia="宋体" w:cs="Times New Roman"/>
          <w:sz w:val="24"/>
          <w:lang w:eastAsia="zh-CN"/>
        </w:rPr>
        <w:t>湘潭县怡和顺科技有限公司</w:t>
      </w:r>
      <w:r>
        <w:rPr>
          <w:rFonts w:ascii="Times New Roman" w:hAnsi="Times New Roman" w:eastAsia="宋体" w:cs="Times New Roman"/>
          <w:sz w:val="24"/>
          <w:lang w:eastAsia="zh-CN"/>
        </w:rPr>
        <w:t>主要建设内容见表</w:t>
      </w:r>
      <w:r>
        <w:rPr>
          <w:rFonts w:hint="eastAsia" w:ascii="Times New Roman" w:hAnsi="Times New Roman" w:eastAsia="宋体" w:cs="Times New Roman"/>
          <w:sz w:val="24"/>
          <w:lang w:eastAsia="zh-CN"/>
        </w:rPr>
        <w:t>3</w:t>
      </w:r>
      <w:r>
        <w:rPr>
          <w:rFonts w:ascii="Times New Roman" w:hAnsi="Times New Roman" w:eastAsia="宋体" w:cs="Times New Roman"/>
          <w:sz w:val="24"/>
          <w:lang w:eastAsia="zh-CN"/>
        </w:rPr>
        <w:t>.1-1。</w:t>
      </w:r>
    </w:p>
    <w:p w14:paraId="549B6C9A">
      <w:pPr>
        <w:pStyle w:val="31"/>
        <w:keepNext w:val="0"/>
        <w:keepLines w:val="0"/>
        <w:pageBreakBefore w:val="0"/>
        <w:widowControl w:val="0"/>
        <w:numPr>
          <w:ilvl w:val="3"/>
          <w:numId w:val="0"/>
        </w:numPr>
        <w:tabs>
          <w:tab w:val="left" w:pos="1021"/>
        </w:tabs>
        <w:kinsoku/>
        <w:wordWrap/>
        <w:overflowPunct/>
        <w:topLinePunct w:val="0"/>
        <w:autoSpaceDE/>
        <w:autoSpaceDN/>
        <w:bidi w:val="0"/>
        <w:adjustRightInd w:val="0"/>
        <w:snapToGrid w:val="0"/>
        <w:spacing w:after="0" w:line="240" w:lineRule="auto"/>
        <w:ind w:left="0"/>
        <w:jc w:val="center"/>
        <w:rPr>
          <w:rFonts w:ascii="Times New Roman" w:hAnsi="Times New Roman" w:eastAsia="宋体" w:cs="Times New Roman"/>
          <w:color w:val="auto"/>
        </w:rPr>
      </w:pPr>
      <w:bookmarkStart w:id="39" w:name="_Toc4706"/>
      <w:bookmarkStart w:id="40" w:name="_Toc31831"/>
      <w:bookmarkStart w:id="41" w:name="_Toc248"/>
      <w:r>
        <w:rPr>
          <w:rFonts w:ascii="Times New Roman" w:hAnsi="Times New Roman" w:eastAsia="宋体" w:cs="Times New Roman"/>
          <w:color w:val="auto"/>
        </w:rPr>
        <w:t>表</w:t>
      </w:r>
      <w:r>
        <w:rPr>
          <w:rFonts w:hint="eastAsia" w:ascii="Times New Roman" w:hAnsi="Times New Roman" w:eastAsia="宋体" w:cs="Times New Roman"/>
          <w:color w:val="auto"/>
          <w:lang w:eastAsia="zh-CN"/>
        </w:rPr>
        <w:t>3</w:t>
      </w:r>
      <w:r>
        <w:rPr>
          <w:rFonts w:ascii="Times New Roman" w:hAnsi="Times New Roman" w:eastAsia="宋体" w:cs="Times New Roman"/>
          <w:color w:val="auto"/>
        </w:rPr>
        <w:t>.1-1项目组成一览表</w:t>
      </w:r>
      <w:bookmarkEnd w:id="39"/>
      <w:bookmarkEnd w:id="40"/>
      <w:bookmarkEnd w:id="41"/>
    </w:p>
    <w:tbl>
      <w:tblPr>
        <w:tblStyle w:val="25"/>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73"/>
        <w:gridCol w:w="1104"/>
        <w:gridCol w:w="547"/>
        <w:gridCol w:w="863"/>
        <w:gridCol w:w="3711"/>
        <w:gridCol w:w="1614"/>
      </w:tblGrid>
      <w:tr w14:paraId="62F099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trPr>
        <w:tc>
          <w:tcPr>
            <w:tcW w:w="395" w:type="pct"/>
            <w:tcBorders>
              <w:tl2br w:val="nil"/>
              <w:tr2bl w:val="nil"/>
            </w:tcBorders>
            <w:noWrap w:val="0"/>
            <w:vAlign w:val="center"/>
          </w:tcPr>
          <w:p w14:paraId="2CE71F74">
            <w:pPr>
              <w:bidi w:val="0"/>
              <w:jc w:val="center"/>
              <w:rPr>
                <w:rFonts w:hint="default" w:ascii="Times New Roman" w:hAnsi="Times New Roman" w:cs="Times New Roman"/>
                <w:lang w:eastAsia="zh-CN"/>
              </w:rPr>
            </w:pPr>
            <w:bookmarkStart w:id="42" w:name="_Toc11138"/>
            <w:bookmarkStart w:id="43" w:name="_Toc20386"/>
            <w:bookmarkStart w:id="44" w:name="_Toc22949"/>
            <w:r>
              <w:rPr>
                <w:rFonts w:hint="default" w:ascii="Times New Roman" w:hAnsi="Times New Roman" w:cs="Times New Roman"/>
                <w:lang w:eastAsia="zh-CN"/>
              </w:rPr>
              <w:t>序号</w:t>
            </w:r>
          </w:p>
        </w:tc>
        <w:tc>
          <w:tcPr>
            <w:tcW w:w="648" w:type="pct"/>
            <w:tcBorders>
              <w:tl2br w:val="nil"/>
              <w:tr2bl w:val="nil"/>
            </w:tcBorders>
            <w:noWrap w:val="0"/>
            <w:vAlign w:val="center"/>
          </w:tcPr>
          <w:p w14:paraId="1061FC65">
            <w:pPr>
              <w:bidi w:val="0"/>
              <w:jc w:val="center"/>
              <w:rPr>
                <w:rFonts w:hint="default" w:ascii="Times New Roman" w:hAnsi="Times New Roman" w:cs="Times New Roman"/>
                <w:lang w:eastAsia="zh-CN"/>
              </w:rPr>
            </w:pPr>
            <w:r>
              <w:rPr>
                <w:rFonts w:hint="default" w:ascii="Times New Roman" w:hAnsi="Times New Roman" w:cs="Times New Roman"/>
                <w:lang w:eastAsia="zh-CN"/>
              </w:rPr>
              <w:t>工程类别</w:t>
            </w:r>
          </w:p>
        </w:tc>
        <w:tc>
          <w:tcPr>
            <w:tcW w:w="828" w:type="pct"/>
            <w:gridSpan w:val="2"/>
            <w:tcBorders>
              <w:tl2br w:val="nil"/>
              <w:tr2bl w:val="nil"/>
            </w:tcBorders>
            <w:noWrap w:val="0"/>
            <w:vAlign w:val="center"/>
          </w:tcPr>
          <w:p w14:paraId="75F50AC9">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项目组成</w:t>
            </w:r>
          </w:p>
        </w:tc>
        <w:tc>
          <w:tcPr>
            <w:tcW w:w="2179" w:type="pct"/>
            <w:tcBorders>
              <w:tl2br w:val="nil"/>
              <w:tr2bl w:val="nil"/>
            </w:tcBorders>
            <w:noWrap w:val="0"/>
            <w:vAlign w:val="center"/>
          </w:tcPr>
          <w:p w14:paraId="3D033020">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主要建设内容</w:t>
            </w:r>
          </w:p>
        </w:tc>
        <w:tc>
          <w:tcPr>
            <w:tcW w:w="948" w:type="pct"/>
            <w:tcBorders>
              <w:tl2br w:val="nil"/>
              <w:tr2bl w:val="nil"/>
            </w:tcBorders>
            <w:noWrap w:val="0"/>
            <w:vAlign w:val="center"/>
          </w:tcPr>
          <w:p w14:paraId="4AE2C017">
            <w:pPr>
              <w:bidi w:val="0"/>
              <w:jc w:val="center"/>
              <w:rPr>
                <w:rFonts w:hint="default" w:ascii="Times New Roman" w:hAnsi="Times New Roman" w:cs="Times New Roman"/>
                <w:lang w:eastAsia="zh-CN"/>
              </w:rPr>
            </w:pPr>
            <w:r>
              <w:rPr>
                <w:rFonts w:hint="default" w:ascii="Times New Roman" w:hAnsi="Times New Roman" w:cs="Times New Roman"/>
                <w:lang w:eastAsia="zh-CN"/>
              </w:rPr>
              <w:t>备注</w:t>
            </w:r>
          </w:p>
        </w:tc>
      </w:tr>
      <w:tr w14:paraId="1267B7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5" w:type="pct"/>
            <w:tcBorders>
              <w:tl2br w:val="nil"/>
              <w:tr2bl w:val="nil"/>
            </w:tcBorders>
            <w:noWrap w:val="0"/>
            <w:vAlign w:val="center"/>
          </w:tcPr>
          <w:p w14:paraId="2A74A1AF">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1</w:t>
            </w:r>
          </w:p>
        </w:tc>
        <w:tc>
          <w:tcPr>
            <w:tcW w:w="648" w:type="pct"/>
            <w:tcBorders>
              <w:tl2br w:val="nil"/>
              <w:tr2bl w:val="nil"/>
            </w:tcBorders>
            <w:noWrap w:val="0"/>
            <w:vAlign w:val="center"/>
          </w:tcPr>
          <w:p w14:paraId="749937D3">
            <w:pPr>
              <w:bidi w:val="0"/>
              <w:jc w:val="center"/>
              <w:rPr>
                <w:rFonts w:hint="default" w:ascii="Times New Roman" w:hAnsi="Times New Roman" w:cs="Times New Roman"/>
                <w:lang w:eastAsia="zh-CN"/>
              </w:rPr>
            </w:pPr>
            <w:r>
              <w:rPr>
                <w:rFonts w:hint="default" w:ascii="Times New Roman" w:hAnsi="Times New Roman" w:cs="Times New Roman"/>
                <w:lang w:eastAsia="zh-CN"/>
              </w:rPr>
              <w:t>主体工程</w:t>
            </w:r>
          </w:p>
        </w:tc>
        <w:tc>
          <w:tcPr>
            <w:tcW w:w="828" w:type="pct"/>
            <w:gridSpan w:val="2"/>
            <w:tcBorders>
              <w:tl2br w:val="nil"/>
              <w:tr2bl w:val="nil"/>
            </w:tcBorders>
            <w:noWrap w:val="0"/>
            <w:vAlign w:val="center"/>
          </w:tcPr>
          <w:p w14:paraId="3D4BEBB5">
            <w:pPr>
              <w:bidi w:val="0"/>
              <w:jc w:val="center"/>
              <w:rPr>
                <w:rFonts w:hint="default" w:ascii="Times New Roman" w:hAnsi="Times New Roman" w:cs="Times New Roman"/>
                <w:lang w:eastAsia="zh-CN"/>
              </w:rPr>
            </w:pPr>
            <w:r>
              <w:rPr>
                <w:rFonts w:hint="default" w:ascii="Times New Roman" w:hAnsi="Times New Roman" w:cs="Times New Roman"/>
                <w:lang w:eastAsia="zh-CN"/>
              </w:rPr>
              <w:t>生产</w:t>
            </w:r>
            <w:r>
              <w:rPr>
                <w:rFonts w:hint="default" w:ascii="Times New Roman" w:hAnsi="Times New Roman" w:cs="Times New Roman"/>
                <w:lang w:val="en-US" w:eastAsia="zh-CN"/>
              </w:rPr>
              <w:t>车间</w:t>
            </w:r>
          </w:p>
        </w:tc>
        <w:tc>
          <w:tcPr>
            <w:tcW w:w="2179" w:type="pct"/>
            <w:tcBorders>
              <w:tl2br w:val="nil"/>
              <w:tr2bl w:val="nil"/>
            </w:tcBorders>
            <w:noWrap w:val="0"/>
            <w:vAlign w:val="center"/>
          </w:tcPr>
          <w:p w14:paraId="09344580">
            <w:pPr>
              <w:bidi w:val="0"/>
              <w:jc w:val="center"/>
              <w:rPr>
                <w:rFonts w:hint="default" w:ascii="Times New Roman" w:hAnsi="Times New Roman" w:cs="Times New Roman"/>
              </w:rPr>
            </w:pPr>
            <w:r>
              <w:rPr>
                <w:rFonts w:hint="default" w:ascii="Times New Roman" w:hAnsi="Times New Roman" w:cs="Times New Roman"/>
                <w:lang w:val="en-US" w:eastAsia="zh-CN"/>
              </w:rPr>
              <w:t>砖混结构，1F，建筑面积3580m</w:t>
            </w:r>
            <w:r>
              <w:rPr>
                <w:rFonts w:hint="default" w:ascii="Times New Roman" w:hAnsi="Times New Roman" w:cs="Times New Roman"/>
                <w:vertAlign w:val="superscript"/>
                <w:lang w:val="en-US" w:eastAsia="zh-CN"/>
              </w:rPr>
              <w:t>2</w:t>
            </w:r>
            <w:r>
              <w:rPr>
                <w:rFonts w:hint="default" w:ascii="Times New Roman" w:hAnsi="Times New Roman" w:cs="Times New Roman"/>
                <w:lang w:val="en-US" w:eastAsia="zh-CN"/>
              </w:rPr>
              <w:t>，主要包括清洗区、煮籽区、发制区、烤籽房、上胶区、去核区、点卤区、切籽区、锅炉房、仓库等</w:t>
            </w:r>
          </w:p>
        </w:tc>
        <w:tc>
          <w:tcPr>
            <w:tcW w:w="948" w:type="pct"/>
            <w:tcBorders>
              <w:tl2br w:val="nil"/>
              <w:tr2bl w:val="nil"/>
            </w:tcBorders>
            <w:noWrap w:val="0"/>
            <w:vAlign w:val="center"/>
          </w:tcPr>
          <w:p w14:paraId="657DFA5A">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依托现有已建厂房新增煮籽、清洗等工序</w:t>
            </w:r>
          </w:p>
        </w:tc>
      </w:tr>
      <w:tr w14:paraId="6AA734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5" w:type="pct"/>
            <w:vMerge w:val="restart"/>
            <w:tcBorders>
              <w:tl2br w:val="nil"/>
              <w:tr2bl w:val="nil"/>
            </w:tcBorders>
            <w:noWrap w:val="0"/>
            <w:vAlign w:val="center"/>
          </w:tcPr>
          <w:p w14:paraId="422386F2">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2</w:t>
            </w:r>
          </w:p>
        </w:tc>
        <w:tc>
          <w:tcPr>
            <w:tcW w:w="648" w:type="pct"/>
            <w:vMerge w:val="restart"/>
            <w:tcBorders>
              <w:tl2br w:val="nil"/>
              <w:tr2bl w:val="nil"/>
            </w:tcBorders>
            <w:noWrap w:val="0"/>
            <w:vAlign w:val="center"/>
          </w:tcPr>
          <w:p w14:paraId="3FBD3DED">
            <w:pPr>
              <w:bidi w:val="0"/>
              <w:jc w:val="center"/>
              <w:rPr>
                <w:rFonts w:hint="default" w:ascii="Times New Roman" w:hAnsi="Times New Roman" w:cs="Times New Roman"/>
                <w:lang w:eastAsia="zh-CN"/>
              </w:rPr>
            </w:pPr>
            <w:r>
              <w:rPr>
                <w:rFonts w:hint="default" w:ascii="Times New Roman" w:hAnsi="Times New Roman" w:cs="Times New Roman"/>
                <w:lang w:eastAsia="zh-CN"/>
              </w:rPr>
              <w:t>辅助工程</w:t>
            </w:r>
          </w:p>
        </w:tc>
        <w:tc>
          <w:tcPr>
            <w:tcW w:w="828" w:type="pct"/>
            <w:gridSpan w:val="2"/>
            <w:tcBorders>
              <w:tl2br w:val="nil"/>
              <w:tr2bl w:val="nil"/>
            </w:tcBorders>
            <w:noWrap w:val="0"/>
            <w:vAlign w:val="center"/>
          </w:tcPr>
          <w:p w14:paraId="0F622D3A">
            <w:pPr>
              <w:bidi w:val="0"/>
              <w:jc w:val="center"/>
              <w:rPr>
                <w:rFonts w:hint="default" w:ascii="Times New Roman" w:hAnsi="Times New Roman" w:cs="Times New Roman"/>
                <w:lang w:eastAsia="zh-CN"/>
              </w:rPr>
            </w:pPr>
            <w:r>
              <w:rPr>
                <w:rFonts w:hint="default" w:ascii="Times New Roman" w:hAnsi="Times New Roman" w:cs="Times New Roman"/>
                <w:lang w:eastAsia="zh-CN"/>
              </w:rPr>
              <w:t>锅炉房</w:t>
            </w:r>
          </w:p>
        </w:tc>
        <w:tc>
          <w:tcPr>
            <w:tcW w:w="2179" w:type="pct"/>
            <w:tcBorders>
              <w:tl2br w:val="nil"/>
              <w:tr2bl w:val="nil"/>
            </w:tcBorders>
            <w:noWrap w:val="0"/>
            <w:vAlign w:val="center"/>
          </w:tcPr>
          <w:p w14:paraId="6BAF7F99">
            <w:pPr>
              <w:bidi w:val="0"/>
              <w:jc w:val="center"/>
              <w:rPr>
                <w:rFonts w:hint="default" w:ascii="Times New Roman" w:hAnsi="Times New Roman" w:cs="Times New Roman"/>
                <w:lang w:val="en-US"/>
              </w:rPr>
            </w:pPr>
            <w:r>
              <w:rPr>
                <w:rFonts w:hint="default" w:ascii="Times New Roman" w:hAnsi="Times New Roman" w:cs="Times New Roman"/>
                <w:lang w:val="en-US" w:eastAsia="zh-CN"/>
              </w:rPr>
              <w:t>新增1台2.5t/h生物质锅炉</w:t>
            </w:r>
          </w:p>
        </w:tc>
        <w:tc>
          <w:tcPr>
            <w:tcW w:w="948" w:type="pct"/>
            <w:tcBorders>
              <w:tl2br w:val="nil"/>
              <w:tr2bl w:val="nil"/>
            </w:tcBorders>
            <w:noWrap w:val="0"/>
            <w:vAlign w:val="center"/>
          </w:tcPr>
          <w:p w14:paraId="171CFC26">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新增</w:t>
            </w:r>
          </w:p>
        </w:tc>
      </w:tr>
      <w:tr w14:paraId="0571B2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exact"/>
        </w:trPr>
        <w:tc>
          <w:tcPr>
            <w:tcW w:w="395" w:type="pct"/>
            <w:vMerge w:val="continue"/>
            <w:tcBorders>
              <w:tl2br w:val="nil"/>
              <w:tr2bl w:val="nil"/>
            </w:tcBorders>
            <w:noWrap w:val="0"/>
            <w:vAlign w:val="center"/>
          </w:tcPr>
          <w:p w14:paraId="744C798C">
            <w:pPr>
              <w:bidi w:val="0"/>
              <w:jc w:val="center"/>
              <w:rPr>
                <w:rFonts w:hint="default" w:ascii="Times New Roman" w:hAnsi="Times New Roman" w:cs="Times New Roman"/>
                <w:lang w:val="en-US" w:eastAsia="zh-CN"/>
              </w:rPr>
            </w:pPr>
          </w:p>
        </w:tc>
        <w:tc>
          <w:tcPr>
            <w:tcW w:w="648" w:type="pct"/>
            <w:vMerge w:val="continue"/>
            <w:tcBorders>
              <w:tl2br w:val="nil"/>
              <w:tr2bl w:val="nil"/>
            </w:tcBorders>
            <w:noWrap w:val="0"/>
            <w:vAlign w:val="center"/>
          </w:tcPr>
          <w:p w14:paraId="158F1121">
            <w:pPr>
              <w:bidi w:val="0"/>
              <w:jc w:val="center"/>
              <w:rPr>
                <w:rFonts w:hint="default" w:ascii="Times New Roman" w:hAnsi="Times New Roman" w:cs="Times New Roman"/>
                <w:lang w:eastAsia="zh-CN"/>
              </w:rPr>
            </w:pPr>
          </w:p>
        </w:tc>
        <w:tc>
          <w:tcPr>
            <w:tcW w:w="828" w:type="pct"/>
            <w:gridSpan w:val="2"/>
            <w:tcBorders>
              <w:tl2br w:val="nil"/>
              <w:tr2bl w:val="nil"/>
            </w:tcBorders>
            <w:noWrap w:val="0"/>
            <w:vAlign w:val="center"/>
          </w:tcPr>
          <w:p w14:paraId="126F607A">
            <w:pPr>
              <w:bidi w:val="0"/>
              <w:jc w:val="center"/>
              <w:rPr>
                <w:rFonts w:hint="default" w:ascii="Times New Roman" w:hAnsi="Times New Roman" w:cs="Times New Roman"/>
                <w:lang w:val="en-US" w:eastAsia="zh-CN"/>
              </w:rPr>
            </w:pPr>
            <w:r>
              <w:rPr>
                <w:rFonts w:hint="default" w:ascii="Times New Roman" w:hAnsi="Times New Roman" w:cs="Times New Roman"/>
                <w:lang w:eastAsia="zh-CN"/>
              </w:rPr>
              <w:t>办公</w:t>
            </w:r>
            <w:r>
              <w:rPr>
                <w:rFonts w:hint="default" w:ascii="Times New Roman" w:hAnsi="Times New Roman" w:cs="Times New Roman"/>
                <w:lang w:val="en-US" w:eastAsia="zh-CN"/>
              </w:rPr>
              <w:t>楼</w:t>
            </w:r>
          </w:p>
        </w:tc>
        <w:tc>
          <w:tcPr>
            <w:tcW w:w="2179" w:type="pct"/>
            <w:tcBorders>
              <w:tl2br w:val="nil"/>
              <w:tr2bl w:val="nil"/>
            </w:tcBorders>
            <w:noWrap w:val="0"/>
            <w:vAlign w:val="center"/>
          </w:tcPr>
          <w:p w14:paraId="6B378374">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砖混结构，3F，建筑</w:t>
            </w:r>
            <w:r>
              <w:rPr>
                <w:rFonts w:hint="default" w:ascii="Times New Roman" w:hAnsi="Times New Roman" w:cs="Times New Roman"/>
                <w:lang w:eastAsia="zh-CN"/>
              </w:rPr>
              <w:t>面积</w:t>
            </w:r>
            <w:r>
              <w:rPr>
                <w:rFonts w:hint="default" w:ascii="Times New Roman" w:hAnsi="Times New Roman" w:cs="Times New Roman"/>
                <w:lang w:val="en-US" w:eastAsia="zh-CN"/>
              </w:rPr>
              <w:t>约220m</w:t>
            </w:r>
            <w:r>
              <w:rPr>
                <w:rFonts w:hint="default" w:ascii="Times New Roman" w:hAnsi="Times New Roman" w:cs="Times New Roman"/>
                <w:vertAlign w:val="superscript"/>
                <w:lang w:val="en-US" w:eastAsia="zh-CN"/>
              </w:rPr>
              <w:t>2</w:t>
            </w:r>
          </w:p>
        </w:tc>
        <w:tc>
          <w:tcPr>
            <w:tcW w:w="948" w:type="pct"/>
            <w:tcBorders>
              <w:tl2br w:val="nil"/>
              <w:tr2bl w:val="nil"/>
            </w:tcBorders>
            <w:noWrap w:val="0"/>
            <w:vAlign w:val="center"/>
          </w:tcPr>
          <w:p w14:paraId="2701463E">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依托现有工程</w:t>
            </w:r>
          </w:p>
        </w:tc>
      </w:tr>
      <w:tr w14:paraId="64D739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exact"/>
        </w:trPr>
        <w:tc>
          <w:tcPr>
            <w:tcW w:w="395" w:type="pct"/>
            <w:vMerge w:val="continue"/>
            <w:tcBorders>
              <w:tl2br w:val="nil"/>
              <w:tr2bl w:val="nil"/>
            </w:tcBorders>
            <w:noWrap w:val="0"/>
            <w:vAlign w:val="center"/>
          </w:tcPr>
          <w:p w14:paraId="2D9C23E5">
            <w:pPr>
              <w:bidi w:val="0"/>
              <w:jc w:val="center"/>
              <w:rPr>
                <w:rFonts w:hint="default" w:ascii="Times New Roman" w:hAnsi="Times New Roman" w:cs="Times New Roman"/>
                <w:lang w:val="en-US" w:eastAsia="zh-CN"/>
              </w:rPr>
            </w:pPr>
          </w:p>
        </w:tc>
        <w:tc>
          <w:tcPr>
            <w:tcW w:w="648" w:type="pct"/>
            <w:vMerge w:val="continue"/>
            <w:tcBorders>
              <w:tl2br w:val="nil"/>
              <w:tr2bl w:val="nil"/>
            </w:tcBorders>
            <w:noWrap w:val="0"/>
            <w:vAlign w:val="center"/>
          </w:tcPr>
          <w:p w14:paraId="19C85BD3">
            <w:pPr>
              <w:bidi w:val="0"/>
              <w:jc w:val="center"/>
              <w:rPr>
                <w:rFonts w:hint="default" w:ascii="Times New Roman" w:hAnsi="Times New Roman" w:cs="Times New Roman"/>
                <w:lang w:eastAsia="zh-CN"/>
              </w:rPr>
            </w:pPr>
          </w:p>
        </w:tc>
        <w:tc>
          <w:tcPr>
            <w:tcW w:w="828" w:type="pct"/>
            <w:gridSpan w:val="2"/>
            <w:tcBorders>
              <w:tl2br w:val="nil"/>
              <w:tr2bl w:val="nil"/>
            </w:tcBorders>
            <w:noWrap w:val="0"/>
            <w:vAlign w:val="center"/>
          </w:tcPr>
          <w:p w14:paraId="511F3BD3">
            <w:pPr>
              <w:bidi w:val="0"/>
              <w:jc w:val="center"/>
              <w:rPr>
                <w:rFonts w:hint="default" w:ascii="Times New Roman" w:hAnsi="Times New Roman" w:cs="Times New Roman"/>
                <w:lang w:eastAsia="zh-CN"/>
              </w:rPr>
            </w:pPr>
            <w:r>
              <w:rPr>
                <w:rFonts w:hint="default" w:ascii="Times New Roman" w:hAnsi="Times New Roman" w:cs="Times New Roman"/>
                <w:lang w:eastAsia="zh-CN"/>
              </w:rPr>
              <w:t>食堂</w:t>
            </w:r>
          </w:p>
        </w:tc>
        <w:tc>
          <w:tcPr>
            <w:tcW w:w="2179" w:type="pct"/>
            <w:tcBorders>
              <w:tl2br w:val="nil"/>
              <w:tr2bl w:val="nil"/>
            </w:tcBorders>
            <w:noWrap w:val="0"/>
            <w:vAlign w:val="center"/>
          </w:tcPr>
          <w:p w14:paraId="1476DF89">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砖混结构，建筑</w:t>
            </w:r>
            <w:r>
              <w:rPr>
                <w:rFonts w:hint="default" w:ascii="Times New Roman" w:hAnsi="Times New Roman" w:cs="Times New Roman"/>
                <w:lang w:eastAsia="zh-CN"/>
              </w:rPr>
              <w:t>面积</w:t>
            </w:r>
            <w:r>
              <w:rPr>
                <w:rFonts w:hint="default" w:ascii="Times New Roman" w:hAnsi="Times New Roman" w:cs="Times New Roman"/>
                <w:lang w:val="en-US" w:eastAsia="zh-CN"/>
              </w:rPr>
              <w:t>约100m</w:t>
            </w:r>
            <w:r>
              <w:rPr>
                <w:rFonts w:hint="default" w:ascii="Times New Roman" w:hAnsi="Times New Roman" w:cs="Times New Roman"/>
                <w:vertAlign w:val="superscript"/>
                <w:lang w:val="en-US" w:eastAsia="zh-CN"/>
              </w:rPr>
              <w:t>2</w:t>
            </w:r>
          </w:p>
        </w:tc>
        <w:tc>
          <w:tcPr>
            <w:tcW w:w="948" w:type="pct"/>
            <w:tcBorders>
              <w:tl2br w:val="nil"/>
              <w:tr2bl w:val="nil"/>
            </w:tcBorders>
            <w:noWrap w:val="0"/>
            <w:vAlign w:val="center"/>
          </w:tcPr>
          <w:p w14:paraId="602488BA">
            <w:pPr>
              <w:bidi w:val="0"/>
              <w:jc w:val="center"/>
              <w:rPr>
                <w:rFonts w:hint="default" w:ascii="Times New Roman" w:hAnsi="Times New Roman" w:cs="Times New Roman"/>
                <w:lang w:eastAsia="zh-CN"/>
              </w:rPr>
            </w:pPr>
            <w:r>
              <w:rPr>
                <w:rFonts w:hint="default" w:ascii="Times New Roman" w:hAnsi="Times New Roman" w:cs="Times New Roman"/>
                <w:lang w:val="en-US" w:eastAsia="zh-CN"/>
              </w:rPr>
              <w:t>依托现有工程</w:t>
            </w:r>
          </w:p>
        </w:tc>
      </w:tr>
      <w:tr w14:paraId="2FF90C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31" w:hRule="exact"/>
        </w:trPr>
        <w:tc>
          <w:tcPr>
            <w:tcW w:w="395" w:type="pct"/>
            <w:vMerge w:val="continue"/>
            <w:tcBorders>
              <w:tl2br w:val="nil"/>
              <w:tr2bl w:val="nil"/>
            </w:tcBorders>
            <w:noWrap w:val="0"/>
            <w:vAlign w:val="center"/>
          </w:tcPr>
          <w:p w14:paraId="41393237">
            <w:pPr>
              <w:bidi w:val="0"/>
              <w:jc w:val="center"/>
              <w:rPr>
                <w:rFonts w:hint="default" w:ascii="Times New Roman" w:hAnsi="Times New Roman" w:cs="Times New Roman"/>
                <w:lang w:val="en-US" w:eastAsia="zh-CN"/>
              </w:rPr>
            </w:pPr>
          </w:p>
        </w:tc>
        <w:tc>
          <w:tcPr>
            <w:tcW w:w="648" w:type="pct"/>
            <w:vMerge w:val="continue"/>
            <w:tcBorders>
              <w:tl2br w:val="nil"/>
              <w:tr2bl w:val="nil"/>
            </w:tcBorders>
            <w:noWrap w:val="0"/>
            <w:vAlign w:val="center"/>
          </w:tcPr>
          <w:p w14:paraId="4D9168ED">
            <w:pPr>
              <w:bidi w:val="0"/>
              <w:jc w:val="center"/>
              <w:rPr>
                <w:rFonts w:hint="default" w:ascii="Times New Roman" w:hAnsi="Times New Roman" w:cs="Times New Roman"/>
                <w:lang w:eastAsia="zh-CN"/>
              </w:rPr>
            </w:pPr>
          </w:p>
        </w:tc>
        <w:tc>
          <w:tcPr>
            <w:tcW w:w="828" w:type="pct"/>
            <w:gridSpan w:val="2"/>
            <w:tcBorders>
              <w:tl2br w:val="nil"/>
              <w:tr2bl w:val="nil"/>
            </w:tcBorders>
            <w:noWrap w:val="0"/>
            <w:vAlign w:val="center"/>
          </w:tcPr>
          <w:p w14:paraId="4D7AB597">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辅助用房</w:t>
            </w:r>
          </w:p>
        </w:tc>
        <w:tc>
          <w:tcPr>
            <w:tcW w:w="2179" w:type="pct"/>
            <w:tcBorders>
              <w:tl2br w:val="nil"/>
              <w:tr2bl w:val="nil"/>
            </w:tcBorders>
            <w:noWrap w:val="0"/>
            <w:vAlign w:val="center"/>
          </w:tcPr>
          <w:p w14:paraId="43CF78A0">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砖混结构，1F，建筑</w:t>
            </w:r>
            <w:r>
              <w:rPr>
                <w:rFonts w:hint="default" w:ascii="Times New Roman" w:hAnsi="Times New Roman" w:cs="Times New Roman"/>
                <w:lang w:eastAsia="zh-CN"/>
              </w:rPr>
              <w:t>面积</w:t>
            </w:r>
            <w:r>
              <w:rPr>
                <w:rFonts w:hint="default" w:ascii="Times New Roman" w:hAnsi="Times New Roman" w:cs="Times New Roman"/>
                <w:lang w:val="en-US" w:eastAsia="zh-CN"/>
              </w:rPr>
              <w:t>约100m</w:t>
            </w:r>
            <w:r>
              <w:rPr>
                <w:rFonts w:hint="default" w:ascii="Times New Roman" w:hAnsi="Times New Roman" w:cs="Times New Roman"/>
                <w:vertAlign w:val="superscript"/>
                <w:lang w:val="en-US" w:eastAsia="zh-CN"/>
              </w:rPr>
              <w:t>2</w:t>
            </w:r>
            <w:r>
              <w:rPr>
                <w:rFonts w:hint="default" w:ascii="Times New Roman" w:hAnsi="Times New Roman" w:cs="Times New Roman"/>
                <w:lang w:val="en-US" w:eastAsia="zh-CN"/>
              </w:rPr>
              <w:t>，污水处理设施所在处</w:t>
            </w:r>
          </w:p>
        </w:tc>
        <w:tc>
          <w:tcPr>
            <w:tcW w:w="948" w:type="pct"/>
            <w:tcBorders>
              <w:tl2br w:val="nil"/>
              <w:tr2bl w:val="nil"/>
            </w:tcBorders>
            <w:noWrap w:val="0"/>
            <w:vAlign w:val="center"/>
          </w:tcPr>
          <w:p w14:paraId="63736E35">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依托现有工程新增污水处理设施</w:t>
            </w:r>
          </w:p>
        </w:tc>
      </w:tr>
      <w:tr w14:paraId="72F952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395" w:type="pct"/>
            <w:tcBorders>
              <w:tl2br w:val="nil"/>
              <w:tr2bl w:val="nil"/>
            </w:tcBorders>
            <w:noWrap w:val="0"/>
            <w:vAlign w:val="center"/>
          </w:tcPr>
          <w:p w14:paraId="1761470A">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3</w:t>
            </w:r>
          </w:p>
        </w:tc>
        <w:tc>
          <w:tcPr>
            <w:tcW w:w="648" w:type="pct"/>
            <w:tcBorders>
              <w:tl2br w:val="nil"/>
              <w:tr2bl w:val="nil"/>
            </w:tcBorders>
            <w:noWrap w:val="0"/>
            <w:vAlign w:val="center"/>
          </w:tcPr>
          <w:p w14:paraId="1B6306A6">
            <w:pPr>
              <w:bidi w:val="0"/>
              <w:jc w:val="center"/>
              <w:rPr>
                <w:rFonts w:hint="default" w:ascii="Times New Roman" w:hAnsi="Times New Roman" w:cs="Times New Roman"/>
                <w:lang w:eastAsia="zh-CN"/>
              </w:rPr>
            </w:pPr>
            <w:r>
              <w:rPr>
                <w:rFonts w:hint="default" w:ascii="Times New Roman" w:hAnsi="Times New Roman" w:cs="Times New Roman"/>
                <w:lang w:eastAsia="zh-CN"/>
              </w:rPr>
              <w:t>储运工程</w:t>
            </w:r>
          </w:p>
        </w:tc>
        <w:tc>
          <w:tcPr>
            <w:tcW w:w="828" w:type="pct"/>
            <w:gridSpan w:val="2"/>
            <w:tcBorders>
              <w:tl2br w:val="nil"/>
              <w:tr2bl w:val="nil"/>
            </w:tcBorders>
            <w:noWrap w:val="0"/>
            <w:vAlign w:val="center"/>
          </w:tcPr>
          <w:p w14:paraId="05AA6F18">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仓库</w:t>
            </w:r>
          </w:p>
        </w:tc>
        <w:tc>
          <w:tcPr>
            <w:tcW w:w="2179" w:type="pct"/>
            <w:tcBorders>
              <w:tl2br w:val="nil"/>
              <w:tr2bl w:val="nil"/>
            </w:tcBorders>
            <w:noWrap w:val="0"/>
            <w:vAlign w:val="center"/>
          </w:tcPr>
          <w:p w14:paraId="6912B895">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成品及原料储存，位于生产车间内</w:t>
            </w:r>
          </w:p>
        </w:tc>
        <w:tc>
          <w:tcPr>
            <w:tcW w:w="948" w:type="pct"/>
            <w:tcBorders>
              <w:tl2br w:val="nil"/>
              <w:tr2bl w:val="nil"/>
            </w:tcBorders>
            <w:noWrap w:val="0"/>
            <w:vAlign w:val="center"/>
          </w:tcPr>
          <w:p w14:paraId="6D94EC13">
            <w:pPr>
              <w:bidi w:val="0"/>
              <w:jc w:val="center"/>
              <w:rPr>
                <w:rFonts w:hint="default" w:ascii="Times New Roman" w:hAnsi="Times New Roman" w:cs="Times New Roman"/>
              </w:rPr>
            </w:pPr>
            <w:r>
              <w:rPr>
                <w:rFonts w:hint="default" w:ascii="Times New Roman" w:hAnsi="Times New Roman" w:cs="Times New Roman"/>
                <w:lang w:val="en-US" w:eastAsia="zh-CN"/>
              </w:rPr>
              <w:t>依托现有厂房</w:t>
            </w:r>
          </w:p>
        </w:tc>
      </w:tr>
      <w:tr w14:paraId="5E44A3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exact"/>
        </w:trPr>
        <w:tc>
          <w:tcPr>
            <w:tcW w:w="395" w:type="pct"/>
            <w:vMerge w:val="restart"/>
            <w:tcBorders>
              <w:tl2br w:val="nil"/>
              <w:tr2bl w:val="nil"/>
            </w:tcBorders>
            <w:noWrap w:val="0"/>
            <w:vAlign w:val="center"/>
          </w:tcPr>
          <w:p w14:paraId="3812ABC2">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4</w:t>
            </w:r>
          </w:p>
        </w:tc>
        <w:tc>
          <w:tcPr>
            <w:tcW w:w="648" w:type="pct"/>
            <w:vMerge w:val="restart"/>
            <w:tcBorders>
              <w:tl2br w:val="nil"/>
              <w:tr2bl w:val="nil"/>
            </w:tcBorders>
            <w:noWrap w:val="0"/>
            <w:vAlign w:val="center"/>
          </w:tcPr>
          <w:p w14:paraId="4333EB8E">
            <w:pPr>
              <w:bidi w:val="0"/>
              <w:jc w:val="center"/>
              <w:rPr>
                <w:rFonts w:hint="default" w:ascii="Times New Roman" w:hAnsi="Times New Roman" w:cs="Times New Roman"/>
                <w:lang w:eastAsia="zh-CN"/>
              </w:rPr>
            </w:pPr>
            <w:r>
              <w:rPr>
                <w:rFonts w:hint="default" w:ascii="Times New Roman" w:hAnsi="Times New Roman" w:cs="Times New Roman"/>
                <w:lang w:eastAsia="zh-CN"/>
              </w:rPr>
              <w:t>公用工程</w:t>
            </w:r>
          </w:p>
        </w:tc>
        <w:tc>
          <w:tcPr>
            <w:tcW w:w="828" w:type="pct"/>
            <w:gridSpan w:val="2"/>
            <w:tcBorders>
              <w:tl2br w:val="nil"/>
              <w:tr2bl w:val="nil"/>
            </w:tcBorders>
            <w:noWrap w:val="0"/>
            <w:vAlign w:val="center"/>
          </w:tcPr>
          <w:p w14:paraId="4AF0AD0E">
            <w:pPr>
              <w:bidi w:val="0"/>
              <w:jc w:val="center"/>
              <w:rPr>
                <w:rFonts w:hint="default" w:ascii="Times New Roman" w:hAnsi="Times New Roman" w:cs="Times New Roman"/>
                <w:lang w:eastAsia="zh-CN"/>
              </w:rPr>
            </w:pPr>
            <w:r>
              <w:rPr>
                <w:rFonts w:hint="default" w:ascii="Times New Roman" w:hAnsi="Times New Roman" w:cs="Times New Roman"/>
                <w:lang w:eastAsia="zh-CN"/>
              </w:rPr>
              <w:t>供水</w:t>
            </w:r>
          </w:p>
        </w:tc>
        <w:tc>
          <w:tcPr>
            <w:tcW w:w="2179" w:type="pct"/>
            <w:tcBorders>
              <w:tl2br w:val="nil"/>
              <w:tr2bl w:val="nil"/>
            </w:tcBorders>
            <w:noWrap w:val="0"/>
            <w:vAlign w:val="center"/>
          </w:tcPr>
          <w:p w14:paraId="2FC71F4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井水</w:t>
            </w:r>
          </w:p>
        </w:tc>
        <w:tc>
          <w:tcPr>
            <w:tcW w:w="948" w:type="pct"/>
            <w:tcBorders>
              <w:tl2br w:val="nil"/>
              <w:tr2bl w:val="nil"/>
            </w:tcBorders>
            <w:noWrap w:val="0"/>
            <w:vAlign w:val="center"/>
          </w:tcPr>
          <w:p w14:paraId="1F6F06CF">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依托现有工程</w:t>
            </w:r>
          </w:p>
        </w:tc>
      </w:tr>
      <w:tr w14:paraId="6B0BDB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9" w:hRule="exact"/>
        </w:trPr>
        <w:tc>
          <w:tcPr>
            <w:tcW w:w="395" w:type="pct"/>
            <w:vMerge w:val="continue"/>
            <w:tcBorders>
              <w:tl2br w:val="nil"/>
              <w:tr2bl w:val="nil"/>
            </w:tcBorders>
            <w:noWrap w:val="0"/>
            <w:vAlign w:val="center"/>
          </w:tcPr>
          <w:p w14:paraId="48FA81C1">
            <w:pPr>
              <w:bidi w:val="0"/>
              <w:jc w:val="center"/>
              <w:rPr>
                <w:rFonts w:hint="default" w:ascii="Times New Roman" w:hAnsi="Times New Roman" w:cs="Times New Roman"/>
                <w:lang w:val="en-US" w:eastAsia="zh-CN"/>
              </w:rPr>
            </w:pPr>
          </w:p>
        </w:tc>
        <w:tc>
          <w:tcPr>
            <w:tcW w:w="648" w:type="pct"/>
            <w:vMerge w:val="continue"/>
            <w:tcBorders>
              <w:tl2br w:val="nil"/>
              <w:tr2bl w:val="nil"/>
            </w:tcBorders>
            <w:noWrap w:val="0"/>
            <w:vAlign w:val="center"/>
          </w:tcPr>
          <w:p w14:paraId="6E0A9DE3">
            <w:pPr>
              <w:bidi w:val="0"/>
              <w:jc w:val="center"/>
              <w:rPr>
                <w:rFonts w:hint="default" w:ascii="Times New Roman" w:hAnsi="Times New Roman" w:cs="Times New Roman"/>
              </w:rPr>
            </w:pPr>
          </w:p>
        </w:tc>
        <w:tc>
          <w:tcPr>
            <w:tcW w:w="828" w:type="pct"/>
            <w:gridSpan w:val="2"/>
            <w:tcBorders>
              <w:tl2br w:val="nil"/>
              <w:tr2bl w:val="nil"/>
            </w:tcBorders>
            <w:noWrap w:val="0"/>
            <w:vAlign w:val="center"/>
          </w:tcPr>
          <w:p w14:paraId="125BFB1D">
            <w:pPr>
              <w:bidi w:val="0"/>
              <w:jc w:val="center"/>
              <w:rPr>
                <w:rFonts w:hint="default" w:ascii="Times New Roman" w:hAnsi="Times New Roman" w:cs="Times New Roman"/>
                <w:lang w:eastAsia="zh-CN"/>
              </w:rPr>
            </w:pPr>
            <w:r>
              <w:rPr>
                <w:rFonts w:hint="default" w:ascii="Times New Roman" w:hAnsi="Times New Roman" w:cs="Times New Roman"/>
                <w:lang w:eastAsia="zh-CN"/>
              </w:rPr>
              <w:t>供电</w:t>
            </w:r>
          </w:p>
        </w:tc>
        <w:tc>
          <w:tcPr>
            <w:tcW w:w="2179" w:type="pct"/>
            <w:tcBorders>
              <w:tl2br w:val="nil"/>
              <w:tr2bl w:val="nil"/>
            </w:tcBorders>
            <w:noWrap w:val="0"/>
            <w:vAlign w:val="center"/>
          </w:tcPr>
          <w:p w14:paraId="33D01EAF">
            <w:pPr>
              <w:bidi w:val="0"/>
              <w:jc w:val="center"/>
              <w:rPr>
                <w:rFonts w:hint="default" w:ascii="Times New Roman" w:hAnsi="Times New Roman" w:cs="Times New Roman"/>
                <w:lang w:eastAsia="zh-CN"/>
              </w:rPr>
            </w:pPr>
            <w:r>
              <w:rPr>
                <w:rFonts w:hint="default" w:ascii="Times New Roman" w:hAnsi="Times New Roman" w:cs="Times New Roman"/>
                <w:lang w:eastAsia="zh-CN"/>
              </w:rPr>
              <w:t>由乡镇电网提供</w:t>
            </w:r>
          </w:p>
        </w:tc>
        <w:tc>
          <w:tcPr>
            <w:tcW w:w="948" w:type="pct"/>
            <w:tcBorders>
              <w:tl2br w:val="nil"/>
              <w:tr2bl w:val="nil"/>
            </w:tcBorders>
            <w:noWrap w:val="0"/>
            <w:vAlign w:val="center"/>
          </w:tcPr>
          <w:p w14:paraId="3454F944">
            <w:pPr>
              <w:bidi w:val="0"/>
              <w:jc w:val="center"/>
              <w:rPr>
                <w:rFonts w:hint="default" w:ascii="Times New Roman" w:hAnsi="Times New Roman" w:cs="Times New Roman"/>
              </w:rPr>
            </w:pPr>
            <w:r>
              <w:rPr>
                <w:rFonts w:hint="default" w:ascii="Times New Roman" w:hAnsi="Times New Roman" w:cs="Times New Roman"/>
                <w:lang w:eastAsia="zh-CN"/>
              </w:rPr>
              <w:t>依托现有工程</w:t>
            </w:r>
          </w:p>
        </w:tc>
      </w:tr>
      <w:tr w14:paraId="53EFEF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2" w:hRule="atLeast"/>
        </w:trPr>
        <w:tc>
          <w:tcPr>
            <w:tcW w:w="395" w:type="pct"/>
            <w:vMerge w:val="restart"/>
            <w:tcBorders>
              <w:tl2br w:val="nil"/>
              <w:tr2bl w:val="nil"/>
            </w:tcBorders>
            <w:noWrap w:val="0"/>
            <w:vAlign w:val="center"/>
          </w:tcPr>
          <w:p w14:paraId="0128E675">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5</w:t>
            </w:r>
          </w:p>
        </w:tc>
        <w:tc>
          <w:tcPr>
            <w:tcW w:w="648" w:type="pct"/>
            <w:vMerge w:val="restart"/>
            <w:tcBorders>
              <w:tl2br w:val="nil"/>
              <w:tr2bl w:val="nil"/>
            </w:tcBorders>
            <w:noWrap w:val="0"/>
            <w:vAlign w:val="center"/>
          </w:tcPr>
          <w:p w14:paraId="6B7AFC12">
            <w:pPr>
              <w:bidi w:val="0"/>
              <w:jc w:val="center"/>
              <w:rPr>
                <w:rFonts w:hint="default" w:ascii="Times New Roman" w:hAnsi="Times New Roman" w:cs="Times New Roman"/>
                <w:lang w:eastAsia="zh-CN"/>
              </w:rPr>
            </w:pPr>
            <w:r>
              <w:rPr>
                <w:rFonts w:hint="default" w:ascii="Times New Roman" w:hAnsi="Times New Roman" w:cs="Times New Roman"/>
                <w:lang w:eastAsia="zh-CN"/>
              </w:rPr>
              <w:t>环保工程</w:t>
            </w:r>
          </w:p>
        </w:tc>
        <w:tc>
          <w:tcPr>
            <w:tcW w:w="321" w:type="pct"/>
            <w:vMerge w:val="restart"/>
            <w:tcBorders>
              <w:tl2br w:val="nil"/>
              <w:tr2bl w:val="nil"/>
            </w:tcBorders>
            <w:noWrap w:val="0"/>
            <w:vAlign w:val="center"/>
          </w:tcPr>
          <w:p w14:paraId="1960CB93">
            <w:pPr>
              <w:bidi w:val="0"/>
              <w:jc w:val="center"/>
              <w:rPr>
                <w:rFonts w:hint="default" w:ascii="Times New Roman" w:hAnsi="Times New Roman" w:cs="Times New Roman"/>
                <w:lang w:eastAsia="zh-CN"/>
              </w:rPr>
            </w:pPr>
            <w:r>
              <w:rPr>
                <w:rFonts w:hint="default" w:ascii="Times New Roman" w:hAnsi="Times New Roman" w:cs="Times New Roman"/>
                <w:lang w:eastAsia="zh-CN"/>
              </w:rPr>
              <w:t>废气</w:t>
            </w:r>
          </w:p>
        </w:tc>
        <w:tc>
          <w:tcPr>
            <w:tcW w:w="506" w:type="pct"/>
            <w:tcBorders>
              <w:tl2br w:val="nil"/>
              <w:tr2bl w:val="nil"/>
            </w:tcBorders>
            <w:noWrap w:val="0"/>
            <w:vAlign w:val="center"/>
          </w:tcPr>
          <w:p w14:paraId="53DA945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锅炉</w:t>
            </w:r>
          </w:p>
          <w:p w14:paraId="3FD5A329">
            <w:pPr>
              <w:bidi w:val="0"/>
              <w:jc w:val="center"/>
              <w:rPr>
                <w:rFonts w:hint="default" w:ascii="Times New Roman" w:hAnsi="Times New Roman" w:cs="Times New Roman"/>
                <w:lang w:eastAsia="zh-CN"/>
              </w:rPr>
            </w:pPr>
            <w:r>
              <w:rPr>
                <w:rFonts w:hint="default" w:ascii="Times New Roman" w:hAnsi="Times New Roman" w:cs="Times New Roman"/>
                <w:lang w:val="en-US" w:eastAsia="zh-CN"/>
              </w:rPr>
              <w:t>废气</w:t>
            </w:r>
          </w:p>
        </w:tc>
        <w:tc>
          <w:tcPr>
            <w:tcW w:w="2179" w:type="pct"/>
            <w:tcBorders>
              <w:tl2br w:val="nil"/>
              <w:tr2bl w:val="nil"/>
            </w:tcBorders>
            <w:noWrap w:val="0"/>
            <w:vAlign w:val="center"/>
          </w:tcPr>
          <w:p w14:paraId="7692EEA0">
            <w:pPr>
              <w:bidi w:val="0"/>
              <w:jc w:val="center"/>
              <w:rPr>
                <w:rFonts w:hint="default" w:ascii="Times New Roman" w:hAnsi="Times New Roman" w:cs="Times New Roman"/>
                <w:lang w:val="en-US" w:eastAsia="zh-CN"/>
              </w:rPr>
            </w:pPr>
            <w:r>
              <w:rPr>
                <w:rFonts w:hint="eastAsia" w:ascii="Times New Roman" w:hAnsi="Times New Roman" w:cs="Times New Roman"/>
                <w:lang w:val="en-US" w:eastAsia="zh-CN"/>
              </w:rPr>
              <w:t>旋风除尘</w:t>
            </w:r>
            <w:r>
              <w:rPr>
                <w:rFonts w:hint="default" w:ascii="Times New Roman" w:hAnsi="Times New Roman" w:cs="Times New Roman"/>
                <w:lang w:val="en-US" w:eastAsia="zh-CN"/>
              </w:rPr>
              <w:t>+布袋除尘+30m排气筒DA001</w:t>
            </w:r>
          </w:p>
        </w:tc>
        <w:tc>
          <w:tcPr>
            <w:tcW w:w="948" w:type="pct"/>
            <w:tcBorders>
              <w:tl2br w:val="nil"/>
              <w:tr2bl w:val="nil"/>
            </w:tcBorders>
            <w:noWrap w:val="0"/>
            <w:vAlign w:val="center"/>
          </w:tcPr>
          <w:p w14:paraId="47263140">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新增</w:t>
            </w:r>
          </w:p>
        </w:tc>
      </w:tr>
      <w:tr w14:paraId="0DF611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395" w:type="pct"/>
            <w:vMerge w:val="continue"/>
            <w:tcBorders>
              <w:tl2br w:val="nil"/>
              <w:tr2bl w:val="nil"/>
            </w:tcBorders>
            <w:noWrap w:val="0"/>
            <w:vAlign w:val="center"/>
          </w:tcPr>
          <w:p w14:paraId="0A77DE63">
            <w:pPr>
              <w:bidi w:val="0"/>
              <w:jc w:val="center"/>
              <w:rPr>
                <w:rFonts w:hint="default" w:ascii="Times New Roman" w:hAnsi="Times New Roman" w:cs="Times New Roman"/>
                <w:lang w:val="en-US" w:eastAsia="zh-CN"/>
              </w:rPr>
            </w:pPr>
          </w:p>
        </w:tc>
        <w:tc>
          <w:tcPr>
            <w:tcW w:w="648" w:type="pct"/>
            <w:vMerge w:val="continue"/>
            <w:tcBorders>
              <w:tl2br w:val="nil"/>
              <w:tr2bl w:val="nil"/>
            </w:tcBorders>
            <w:noWrap w:val="0"/>
            <w:vAlign w:val="center"/>
          </w:tcPr>
          <w:p w14:paraId="7986BCA2">
            <w:pPr>
              <w:bidi w:val="0"/>
              <w:jc w:val="center"/>
              <w:rPr>
                <w:rFonts w:hint="default" w:ascii="Times New Roman" w:hAnsi="Times New Roman" w:cs="Times New Roman"/>
              </w:rPr>
            </w:pPr>
          </w:p>
        </w:tc>
        <w:tc>
          <w:tcPr>
            <w:tcW w:w="321" w:type="pct"/>
            <w:vMerge w:val="continue"/>
            <w:tcBorders>
              <w:tl2br w:val="nil"/>
              <w:tr2bl w:val="nil"/>
            </w:tcBorders>
            <w:noWrap w:val="0"/>
            <w:vAlign w:val="center"/>
          </w:tcPr>
          <w:p w14:paraId="2016D1B5">
            <w:pPr>
              <w:bidi w:val="0"/>
              <w:jc w:val="center"/>
              <w:rPr>
                <w:rFonts w:hint="default" w:ascii="Times New Roman" w:hAnsi="Times New Roman" w:cs="Times New Roman"/>
                <w:lang w:eastAsia="zh-CN"/>
              </w:rPr>
            </w:pPr>
          </w:p>
        </w:tc>
        <w:tc>
          <w:tcPr>
            <w:tcW w:w="506" w:type="pct"/>
            <w:tcBorders>
              <w:tl2br w:val="nil"/>
              <w:tr2bl w:val="nil"/>
            </w:tcBorders>
            <w:noWrap w:val="0"/>
            <w:vAlign w:val="center"/>
          </w:tcPr>
          <w:p w14:paraId="165B6A7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食堂</w:t>
            </w:r>
          </w:p>
          <w:p w14:paraId="5EAC8AFA">
            <w:pPr>
              <w:bidi w:val="0"/>
              <w:jc w:val="center"/>
              <w:rPr>
                <w:rFonts w:hint="default" w:ascii="Times New Roman" w:hAnsi="Times New Roman" w:cs="Times New Roman"/>
                <w:lang w:eastAsia="zh-CN"/>
              </w:rPr>
            </w:pPr>
            <w:r>
              <w:rPr>
                <w:rFonts w:hint="default" w:ascii="Times New Roman" w:hAnsi="Times New Roman" w:cs="Times New Roman"/>
                <w:lang w:val="en-US" w:eastAsia="zh-CN"/>
              </w:rPr>
              <w:t>油烟</w:t>
            </w:r>
          </w:p>
        </w:tc>
        <w:tc>
          <w:tcPr>
            <w:tcW w:w="2179" w:type="pct"/>
            <w:tcBorders>
              <w:tl2br w:val="nil"/>
              <w:tr2bl w:val="nil"/>
            </w:tcBorders>
            <w:noWrap w:val="0"/>
            <w:vAlign w:val="center"/>
          </w:tcPr>
          <w:p w14:paraId="21F309BB">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经油烟净化器处理后，由高于屋顶排气筒排放</w:t>
            </w:r>
          </w:p>
        </w:tc>
        <w:tc>
          <w:tcPr>
            <w:tcW w:w="948" w:type="pct"/>
            <w:tcBorders>
              <w:tl2br w:val="nil"/>
              <w:tr2bl w:val="nil"/>
            </w:tcBorders>
            <w:noWrap w:val="0"/>
            <w:vAlign w:val="center"/>
          </w:tcPr>
          <w:p w14:paraId="1020CEE0">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新增</w:t>
            </w:r>
          </w:p>
        </w:tc>
      </w:tr>
      <w:tr w14:paraId="392A5A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5" w:type="pct"/>
            <w:vMerge w:val="continue"/>
            <w:tcBorders>
              <w:tl2br w:val="nil"/>
              <w:tr2bl w:val="nil"/>
            </w:tcBorders>
            <w:noWrap w:val="0"/>
            <w:vAlign w:val="center"/>
          </w:tcPr>
          <w:p w14:paraId="3FFE19C9">
            <w:pPr>
              <w:bidi w:val="0"/>
              <w:jc w:val="center"/>
              <w:rPr>
                <w:rFonts w:hint="default" w:ascii="Times New Roman" w:hAnsi="Times New Roman" w:cs="Times New Roman"/>
                <w:lang w:val="en-US" w:eastAsia="zh-CN"/>
              </w:rPr>
            </w:pPr>
          </w:p>
        </w:tc>
        <w:tc>
          <w:tcPr>
            <w:tcW w:w="648" w:type="pct"/>
            <w:vMerge w:val="continue"/>
            <w:tcBorders>
              <w:tl2br w:val="nil"/>
              <w:tr2bl w:val="nil"/>
            </w:tcBorders>
            <w:noWrap w:val="0"/>
            <w:vAlign w:val="center"/>
          </w:tcPr>
          <w:p w14:paraId="2D69A95F">
            <w:pPr>
              <w:bidi w:val="0"/>
              <w:jc w:val="center"/>
              <w:rPr>
                <w:rFonts w:hint="default" w:ascii="Times New Roman" w:hAnsi="Times New Roman" w:cs="Times New Roman"/>
              </w:rPr>
            </w:pPr>
          </w:p>
        </w:tc>
        <w:tc>
          <w:tcPr>
            <w:tcW w:w="321" w:type="pct"/>
            <w:vMerge w:val="continue"/>
            <w:tcBorders>
              <w:tl2br w:val="nil"/>
              <w:tr2bl w:val="nil"/>
            </w:tcBorders>
            <w:noWrap w:val="0"/>
            <w:vAlign w:val="center"/>
          </w:tcPr>
          <w:p w14:paraId="1D452F1D">
            <w:pPr>
              <w:bidi w:val="0"/>
              <w:jc w:val="center"/>
              <w:rPr>
                <w:rFonts w:hint="default" w:ascii="Times New Roman" w:hAnsi="Times New Roman" w:cs="Times New Roman"/>
                <w:lang w:eastAsia="zh-CN"/>
              </w:rPr>
            </w:pPr>
          </w:p>
        </w:tc>
        <w:tc>
          <w:tcPr>
            <w:tcW w:w="506" w:type="pct"/>
            <w:tcBorders>
              <w:tl2br w:val="nil"/>
              <w:tr2bl w:val="nil"/>
            </w:tcBorders>
            <w:noWrap w:val="0"/>
            <w:vAlign w:val="center"/>
          </w:tcPr>
          <w:p w14:paraId="587DF64D">
            <w:pPr>
              <w:bidi w:val="0"/>
              <w:jc w:val="center"/>
              <w:rPr>
                <w:rFonts w:hint="default" w:ascii="Times New Roman" w:hAnsi="Times New Roman" w:cs="Times New Roman"/>
                <w:lang w:eastAsia="zh-CN"/>
              </w:rPr>
            </w:pPr>
            <w:r>
              <w:rPr>
                <w:rFonts w:hint="default" w:ascii="Times New Roman" w:hAnsi="Times New Roman" w:cs="Times New Roman"/>
                <w:lang w:val="en-US" w:eastAsia="zh-CN"/>
              </w:rPr>
              <w:t>生产工艺</w:t>
            </w:r>
            <w:r>
              <w:rPr>
                <w:rFonts w:hint="default" w:ascii="Times New Roman" w:hAnsi="Times New Roman" w:cs="Times New Roman"/>
                <w:lang w:eastAsia="zh-CN"/>
              </w:rPr>
              <w:t>异味</w:t>
            </w:r>
          </w:p>
        </w:tc>
        <w:tc>
          <w:tcPr>
            <w:tcW w:w="2179" w:type="pct"/>
            <w:tcBorders>
              <w:tl2br w:val="nil"/>
              <w:tr2bl w:val="nil"/>
            </w:tcBorders>
            <w:noWrap w:val="0"/>
            <w:vAlign w:val="center"/>
          </w:tcPr>
          <w:p w14:paraId="3C386B0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加强车间通风，加强厂区绿化</w:t>
            </w:r>
          </w:p>
        </w:tc>
        <w:tc>
          <w:tcPr>
            <w:tcW w:w="948" w:type="pct"/>
            <w:tcBorders>
              <w:tl2br w:val="nil"/>
              <w:tr2bl w:val="nil"/>
            </w:tcBorders>
            <w:noWrap w:val="0"/>
            <w:vAlign w:val="center"/>
          </w:tcPr>
          <w:p w14:paraId="0B4A227F">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w:t>
            </w:r>
          </w:p>
        </w:tc>
      </w:tr>
      <w:tr w14:paraId="55E883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395" w:type="pct"/>
            <w:vMerge w:val="continue"/>
            <w:tcBorders>
              <w:tl2br w:val="nil"/>
              <w:tr2bl w:val="nil"/>
            </w:tcBorders>
            <w:noWrap w:val="0"/>
            <w:vAlign w:val="center"/>
          </w:tcPr>
          <w:p w14:paraId="5CA2C0EC">
            <w:pPr>
              <w:bidi w:val="0"/>
              <w:jc w:val="center"/>
              <w:rPr>
                <w:rFonts w:hint="default" w:ascii="Times New Roman" w:hAnsi="Times New Roman" w:cs="Times New Roman"/>
                <w:lang w:val="en-US" w:eastAsia="zh-CN"/>
              </w:rPr>
            </w:pPr>
          </w:p>
        </w:tc>
        <w:tc>
          <w:tcPr>
            <w:tcW w:w="648" w:type="pct"/>
            <w:vMerge w:val="continue"/>
            <w:tcBorders>
              <w:tl2br w:val="nil"/>
              <w:tr2bl w:val="nil"/>
            </w:tcBorders>
            <w:noWrap w:val="0"/>
            <w:vAlign w:val="center"/>
          </w:tcPr>
          <w:p w14:paraId="770A1D7C">
            <w:pPr>
              <w:bidi w:val="0"/>
              <w:jc w:val="center"/>
              <w:rPr>
                <w:rFonts w:hint="default" w:ascii="Times New Roman" w:hAnsi="Times New Roman" w:cs="Times New Roman"/>
              </w:rPr>
            </w:pPr>
          </w:p>
        </w:tc>
        <w:tc>
          <w:tcPr>
            <w:tcW w:w="321" w:type="pct"/>
            <w:vMerge w:val="continue"/>
            <w:tcBorders>
              <w:tl2br w:val="nil"/>
              <w:tr2bl w:val="nil"/>
            </w:tcBorders>
            <w:noWrap w:val="0"/>
            <w:vAlign w:val="center"/>
          </w:tcPr>
          <w:p w14:paraId="4D64C37F">
            <w:pPr>
              <w:bidi w:val="0"/>
              <w:jc w:val="center"/>
              <w:rPr>
                <w:rFonts w:hint="default" w:ascii="Times New Roman" w:hAnsi="Times New Roman" w:cs="Times New Roman"/>
                <w:lang w:eastAsia="zh-CN"/>
              </w:rPr>
            </w:pPr>
          </w:p>
        </w:tc>
        <w:tc>
          <w:tcPr>
            <w:tcW w:w="506" w:type="pct"/>
            <w:tcBorders>
              <w:tl2br w:val="nil"/>
              <w:tr2bl w:val="nil"/>
            </w:tcBorders>
            <w:noWrap w:val="0"/>
            <w:vAlign w:val="center"/>
          </w:tcPr>
          <w:p w14:paraId="00CDC15E">
            <w:pPr>
              <w:bidi w:val="0"/>
              <w:jc w:val="center"/>
              <w:rPr>
                <w:rFonts w:hint="default" w:ascii="Times New Roman" w:hAnsi="Times New Roman" w:cs="Times New Roman"/>
                <w:lang w:eastAsia="zh-CN"/>
              </w:rPr>
            </w:pPr>
            <w:r>
              <w:rPr>
                <w:rFonts w:hint="default" w:ascii="Times New Roman" w:hAnsi="Times New Roman" w:cs="Times New Roman"/>
                <w:lang w:val="en-US" w:eastAsia="zh-CN"/>
              </w:rPr>
              <w:t>污水处理设施恶臭</w:t>
            </w:r>
          </w:p>
        </w:tc>
        <w:tc>
          <w:tcPr>
            <w:tcW w:w="2179" w:type="pct"/>
            <w:tcBorders>
              <w:tl2br w:val="nil"/>
              <w:tr2bl w:val="nil"/>
            </w:tcBorders>
            <w:noWrap w:val="0"/>
            <w:vAlign w:val="center"/>
          </w:tcPr>
          <w:p w14:paraId="7880DD85">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污水处理池密闭加盖，定期喷洒除</w:t>
            </w:r>
          </w:p>
          <w:p w14:paraId="550391FC">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臭剂</w:t>
            </w:r>
          </w:p>
        </w:tc>
        <w:tc>
          <w:tcPr>
            <w:tcW w:w="948" w:type="pct"/>
            <w:tcBorders>
              <w:tl2br w:val="nil"/>
              <w:tr2bl w:val="nil"/>
            </w:tcBorders>
            <w:noWrap w:val="0"/>
            <w:vAlign w:val="center"/>
          </w:tcPr>
          <w:p w14:paraId="002B8B0D">
            <w:pPr>
              <w:bidi w:val="0"/>
              <w:jc w:val="center"/>
              <w:rPr>
                <w:rFonts w:hint="default" w:ascii="Times New Roman" w:hAnsi="Times New Roman" w:cs="Times New Roman"/>
                <w:lang w:eastAsia="zh-CN"/>
              </w:rPr>
            </w:pPr>
            <w:r>
              <w:rPr>
                <w:rFonts w:hint="default" w:ascii="Times New Roman" w:hAnsi="Times New Roman" w:cs="Times New Roman"/>
                <w:lang w:val="en-US" w:eastAsia="zh-CN"/>
              </w:rPr>
              <w:t>新增</w:t>
            </w:r>
          </w:p>
        </w:tc>
      </w:tr>
      <w:tr w14:paraId="3A696D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2" w:hRule="atLeast"/>
        </w:trPr>
        <w:tc>
          <w:tcPr>
            <w:tcW w:w="395" w:type="pct"/>
            <w:vMerge w:val="continue"/>
            <w:tcBorders>
              <w:tl2br w:val="nil"/>
              <w:tr2bl w:val="nil"/>
            </w:tcBorders>
            <w:noWrap w:val="0"/>
            <w:vAlign w:val="center"/>
          </w:tcPr>
          <w:p w14:paraId="2B0D80CC">
            <w:pPr>
              <w:bidi w:val="0"/>
              <w:jc w:val="center"/>
              <w:rPr>
                <w:rFonts w:hint="default" w:ascii="Times New Roman" w:hAnsi="Times New Roman" w:cs="Times New Roman"/>
                <w:lang w:val="en-US" w:eastAsia="zh-CN"/>
              </w:rPr>
            </w:pPr>
          </w:p>
        </w:tc>
        <w:tc>
          <w:tcPr>
            <w:tcW w:w="648" w:type="pct"/>
            <w:vMerge w:val="continue"/>
            <w:tcBorders>
              <w:tl2br w:val="nil"/>
              <w:tr2bl w:val="nil"/>
            </w:tcBorders>
            <w:noWrap w:val="0"/>
            <w:vAlign w:val="center"/>
          </w:tcPr>
          <w:p w14:paraId="56ADBD26">
            <w:pPr>
              <w:bidi w:val="0"/>
              <w:jc w:val="center"/>
              <w:rPr>
                <w:rFonts w:hint="default" w:ascii="Times New Roman" w:hAnsi="Times New Roman" w:cs="Times New Roman"/>
              </w:rPr>
            </w:pPr>
          </w:p>
        </w:tc>
        <w:tc>
          <w:tcPr>
            <w:tcW w:w="828" w:type="pct"/>
            <w:gridSpan w:val="2"/>
            <w:tcBorders>
              <w:tl2br w:val="nil"/>
              <w:tr2bl w:val="nil"/>
            </w:tcBorders>
            <w:noWrap w:val="0"/>
            <w:vAlign w:val="center"/>
          </w:tcPr>
          <w:p w14:paraId="33BD9379">
            <w:pPr>
              <w:bidi w:val="0"/>
              <w:jc w:val="center"/>
              <w:rPr>
                <w:rFonts w:hint="default" w:ascii="Times New Roman" w:hAnsi="Times New Roman" w:cs="Times New Roman"/>
                <w:lang w:eastAsia="zh-CN"/>
              </w:rPr>
            </w:pPr>
            <w:r>
              <w:rPr>
                <w:rFonts w:hint="default" w:ascii="Times New Roman" w:hAnsi="Times New Roman" w:cs="Times New Roman"/>
                <w:lang w:eastAsia="zh-CN"/>
              </w:rPr>
              <w:t>废水</w:t>
            </w:r>
          </w:p>
        </w:tc>
        <w:tc>
          <w:tcPr>
            <w:tcW w:w="2179" w:type="pct"/>
            <w:tcBorders>
              <w:tl2br w:val="nil"/>
              <w:tr2bl w:val="nil"/>
            </w:tcBorders>
            <w:noWrap w:val="0"/>
            <w:vAlign w:val="center"/>
          </w:tcPr>
          <w:p w14:paraId="45E652B8">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生活污水</w:t>
            </w:r>
            <w:r>
              <w:rPr>
                <w:rFonts w:hint="default" w:ascii="Times New Roman" w:hAnsi="Times New Roman" w:cs="Times New Roman"/>
                <w:lang w:eastAsia="zh-CN"/>
              </w:rPr>
              <w:t>经</w:t>
            </w:r>
            <w:r>
              <w:rPr>
                <w:rFonts w:hint="default" w:ascii="Times New Roman" w:hAnsi="Times New Roman" w:cs="Times New Roman"/>
                <w:lang w:val="en-US" w:eastAsia="zh-CN"/>
              </w:rPr>
              <w:t>隔油</w:t>
            </w:r>
            <w:r>
              <w:rPr>
                <w:rFonts w:hint="default" w:ascii="Times New Roman" w:hAnsi="Times New Roman" w:cs="Times New Roman"/>
                <w:lang w:eastAsia="zh-CN"/>
              </w:rPr>
              <w:t>化粪池</w:t>
            </w:r>
            <w:r>
              <w:rPr>
                <w:rFonts w:hint="default" w:ascii="Times New Roman" w:hAnsi="Times New Roman" w:cs="Times New Roman"/>
                <w:lang w:val="en-US" w:eastAsia="zh-CN"/>
              </w:rPr>
              <w:t>处理</w:t>
            </w:r>
            <w:r>
              <w:rPr>
                <w:rFonts w:hint="default" w:ascii="Times New Roman" w:hAnsi="Times New Roman" w:cs="Times New Roman"/>
                <w:lang w:eastAsia="zh-CN"/>
              </w:rPr>
              <w:t>后</w:t>
            </w:r>
            <w:r>
              <w:rPr>
                <w:rFonts w:hint="default" w:ascii="Times New Roman" w:hAnsi="Times New Roman" w:cs="Times New Roman"/>
                <w:lang w:val="en-US" w:eastAsia="zh-CN"/>
              </w:rPr>
              <w:t>与生产废水一同进入厂区内污水处理设施处理达标后经自建排水管道排入青山河</w:t>
            </w:r>
          </w:p>
        </w:tc>
        <w:tc>
          <w:tcPr>
            <w:tcW w:w="948" w:type="pct"/>
            <w:tcBorders>
              <w:tl2br w:val="nil"/>
              <w:tr2bl w:val="nil"/>
            </w:tcBorders>
            <w:noWrap w:val="0"/>
            <w:vAlign w:val="center"/>
          </w:tcPr>
          <w:p w14:paraId="4CB8C43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w:t>
            </w:r>
          </w:p>
        </w:tc>
      </w:tr>
      <w:tr w14:paraId="68DD9F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5" w:type="pct"/>
            <w:vMerge w:val="continue"/>
            <w:tcBorders>
              <w:tl2br w:val="nil"/>
              <w:tr2bl w:val="nil"/>
            </w:tcBorders>
            <w:noWrap w:val="0"/>
            <w:vAlign w:val="center"/>
          </w:tcPr>
          <w:p w14:paraId="5D03B285">
            <w:pPr>
              <w:bidi w:val="0"/>
              <w:jc w:val="center"/>
              <w:rPr>
                <w:rFonts w:hint="default" w:ascii="Times New Roman" w:hAnsi="Times New Roman" w:cs="Times New Roman"/>
                <w:lang w:val="en-US" w:eastAsia="zh-CN"/>
              </w:rPr>
            </w:pPr>
          </w:p>
        </w:tc>
        <w:tc>
          <w:tcPr>
            <w:tcW w:w="648" w:type="pct"/>
            <w:vMerge w:val="continue"/>
            <w:tcBorders>
              <w:tl2br w:val="nil"/>
              <w:tr2bl w:val="nil"/>
            </w:tcBorders>
            <w:noWrap w:val="0"/>
            <w:vAlign w:val="center"/>
          </w:tcPr>
          <w:p w14:paraId="6933E159">
            <w:pPr>
              <w:bidi w:val="0"/>
              <w:jc w:val="center"/>
              <w:rPr>
                <w:rFonts w:hint="default" w:ascii="Times New Roman" w:hAnsi="Times New Roman" w:cs="Times New Roman"/>
              </w:rPr>
            </w:pPr>
          </w:p>
        </w:tc>
        <w:tc>
          <w:tcPr>
            <w:tcW w:w="828" w:type="pct"/>
            <w:gridSpan w:val="2"/>
            <w:vMerge w:val="restart"/>
            <w:tcBorders>
              <w:tl2br w:val="nil"/>
              <w:tr2bl w:val="nil"/>
            </w:tcBorders>
            <w:noWrap w:val="0"/>
            <w:vAlign w:val="center"/>
          </w:tcPr>
          <w:p w14:paraId="4D7BED04">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固废</w:t>
            </w:r>
          </w:p>
        </w:tc>
        <w:tc>
          <w:tcPr>
            <w:tcW w:w="2179" w:type="pct"/>
            <w:tcBorders>
              <w:tl2br w:val="nil"/>
              <w:tr2bl w:val="nil"/>
            </w:tcBorders>
            <w:noWrap w:val="0"/>
            <w:vAlign w:val="center"/>
          </w:tcPr>
          <w:p w14:paraId="2A0AE883">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生活垃圾经收集后，交由环卫部门集中处理</w:t>
            </w:r>
          </w:p>
        </w:tc>
        <w:tc>
          <w:tcPr>
            <w:tcW w:w="948" w:type="pct"/>
            <w:tcBorders>
              <w:tl2br w:val="nil"/>
              <w:tr2bl w:val="nil"/>
            </w:tcBorders>
            <w:noWrap w:val="0"/>
            <w:vAlign w:val="center"/>
          </w:tcPr>
          <w:p w14:paraId="6CCF68DC">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w:t>
            </w:r>
          </w:p>
        </w:tc>
      </w:tr>
      <w:tr w14:paraId="064459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5" w:type="pct"/>
            <w:vMerge w:val="continue"/>
            <w:tcBorders>
              <w:tl2br w:val="nil"/>
              <w:tr2bl w:val="nil"/>
            </w:tcBorders>
            <w:noWrap w:val="0"/>
            <w:vAlign w:val="center"/>
          </w:tcPr>
          <w:p w14:paraId="3C906182">
            <w:pPr>
              <w:bidi w:val="0"/>
              <w:jc w:val="center"/>
              <w:rPr>
                <w:rFonts w:hint="default" w:ascii="Times New Roman" w:hAnsi="Times New Roman" w:cs="Times New Roman"/>
                <w:lang w:val="en-US" w:eastAsia="zh-CN"/>
              </w:rPr>
            </w:pPr>
          </w:p>
        </w:tc>
        <w:tc>
          <w:tcPr>
            <w:tcW w:w="648" w:type="pct"/>
            <w:vMerge w:val="continue"/>
            <w:tcBorders>
              <w:tl2br w:val="nil"/>
              <w:tr2bl w:val="nil"/>
            </w:tcBorders>
            <w:noWrap w:val="0"/>
            <w:vAlign w:val="center"/>
          </w:tcPr>
          <w:p w14:paraId="36F3839E">
            <w:pPr>
              <w:bidi w:val="0"/>
              <w:jc w:val="center"/>
              <w:rPr>
                <w:rFonts w:hint="default" w:ascii="Times New Roman" w:hAnsi="Times New Roman" w:cs="Times New Roman"/>
              </w:rPr>
            </w:pPr>
          </w:p>
        </w:tc>
        <w:tc>
          <w:tcPr>
            <w:tcW w:w="828" w:type="pct"/>
            <w:gridSpan w:val="2"/>
            <w:vMerge w:val="continue"/>
            <w:tcBorders>
              <w:tl2br w:val="nil"/>
              <w:tr2bl w:val="nil"/>
            </w:tcBorders>
            <w:noWrap w:val="0"/>
            <w:vAlign w:val="center"/>
          </w:tcPr>
          <w:p w14:paraId="177B24AD">
            <w:pPr>
              <w:bidi w:val="0"/>
              <w:jc w:val="center"/>
              <w:rPr>
                <w:rFonts w:hint="default" w:ascii="Times New Roman" w:hAnsi="Times New Roman" w:cs="Times New Roman"/>
                <w:lang w:eastAsia="zh-CN"/>
              </w:rPr>
            </w:pPr>
          </w:p>
        </w:tc>
        <w:tc>
          <w:tcPr>
            <w:tcW w:w="2179" w:type="pct"/>
            <w:tcBorders>
              <w:tl2br w:val="nil"/>
              <w:tr2bl w:val="nil"/>
            </w:tcBorders>
            <w:noWrap w:val="0"/>
            <w:vAlign w:val="center"/>
          </w:tcPr>
          <w:p w14:paraId="685D1312">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废弃包装材料经收集后，外售废品回收站；槟榔渣、槟榔蒂、槟榔核、不合格品经收集后，由专门的加工企业回收综合利用；灰渣经收集后作为草木灰，用作周边农田施肥；污泥经收集后，交由环卫部门集中处理；</w:t>
            </w:r>
          </w:p>
        </w:tc>
        <w:tc>
          <w:tcPr>
            <w:tcW w:w="948" w:type="pct"/>
            <w:tcBorders>
              <w:tl2br w:val="nil"/>
              <w:tr2bl w:val="nil"/>
            </w:tcBorders>
            <w:noWrap w:val="0"/>
            <w:vAlign w:val="center"/>
          </w:tcPr>
          <w:p w14:paraId="101AAEEF">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w:t>
            </w:r>
          </w:p>
        </w:tc>
      </w:tr>
      <w:tr w14:paraId="284143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5" w:type="pct"/>
            <w:vMerge w:val="continue"/>
            <w:tcBorders>
              <w:tl2br w:val="nil"/>
              <w:tr2bl w:val="nil"/>
            </w:tcBorders>
            <w:noWrap w:val="0"/>
            <w:vAlign w:val="center"/>
          </w:tcPr>
          <w:p w14:paraId="688D0EA0">
            <w:pPr>
              <w:bidi w:val="0"/>
              <w:jc w:val="center"/>
              <w:rPr>
                <w:rFonts w:hint="default" w:ascii="Times New Roman" w:hAnsi="Times New Roman" w:cs="Times New Roman"/>
                <w:lang w:val="en-US" w:eastAsia="zh-CN"/>
              </w:rPr>
            </w:pPr>
          </w:p>
        </w:tc>
        <w:tc>
          <w:tcPr>
            <w:tcW w:w="648" w:type="pct"/>
            <w:vMerge w:val="continue"/>
            <w:tcBorders>
              <w:tl2br w:val="nil"/>
              <w:tr2bl w:val="nil"/>
            </w:tcBorders>
            <w:noWrap w:val="0"/>
            <w:vAlign w:val="center"/>
          </w:tcPr>
          <w:p w14:paraId="1CE4EDC4">
            <w:pPr>
              <w:bidi w:val="0"/>
              <w:jc w:val="center"/>
              <w:rPr>
                <w:rFonts w:hint="default" w:ascii="Times New Roman" w:hAnsi="Times New Roman" w:cs="Times New Roman"/>
              </w:rPr>
            </w:pPr>
          </w:p>
        </w:tc>
        <w:tc>
          <w:tcPr>
            <w:tcW w:w="828" w:type="pct"/>
            <w:gridSpan w:val="2"/>
            <w:tcBorders>
              <w:tl2br w:val="nil"/>
              <w:tr2bl w:val="nil"/>
            </w:tcBorders>
            <w:noWrap w:val="0"/>
            <w:vAlign w:val="center"/>
          </w:tcPr>
          <w:p w14:paraId="66B1076A">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噪声</w:t>
            </w:r>
          </w:p>
        </w:tc>
        <w:tc>
          <w:tcPr>
            <w:tcW w:w="2179" w:type="pct"/>
            <w:tcBorders>
              <w:tl2br w:val="nil"/>
              <w:tr2bl w:val="nil"/>
            </w:tcBorders>
            <w:noWrap w:val="0"/>
            <w:vAlign w:val="center"/>
          </w:tcPr>
          <w:p w14:paraId="22DEFB04">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基础减振、厂房隔声</w:t>
            </w:r>
          </w:p>
        </w:tc>
        <w:tc>
          <w:tcPr>
            <w:tcW w:w="948" w:type="pct"/>
            <w:tcBorders>
              <w:tl2br w:val="nil"/>
              <w:tr2bl w:val="nil"/>
            </w:tcBorders>
            <w:noWrap w:val="0"/>
            <w:vAlign w:val="center"/>
          </w:tcPr>
          <w:p w14:paraId="00FC16B6">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w:t>
            </w:r>
          </w:p>
        </w:tc>
      </w:tr>
    </w:tbl>
    <w:p w14:paraId="2DCD105C">
      <w:pPr>
        <w:keepNext w:val="0"/>
        <w:keepLines w:val="0"/>
        <w:pageBreakBefore w:val="0"/>
        <w:wordWrap/>
        <w:overflowPunct/>
        <w:topLinePunct w:val="0"/>
        <w:bidi w:val="0"/>
        <w:adjustRightInd w:val="0"/>
        <w:snapToGrid w:val="0"/>
        <w:spacing w:line="360" w:lineRule="auto"/>
        <w:ind w:left="0"/>
        <w:jc w:val="both"/>
        <w:outlineLvl w:val="2"/>
        <w:rPr>
          <w:rFonts w:hint="default" w:ascii="Times New Roman" w:hAnsi="Times New Roman" w:eastAsia="宋体" w:cs="Times New Roman"/>
          <w:b/>
          <w:bCs/>
          <w:spacing w:val="-2"/>
          <w:sz w:val="24"/>
          <w:szCs w:val="24"/>
          <w:lang w:eastAsia="zh-CN"/>
        </w:rPr>
      </w:pPr>
      <w:r>
        <w:rPr>
          <w:rFonts w:hint="eastAsia" w:ascii="Times New Roman" w:hAnsi="Times New Roman" w:eastAsia="宋体" w:cs="Times New Roman"/>
          <w:b/>
          <w:bCs/>
          <w:spacing w:val="-2"/>
          <w:sz w:val="24"/>
          <w:szCs w:val="24"/>
          <w:lang w:val="en-US" w:eastAsia="zh-CN"/>
        </w:rPr>
        <w:t>3</w:t>
      </w:r>
      <w:r>
        <w:rPr>
          <w:rFonts w:hint="default" w:ascii="Times New Roman" w:hAnsi="Times New Roman" w:eastAsia="宋体" w:cs="Times New Roman"/>
          <w:b/>
          <w:bCs/>
          <w:spacing w:val="-2"/>
          <w:sz w:val="24"/>
          <w:szCs w:val="24"/>
          <w:lang w:eastAsia="zh-CN"/>
        </w:rPr>
        <w:t>.1.3项目主要原辅材料及能耗</w:t>
      </w:r>
      <w:bookmarkEnd w:id="42"/>
      <w:bookmarkEnd w:id="43"/>
      <w:bookmarkEnd w:id="44"/>
    </w:p>
    <w:p w14:paraId="01270BEA">
      <w:pPr>
        <w:keepNext w:val="0"/>
        <w:keepLines w:val="0"/>
        <w:pageBreakBefore w:val="0"/>
        <w:widowControl w:val="0"/>
        <w:tabs>
          <w:tab w:val="left" w:pos="3240"/>
        </w:tabs>
        <w:kinsoku/>
        <w:wordWrap/>
        <w:overflowPunct/>
        <w:topLinePunct w:val="0"/>
        <w:autoSpaceDE/>
        <w:autoSpaceDN/>
        <w:bidi w:val="0"/>
        <w:adjustRightInd w:val="0"/>
        <w:snapToGrid w:val="0"/>
        <w:spacing w:line="360" w:lineRule="auto"/>
        <w:ind w:left="0" w:firstLine="480" w:firstLineChars="200"/>
        <w:jc w:val="both"/>
        <w:textAlignment w:val="auto"/>
        <w:rPr>
          <w:rFonts w:ascii="Times New Roman" w:hAnsi="Times New Roman" w:eastAsia="宋体" w:cs="Times New Roman"/>
          <w:sz w:val="24"/>
          <w:lang w:eastAsia="zh-CN"/>
        </w:rPr>
      </w:pPr>
      <w:r>
        <w:rPr>
          <w:rFonts w:ascii="Times New Roman" w:hAnsi="Times New Roman" w:eastAsia="宋体" w:cs="Times New Roman"/>
          <w:sz w:val="24"/>
          <w:lang w:eastAsia="zh-CN"/>
        </w:rPr>
        <w:t>主要原辅材料及能耗详见下表。</w:t>
      </w:r>
    </w:p>
    <w:p w14:paraId="37CB5DD9">
      <w:pPr>
        <w:keepNext w:val="0"/>
        <w:keepLines w:val="0"/>
        <w:pageBreakBefore w:val="0"/>
        <w:widowControl w:val="0"/>
        <w:tabs>
          <w:tab w:val="left" w:pos="3240"/>
        </w:tabs>
        <w:kinsoku/>
        <w:wordWrap/>
        <w:overflowPunct/>
        <w:topLinePunct w:val="0"/>
        <w:autoSpaceDE/>
        <w:autoSpaceDN/>
        <w:bidi w:val="0"/>
        <w:adjustRightInd w:val="0"/>
        <w:snapToGrid w:val="0"/>
        <w:spacing w:line="240" w:lineRule="auto"/>
        <w:ind w:left="0"/>
        <w:jc w:val="center"/>
        <w:textAlignment w:val="auto"/>
        <w:rPr>
          <w:rFonts w:ascii="Times New Roman" w:hAnsi="Times New Roman" w:eastAsia="宋体" w:cs="Times New Roman"/>
          <w:b/>
          <w:color w:val="auto"/>
          <w:lang w:eastAsia="zh-CN"/>
        </w:rPr>
      </w:pPr>
      <w:bookmarkStart w:id="45" w:name="_Toc3240"/>
      <w:bookmarkStart w:id="46" w:name="_Toc9818"/>
      <w:bookmarkStart w:id="47" w:name="_Toc1872"/>
      <w:r>
        <w:rPr>
          <w:rStyle w:val="33"/>
          <w:rFonts w:ascii="Times New Roman" w:hAnsi="Times New Roman" w:eastAsia="宋体" w:cs="Times New Roman"/>
          <w:color w:val="auto"/>
          <w:lang w:eastAsia="zh-CN"/>
        </w:rPr>
        <w:t>表3.1-2 原辅材料及动力消耗情况一览表</w:t>
      </w:r>
      <w:bookmarkEnd w:id="45"/>
      <w:bookmarkEnd w:id="46"/>
      <w:bookmarkEnd w:id="47"/>
    </w:p>
    <w:tbl>
      <w:tblPr>
        <w:tblStyle w:val="25"/>
        <w:tblW w:w="8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1229"/>
        <w:gridCol w:w="1157"/>
        <w:gridCol w:w="1137"/>
        <w:gridCol w:w="1389"/>
        <w:gridCol w:w="786"/>
        <w:gridCol w:w="2094"/>
      </w:tblGrid>
      <w:tr w14:paraId="2DD5C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exact"/>
        </w:trPr>
        <w:tc>
          <w:tcPr>
            <w:tcW w:w="613" w:type="dxa"/>
            <w:vMerge w:val="restart"/>
            <w:vAlign w:val="center"/>
          </w:tcPr>
          <w:p w14:paraId="1AB3A4C1">
            <w:pPr>
              <w:bidi w:val="0"/>
              <w:jc w:val="cente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pPr>
            <w:bookmarkStart w:id="48" w:name="_Toc20398"/>
            <w:bookmarkStart w:id="49" w:name="_Toc18908"/>
            <w:bookmarkStart w:id="50" w:name="_Toc13204"/>
            <w: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t>序号</w:t>
            </w:r>
          </w:p>
        </w:tc>
        <w:tc>
          <w:tcPr>
            <w:tcW w:w="1229" w:type="dxa"/>
            <w:vMerge w:val="restart"/>
            <w:vAlign w:val="center"/>
          </w:tcPr>
          <w:p w14:paraId="5FB58C02">
            <w:pPr>
              <w:bidi w:val="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t>材料名称</w:t>
            </w:r>
          </w:p>
        </w:tc>
        <w:tc>
          <w:tcPr>
            <w:tcW w:w="1157" w:type="dxa"/>
            <w:vMerge w:val="restart"/>
            <w:vAlign w:val="center"/>
          </w:tcPr>
          <w:p w14:paraId="7EF17713">
            <w:pPr>
              <w:bidi w:val="0"/>
              <w:jc w:val="cente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t>现有工程</w:t>
            </w:r>
          </w:p>
          <w:p w14:paraId="3F8353BD">
            <w:pPr>
              <w:bidi w:val="0"/>
              <w:jc w:val="center"/>
              <w:rPr>
                <w:rFonts w:hint="default" w:ascii="Times New Roman" w:hAnsi="Times New Roman" w:cs="Times New Roman"/>
                <w:b/>
                <w:bCs/>
                <w:color w:val="000000" w:themeColor="text1"/>
                <w:sz w:val="21"/>
                <w:szCs w:val="21"/>
                <w:u w:val="none" w:color="auto"/>
                <w:lang w:val="en-US"/>
                <w14:textFill>
                  <w14:solidFill>
                    <w14:schemeClr w14:val="tx1"/>
                  </w14:solidFill>
                </w14:textFill>
              </w:rPr>
            </w:pPr>
            <w: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t>用量t/a</w:t>
            </w:r>
          </w:p>
        </w:tc>
        <w:tc>
          <w:tcPr>
            <w:tcW w:w="2526" w:type="dxa"/>
            <w:gridSpan w:val="2"/>
            <w:vAlign w:val="center"/>
          </w:tcPr>
          <w:p w14:paraId="7C93029A">
            <w:pPr>
              <w:bidi w:val="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t>技改后全厂用量</w:t>
            </w:r>
          </w:p>
        </w:tc>
        <w:tc>
          <w:tcPr>
            <w:tcW w:w="786" w:type="dxa"/>
            <w:vMerge w:val="restart"/>
            <w:vAlign w:val="center"/>
          </w:tcPr>
          <w:p w14:paraId="2EE9B61E">
            <w:pPr>
              <w:bidi w:val="0"/>
              <w:jc w:val="cente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t>变化量</w:t>
            </w:r>
          </w:p>
        </w:tc>
        <w:tc>
          <w:tcPr>
            <w:tcW w:w="2094" w:type="dxa"/>
            <w:vMerge w:val="restart"/>
            <w:vAlign w:val="center"/>
          </w:tcPr>
          <w:p w14:paraId="57F47758">
            <w:pPr>
              <w:bidi w:val="0"/>
              <w:jc w:val="center"/>
              <w:rPr>
                <w:rFonts w:hint="default" w:ascii="Times New Roman" w:hAnsi="Times New Roman" w:eastAsia="宋体" w:cs="Times New Roman"/>
                <w:b/>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t>备注</w:t>
            </w:r>
          </w:p>
        </w:tc>
      </w:tr>
      <w:tr w14:paraId="304F3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exact"/>
        </w:trPr>
        <w:tc>
          <w:tcPr>
            <w:tcW w:w="613" w:type="dxa"/>
            <w:vMerge w:val="continue"/>
            <w:vAlign w:val="center"/>
          </w:tcPr>
          <w:p w14:paraId="307499AA">
            <w:pPr>
              <w:bidi w:val="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p>
        </w:tc>
        <w:tc>
          <w:tcPr>
            <w:tcW w:w="1229" w:type="dxa"/>
            <w:vMerge w:val="continue"/>
            <w:vAlign w:val="center"/>
          </w:tcPr>
          <w:p w14:paraId="6FE19560">
            <w:pPr>
              <w:bidi w:val="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p>
        </w:tc>
        <w:tc>
          <w:tcPr>
            <w:tcW w:w="1157" w:type="dxa"/>
            <w:vMerge w:val="continue"/>
            <w:vAlign w:val="center"/>
          </w:tcPr>
          <w:p w14:paraId="0F63777F">
            <w:pPr>
              <w:bidi w:val="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p>
        </w:tc>
        <w:tc>
          <w:tcPr>
            <w:tcW w:w="1137" w:type="dxa"/>
            <w:vAlign w:val="center"/>
          </w:tcPr>
          <w:p w14:paraId="66D45C29">
            <w:pPr>
              <w:bidi w:val="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t>年用量t/a</w:t>
            </w:r>
          </w:p>
        </w:tc>
        <w:tc>
          <w:tcPr>
            <w:tcW w:w="1389" w:type="dxa"/>
            <w:vAlign w:val="center"/>
          </w:tcPr>
          <w:p w14:paraId="10754E9A">
            <w:pPr>
              <w:bidi w:val="0"/>
              <w:jc w:val="center"/>
              <w:rPr>
                <w:rFonts w:hint="default" w:ascii="Times New Roman" w:hAnsi="Times New Roman" w:cs="Times New Roman"/>
                <w:b/>
                <w:bCs/>
                <w:color w:val="000000" w:themeColor="text1"/>
                <w:sz w:val="21"/>
                <w:szCs w:val="21"/>
                <w:u w:val="none" w:color="auto"/>
                <w:lang w:val="en-US"/>
                <w14:textFill>
                  <w14:solidFill>
                    <w14:schemeClr w14:val="tx1"/>
                  </w14:solidFill>
                </w14:textFill>
              </w:rPr>
            </w:pPr>
            <w: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t>最大暂存量t</w:t>
            </w:r>
          </w:p>
        </w:tc>
        <w:tc>
          <w:tcPr>
            <w:tcW w:w="786" w:type="dxa"/>
            <w:vMerge w:val="continue"/>
            <w:vAlign w:val="center"/>
          </w:tcPr>
          <w:p w14:paraId="22D867D6">
            <w:pPr>
              <w:bidi w:val="0"/>
              <w:jc w:val="cente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pPr>
          </w:p>
        </w:tc>
        <w:tc>
          <w:tcPr>
            <w:tcW w:w="2094" w:type="dxa"/>
            <w:vMerge w:val="continue"/>
            <w:vAlign w:val="center"/>
          </w:tcPr>
          <w:p w14:paraId="1BABFF97">
            <w:pPr>
              <w:pStyle w:val="22"/>
              <w:spacing w:before="0" w:beforeLines="0" w:line="276" w:lineRule="auto"/>
              <w:jc w:val="center"/>
              <w:rPr>
                <w:rFonts w:hint="default" w:ascii="Times New Roman" w:hAnsi="Times New Roman" w:eastAsia="宋体" w:cs="Times New Roman"/>
                <w:b/>
                <w:color w:val="000000" w:themeColor="text1"/>
                <w:sz w:val="21"/>
                <w:szCs w:val="21"/>
                <w:highlight w:val="none"/>
                <w:u w:val="none" w:color="auto"/>
                <w:vertAlign w:val="baseline"/>
                <w14:textFill>
                  <w14:solidFill>
                    <w14:schemeClr w14:val="tx1"/>
                  </w14:solidFill>
                </w14:textFill>
              </w:rPr>
            </w:pPr>
          </w:p>
        </w:tc>
      </w:tr>
      <w:tr w14:paraId="6D319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8405" w:type="dxa"/>
            <w:gridSpan w:val="7"/>
            <w:vAlign w:val="center"/>
          </w:tcPr>
          <w:p w14:paraId="37EED65F">
            <w:pPr>
              <w:pStyle w:val="22"/>
              <w:spacing w:before="0" w:beforeLines="0" w:line="276" w:lineRule="auto"/>
              <w:ind w:left="0" w:leftChars="0" w:firstLine="0" w:firstLineChars="0"/>
              <w:jc w:val="center"/>
              <w:rPr>
                <w:rFonts w:hint="default" w:ascii="Times New Roman" w:hAnsi="Times New Roman" w:eastAsia="宋体" w:cs="Times New Roman"/>
                <w:b/>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bCs w:val="0"/>
                <w:color w:val="000000" w:themeColor="text1"/>
                <w:sz w:val="21"/>
                <w:szCs w:val="21"/>
                <w:highlight w:val="none"/>
                <w:u w:val="none" w:color="auto"/>
                <w:vertAlign w:val="baseline"/>
                <w:lang w:val="en-US" w:eastAsia="zh-CN"/>
                <w14:textFill>
                  <w14:solidFill>
                    <w14:schemeClr w14:val="tx1"/>
                  </w14:solidFill>
                </w14:textFill>
              </w:rPr>
              <w:t>生产线</w:t>
            </w:r>
          </w:p>
        </w:tc>
      </w:tr>
      <w:tr w14:paraId="22F79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7" w:hRule="exact"/>
        </w:trPr>
        <w:tc>
          <w:tcPr>
            <w:tcW w:w="613" w:type="dxa"/>
            <w:vAlign w:val="center"/>
          </w:tcPr>
          <w:p w14:paraId="14038BA6">
            <w:pPr>
              <w:pStyle w:val="66"/>
              <w:jc w:val="center"/>
              <w:rPr>
                <w:rFonts w:hint="default" w:ascii="Times New Roman" w:hAnsi="Times New Roman" w:eastAsia="宋体" w:cs="Times New Roman"/>
                <w:b/>
                <w:color w:val="000000" w:themeColor="text1"/>
                <w:sz w:val="21"/>
                <w:szCs w:val="21"/>
                <w:highlight w:val="none"/>
                <w:u w:val="none" w:color="auto"/>
                <w:vertAlign w:val="baseline"/>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w:t>
            </w:r>
          </w:p>
        </w:tc>
        <w:tc>
          <w:tcPr>
            <w:tcW w:w="1229" w:type="dxa"/>
            <w:vAlign w:val="center"/>
          </w:tcPr>
          <w:p w14:paraId="779A200C">
            <w:pPr>
              <w:snapToGrid w:val="0"/>
              <w:jc w:val="center"/>
              <w:rPr>
                <w:rFonts w:hint="default" w:ascii="Times New Roman" w:hAnsi="Times New Roman" w:eastAsia="宋体" w:cs="Times New Roman"/>
                <w:b/>
                <w:color w:val="000000" w:themeColor="text1"/>
                <w:sz w:val="21"/>
                <w:szCs w:val="21"/>
                <w:highlight w:val="none"/>
                <w:u w:val="none" w:color="auto"/>
                <w:vertAlign w:val="baseline"/>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槟榔干果</w:t>
            </w:r>
          </w:p>
        </w:tc>
        <w:tc>
          <w:tcPr>
            <w:tcW w:w="1157" w:type="dxa"/>
            <w:vAlign w:val="center"/>
          </w:tcPr>
          <w:p w14:paraId="391BC0F0">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w:t>
            </w:r>
          </w:p>
        </w:tc>
        <w:tc>
          <w:tcPr>
            <w:tcW w:w="1137" w:type="dxa"/>
            <w:vAlign w:val="center"/>
          </w:tcPr>
          <w:p w14:paraId="5FFA2DA2">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250</w:t>
            </w:r>
          </w:p>
        </w:tc>
        <w:tc>
          <w:tcPr>
            <w:tcW w:w="1389" w:type="dxa"/>
            <w:vAlign w:val="center"/>
          </w:tcPr>
          <w:p w14:paraId="3D97C122">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25</w:t>
            </w:r>
          </w:p>
        </w:tc>
        <w:tc>
          <w:tcPr>
            <w:tcW w:w="786" w:type="dxa"/>
            <w:vAlign w:val="center"/>
          </w:tcPr>
          <w:p w14:paraId="7C57B7A4">
            <w:pPr>
              <w:spacing w:before="0" w:beforeLines="0" w:line="276" w:lineRule="auto"/>
              <w:jc w:val="center"/>
              <w:rPr>
                <w:rFonts w:hint="default" w:ascii="Times New Roman" w:hAnsi="Times New Roman" w:eastAsia="宋体" w:cs="Times New Roman"/>
                <w:b/>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+250</w:t>
            </w:r>
          </w:p>
        </w:tc>
        <w:tc>
          <w:tcPr>
            <w:tcW w:w="2094" w:type="dxa"/>
            <w:vAlign w:val="center"/>
          </w:tcPr>
          <w:p w14:paraId="14977627">
            <w:pPr>
              <w:snapToGrid w:val="0"/>
              <w:jc w:val="cente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本项目拟进行槟榔全套生产线加工生产，不再进行代加工，因此原料为槟榔干果，含水率约20%</w:t>
            </w:r>
          </w:p>
        </w:tc>
      </w:tr>
      <w:tr w14:paraId="7EA89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8" w:hRule="exact"/>
        </w:trPr>
        <w:tc>
          <w:tcPr>
            <w:tcW w:w="613" w:type="dxa"/>
            <w:vAlign w:val="center"/>
          </w:tcPr>
          <w:p w14:paraId="7D50238A">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i w:val="0"/>
                <w:iCs w:val="0"/>
                <w:color w:val="000000" w:themeColor="text1"/>
                <w:kern w:val="0"/>
                <w:sz w:val="21"/>
                <w:szCs w:val="21"/>
                <w:u w:val="none" w:color="auto"/>
                <w:lang w:val="en-US" w:eastAsia="zh-CN" w:bidi="ar-SA"/>
                <w14:textFill>
                  <w14:solidFill>
                    <w14:schemeClr w14:val="tx1"/>
                  </w14:solidFill>
                </w14:textFill>
              </w:rPr>
              <w:t>2</w:t>
            </w:r>
          </w:p>
        </w:tc>
        <w:tc>
          <w:tcPr>
            <w:tcW w:w="1229" w:type="dxa"/>
            <w:vAlign w:val="center"/>
          </w:tcPr>
          <w:p w14:paraId="6EAA4FAF">
            <w:pPr>
              <w:snapToGrid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槟榔半</w:t>
            </w:r>
          </w:p>
          <w:p w14:paraId="2AB00C93">
            <w:pPr>
              <w:snapToGrid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成品</w:t>
            </w:r>
          </w:p>
        </w:tc>
        <w:tc>
          <w:tcPr>
            <w:tcW w:w="1157" w:type="dxa"/>
            <w:vAlign w:val="center"/>
          </w:tcPr>
          <w:p w14:paraId="7509D928">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250</w:t>
            </w:r>
          </w:p>
        </w:tc>
        <w:tc>
          <w:tcPr>
            <w:tcW w:w="1137" w:type="dxa"/>
            <w:vAlign w:val="center"/>
          </w:tcPr>
          <w:p w14:paraId="58EFAB8B">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w:t>
            </w:r>
          </w:p>
        </w:tc>
        <w:tc>
          <w:tcPr>
            <w:tcW w:w="1389" w:type="dxa"/>
            <w:vAlign w:val="center"/>
          </w:tcPr>
          <w:p w14:paraId="3E0F0882">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w:t>
            </w:r>
          </w:p>
        </w:tc>
        <w:tc>
          <w:tcPr>
            <w:tcW w:w="786" w:type="dxa"/>
            <w:vAlign w:val="center"/>
          </w:tcPr>
          <w:p w14:paraId="6A49015A">
            <w:pPr>
              <w:spacing w:before="0" w:beforeLines="0" w:line="276" w:lineRule="auto"/>
              <w:jc w:val="center"/>
              <w:rPr>
                <w:rFonts w:hint="default" w:ascii="Times New Roman" w:hAnsi="Times New Roman" w:eastAsia="宋体" w:cs="Times New Roman"/>
                <w:b/>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-250</w:t>
            </w:r>
          </w:p>
        </w:tc>
        <w:tc>
          <w:tcPr>
            <w:tcW w:w="2094" w:type="dxa"/>
            <w:vAlign w:val="center"/>
          </w:tcPr>
          <w:p w14:paraId="647995E0">
            <w:pPr>
              <w:snapToGrid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长圆形（已由委托公司进行前端分选、清洗（煮沸）、烘烤、上表（胶）皮等工序加工完成的半成品槟榔</w:t>
            </w:r>
          </w:p>
        </w:tc>
      </w:tr>
      <w:tr w14:paraId="0FA12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exact"/>
        </w:trPr>
        <w:tc>
          <w:tcPr>
            <w:tcW w:w="613" w:type="dxa"/>
            <w:vAlign w:val="center"/>
          </w:tcPr>
          <w:p w14:paraId="562F487D">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3</w:t>
            </w:r>
          </w:p>
        </w:tc>
        <w:tc>
          <w:tcPr>
            <w:tcW w:w="1229" w:type="dxa"/>
            <w:vAlign w:val="center"/>
          </w:tcPr>
          <w:p w14:paraId="6D06A112">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白糖</w:t>
            </w:r>
          </w:p>
        </w:tc>
        <w:tc>
          <w:tcPr>
            <w:tcW w:w="1157" w:type="dxa"/>
            <w:vAlign w:val="center"/>
          </w:tcPr>
          <w:p w14:paraId="0BDF1348">
            <w:pPr>
              <w:bidi w:val="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w:t>
            </w:r>
          </w:p>
        </w:tc>
        <w:tc>
          <w:tcPr>
            <w:tcW w:w="1137" w:type="dxa"/>
            <w:vAlign w:val="center"/>
          </w:tcPr>
          <w:p w14:paraId="4199BC59">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25</w:t>
            </w:r>
          </w:p>
        </w:tc>
        <w:tc>
          <w:tcPr>
            <w:tcW w:w="1389" w:type="dxa"/>
            <w:vAlign w:val="center"/>
          </w:tcPr>
          <w:p w14:paraId="35BF88DD">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2.5</w:t>
            </w:r>
          </w:p>
        </w:tc>
        <w:tc>
          <w:tcPr>
            <w:tcW w:w="786" w:type="dxa"/>
            <w:vAlign w:val="center"/>
          </w:tcPr>
          <w:p w14:paraId="0E5FE8E9">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+25</w:t>
            </w:r>
          </w:p>
        </w:tc>
        <w:tc>
          <w:tcPr>
            <w:tcW w:w="2094" w:type="dxa"/>
            <w:vAlign w:val="center"/>
          </w:tcPr>
          <w:p w14:paraId="19ACAA22">
            <w:pPr>
              <w:bidi w:val="0"/>
              <w:jc w:val="center"/>
              <w:rPr>
                <w:rFonts w:hint="default" w:ascii="Times New Roman" w:hAnsi="Times New Roman" w:eastAsia="宋体" w:cs="Times New Roman"/>
                <w:b/>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袋装，10kg/袋，用于提供基础甜味</w:t>
            </w:r>
          </w:p>
        </w:tc>
      </w:tr>
      <w:tr w14:paraId="06EE5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exact"/>
        </w:trPr>
        <w:tc>
          <w:tcPr>
            <w:tcW w:w="613" w:type="dxa"/>
            <w:vAlign w:val="center"/>
          </w:tcPr>
          <w:p w14:paraId="2C3EEC43">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4</w:t>
            </w:r>
          </w:p>
        </w:tc>
        <w:tc>
          <w:tcPr>
            <w:tcW w:w="1229" w:type="dxa"/>
            <w:vAlign w:val="center"/>
          </w:tcPr>
          <w:p w14:paraId="1C1E9A02">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饴糖</w:t>
            </w:r>
          </w:p>
        </w:tc>
        <w:tc>
          <w:tcPr>
            <w:tcW w:w="1157" w:type="dxa"/>
            <w:vAlign w:val="center"/>
          </w:tcPr>
          <w:p w14:paraId="6E770369">
            <w:pPr>
              <w:bidi w:val="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w:t>
            </w:r>
          </w:p>
        </w:tc>
        <w:tc>
          <w:tcPr>
            <w:tcW w:w="1137" w:type="dxa"/>
            <w:vAlign w:val="center"/>
          </w:tcPr>
          <w:p w14:paraId="763EC66B">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10</w:t>
            </w:r>
          </w:p>
        </w:tc>
        <w:tc>
          <w:tcPr>
            <w:tcW w:w="1389" w:type="dxa"/>
            <w:vAlign w:val="center"/>
          </w:tcPr>
          <w:p w14:paraId="00A34244">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1</w:t>
            </w:r>
          </w:p>
        </w:tc>
        <w:tc>
          <w:tcPr>
            <w:tcW w:w="786" w:type="dxa"/>
            <w:vAlign w:val="center"/>
          </w:tcPr>
          <w:p w14:paraId="396F5012">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+10</w:t>
            </w:r>
          </w:p>
        </w:tc>
        <w:tc>
          <w:tcPr>
            <w:tcW w:w="2094" w:type="dxa"/>
            <w:vAlign w:val="center"/>
          </w:tcPr>
          <w:p w14:paraId="6A828922">
            <w:pPr>
              <w:bidi w:val="0"/>
              <w:jc w:val="center"/>
              <w:rPr>
                <w:rFonts w:hint="default" w:ascii="Times New Roman" w:hAnsi="Times New Roman" w:eastAsia="宋体" w:cs="Times New Roman"/>
                <w:b/>
                <w:color w:val="000000" w:themeColor="text1"/>
                <w:sz w:val="21"/>
                <w:szCs w:val="21"/>
                <w:highlight w:val="none"/>
                <w:u w:val="none" w:color="auto"/>
                <w:vertAlign w:val="baseline"/>
                <w:lang w:val="en-US"/>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桶装，10kg/桶，作为甜味剂和增稠剂，改善槟榔口感</w:t>
            </w:r>
          </w:p>
        </w:tc>
      </w:tr>
      <w:tr w14:paraId="42B1E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613" w:type="dxa"/>
            <w:vAlign w:val="center"/>
          </w:tcPr>
          <w:p w14:paraId="0BC56FAD">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5</w:t>
            </w:r>
          </w:p>
        </w:tc>
        <w:tc>
          <w:tcPr>
            <w:tcW w:w="1229" w:type="dxa"/>
            <w:vAlign w:val="center"/>
          </w:tcPr>
          <w:p w14:paraId="6AE45692">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三氯蔗糖</w:t>
            </w:r>
          </w:p>
        </w:tc>
        <w:tc>
          <w:tcPr>
            <w:tcW w:w="1157" w:type="dxa"/>
            <w:vAlign w:val="center"/>
          </w:tcPr>
          <w:p w14:paraId="3B40574B">
            <w:pPr>
              <w:bidi w:val="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w:t>
            </w:r>
          </w:p>
        </w:tc>
        <w:tc>
          <w:tcPr>
            <w:tcW w:w="1137" w:type="dxa"/>
            <w:vAlign w:val="center"/>
          </w:tcPr>
          <w:p w14:paraId="6372D93A">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0.05</w:t>
            </w:r>
          </w:p>
        </w:tc>
        <w:tc>
          <w:tcPr>
            <w:tcW w:w="1389" w:type="dxa"/>
            <w:vAlign w:val="center"/>
          </w:tcPr>
          <w:p w14:paraId="50902101">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0.05</w:t>
            </w:r>
          </w:p>
        </w:tc>
        <w:tc>
          <w:tcPr>
            <w:tcW w:w="786" w:type="dxa"/>
            <w:vAlign w:val="center"/>
          </w:tcPr>
          <w:p w14:paraId="56B9D221">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+0.05</w:t>
            </w:r>
          </w:p>
        </w:tc>
        <w:tc>
          <w:tcPr>
            <w:tcW w:w="2094" w:type="dxa"/>
            <w:vAlign w:val="center"/>
          </w:tcPr>
          <w:p w14:paraId="5CB198DC">
            <w:pPr>
              <w:bidi w:val="0"/>
              <w:jc w:val="center"/>
              <w:rPr>
                <w:rFonts w:hint="default" w:ascii="Times New Roman" w:hAnsi="Times New Roman" w:eastAsia="宋体" w:cs="Times New Roman"/>
                <w:b/>
                <w:color w:val="000000" w:themeColor="text1"/>
                <w:sz w:val="21"/>
                <w:szCs w:val="21"/>
                <w:highlight w:val="none"/>
                <w:u w:val="none" w:color="auto"/>
                <w:vertAlign w:val="baseline"/>
                <w:lang w:val="en-US"/>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箱装，10kg/箱，高倍甜味剂</w:t>
            </w:r>
          </w:p>
        </w:tc>
      </w:tr>
      <w:tr w14:paraId="626D5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exact"/>
        </w:trPr>
        <w:tc>
          <w:tcPr>
            <w:tcW w:w="613" w:type="dxa"/>
            <w:vAlign w:val="center"/>
          </w:tcPr>
          <w:p w14:paraId="1821E074">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6</w:t>
            </w:r>
          </w:p>
        </w:tc>
        <w:tc>
          <w:tcPr>
            <w:tcW w:w="1229" w:type="dxa"/>
            <w:vAlign w:val="center"/>
          </w:tcPr>
          <w:p w14:paraId="6502A11A">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食用明胶</w:t>
            </w:r>
          </w:p>
        </w:tc>
        <w:tc>
          <w:tcPr>
            <w:tcW w:w="1157" w:type="dxa"/>
            <w:vAlign w:val="center"/>
          </w:tcPr>
          <w:p w14:paraId="700BDE11">
            <w:pPr>
              <w:bidi w:val="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w:t>
            </w:r>
          </w:p>
        </w:tc>
        <w:tc>
          <w:tcPr>
            <w:tcW w:w="1137" w:type="dxa"/>
            <w:vAlign w:val="center"/>
          </w:tcPr>
          <w:p w14:paraId="639694E8">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2</w:t>
            </w:r>
          </w:p>
        </w:tc>
        <w:tc>
          <w:tcPr>
            <w:tcW w:w="1389" w:type="dxa"/>
            <w:vAlign w:val="center"/>
          </w:tcPr>
          <w:p w14:paraId="7B09ABA4">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0.5</w:t>
            </w:r>
          </w:p>
        </w:tc>
        <w:tc>
          <w:tcPr>
            <w:tcW w:w="786" w:type="dxa"/>
            <w:vAlign w:val="center"/>
          </w:tcPr>
          <w:p w14:paraId="013AD274">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+2</w:t>
            </w:r>
          </w:p>
        </w:tc>
        <w:tc>
          <w:tcPr>
            <w:tcW w:w="2094" w:type="dxa"/>
            <w:vAlign w:val="center"/>
          </w:tcPr>
          <w:p w14:paraId="71444494">
            <w:pPr>
              <w:bidi w:val="0"/>
              <w:jc w:val="center"/>
              <w:rPr>
                <w:rFonts w:hint="default" w:ascii="Times New Roman" w:hAnsi="Times New Roman" w:eastAsia="宋体" w:cs="Times New Roman"/>
                <w:b/>
                <w:color w:val="000000" w:themeColor="text1"/>
                <w:sz w:val="21"/>
                <w:szCs w:val="21"/>
                <w:highlight w:val="none"/>
                <w:u w:val="none" w:color="auto"/>
                <w:vertAlign w:val="baseline"/>
                <w:lang w:val="en-US"/>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袋装，25kg/袋，作为稳定剂和胶凝剂，锁住槟榔风味和水分</w:t>
            </w:r>
          </w:p>
        </w:tc>
      </w:tr>
      <w:tr w14:paraId="096BA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exact"/>
        </w:trPr>
        <w:tc>
          <w:tcPr>
            <w:tcW w:w="613" w:type="dxa"/>
            <w:vAlign w:val="center"/>
          </w:tcPr>
          <w:p w14:paraId="1D9D2D39">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7</w:t>
            </w:r>
          </w:p>
        </w:tc>
        <w:tc>
          <w:tcPr>
            <w:tcW w:w="1229" w:type="dxa"/>
            <w:vAlign w:val="center"/>
          </w:tcPr>
          <w:p w14:paraId="738A97AD">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食用纯碱</w:t>
            </w:r>
          </w:p>
        </w:tc>
        <w:tc>
          <w:tcPr>
            <w:tcW w:w="1157" w:type="dxa"/>
            <w:vAlign w:val="center"/>
          </w:tcPr>
          <w:p w14:paraId="0D770460">
            <w:pPr>
              <w:bidi w:val="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w:t>
            </w:r>
          </w:p>
        </w:tc>
        <w:tc>
          <w:tcPr>
            <w:tcW w:w="1137" w:type="dxa"/>
            <w:vAlign w:val="center"/>
          </w:tcPr>
          <w:p w14:paraId="66367674">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0.5</w:t>
            </w:r>
          </w:p>
        </w:tc>
        <w:tc>
          <w:tcPr>
            <w:tcW w:w="1389" w:type="dxa"/>
            <w:vAlign w:val="center"/>
          </w:tcPr>
          <w:p w14:paraId="0FF62D8D">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0.5</w:t>
            </w:r>
          </w:p>
        </w:tc>
        <w:tc>
          <w:tcPr>
            <w:tcW w:w="786" w:type="dxa"/>
            <w:vAlign w:val="center"/>
          </w:tcPr>
          <w:p w14:paraId="2421A275">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+0.5</w:t>
            </w:r>
          </w:p>
        </w:tc>
        <w:tc>
          <w:tcPr>
            <w:tcW w:w="2094" w:type="dxa"/>
            <w:vAlign w:val="center"/>
          </w:tcPr>
          <w:p w14:paraId="1D3202FF">
            <w:pPr>
              <w:bidi w:val="0"/>
              <w:jc w:val="center"/>
              <w:rPr>
                <w:rFonts w:hint="default" w:ascii="Times New Roman" w:hAnsi="Times New Roman" w:eastAsia="宋体" w:cs="Times New Roman"/>
                <w:b/>
                <w:color w:val="000000" w:themeColor="text1"/>
                <w:sz w:val="21"/>
                <w:szCs w:val="21"/>
                <w:highlight w:val="none"/>
                <w:u w:val="none" w:color="auto"/>
                <w:vertAlign w:val="baseline"/>
                <w:lang w:val="en-US"/>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袋装，25kg/袋，部分用于制卤水</w:t>
            </w:r>
          </w:p>
        </w:tc>
      </w:tr>
      <w:tr w14:paraId="2BDC2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exact"/>
        </w:trPr>
        <w:tc>
          <w:tcPr>
            <w:tcW w:w="613" w:type="dxa"/>
            <w:vAlign w:val="center"/>
          </w:tcPr>
          <w:p w14:paraId="3AEAFCA6">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8</w:t>
            </w:r>
          </w:p>
        </w:tc>
        <w:tc>
          <w:tcPr>
            <w:tcW w:w="1229" w:type="dxa"/>
            <w:vAlign w:val="center"/>
          </w:tcPr>
          <w:p w14:paraId="24469D79">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食品添加剂（甜味剂、阿斯巴甜等）</w:t>
            </w:r>
          </w:p>
        </w:tc>
        <w:tc>
          <w:tcPr>
            <w:tcW w:w="1157" w:type="dxa"/>
            <w:vAlign w:val="center"/>
          </w:tcPr>
          <w:p w14:paraId="658892D7">
            <w:pPr>
              <w:bidi w:val="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w:t>
            </w:r>
          </w:p>
        </w:tc>
        <w:tc>
          <w:tcPr>
            <w:tcW w:w="1137" w:type="dxa"/>
            <w:vAlign w:val="center"/>
          </w:tcPr>
          <w:p w14:paraId="2C89F760">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0.05</w:t>
            </w:r>
          </w:p>
        </w:tc>
        <w:tc>
          <w:tcPr>
            <w:tcW w:w="1389" w:type="dxa"/>
            <w:vAlign w:val="center"/>
          </w:tcPr>
          <w:p w14:paraId="69837A8A">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0.05</w:t>
            </w:r>
          </w:p>
        </w:tc>
        <w:tc>
          <w:tcPr>
            <w:tcW w:w="786" w:type="dxa"/>
            <w:vAlign w:val="center"/>
          </w:tcPr>
          <w:p w14:paraId="1206CD58">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+0.05</w:t>
            </w:r>
          </w:p>
        </w:tc>
        <w:tc>
          <w:tcPr>
            <w:tcW w:w="2094" w:type="dxa"/>
            <w:vAlign w:val="center"/>
          </w:tcPr>
          <w:p w14:paraId="39116BCB">
            <w:pPr>
              <w:bidi w:val="0"/>
              <w:jc w:val="center"/>
              <w:rPr>
                <w:rFonts w:hint="default" w:ascii="Times New Roman" w:hAnsi="Times New Roman" w:eastAsia="宋体" w:cs="Times New Roman"/>
                <w:b/>
                <w:color w:val="000000" w:themeColor="text1"/>
                <w:sz w:val="21"/>
                <w:szCs w:val="21"/>
                <w:highlight w:val="none"/>
                <w:u w:val="none" w:color="auto"/>
                <w:vertAlign w:val="baseline"/>
                <w:lang w:val="en-US"/>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袋装，25kg/袋，甜味剂</w:t>
            </w:r>
          </w:p>
        </w:tc>
      </w:tr>
      <w:tr w14:paraId="6F033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exact"/>
        </w:trPr>
        <w:tc>
          <w:tcPr>
            <w:tcW w:w="613" w:type="dxa"/>
            <w:vAlign w:val="center"/>
          </w:tcPr>
          <w:p w14:paraId="200622ED">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9</w:t>
            </w:r>
          </w:p>
        </w:tc>
        <w:tc>
          <w:tcPr>
            <w:tcW w:w="1229" w:type="dxa"/>
            <w:vAlign w:val="center"/>
          </w:tcPr>
          <w:p w14:paraId="04742F5C">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防腐剂</w:t>
            </w:r>
          </w:p>
        </w:tc>
        <w:tc>
          <w:tcPr>
            <w:tcW w:w="1157" w:type="dxa"/>
            <w:vAlign w:val="center"/>
          </w:tcPr>
          <w:p w14:paraId="3FAFD46A">
            <w:pPr>
              <w:bidi w:val="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w:t>
            </w:r>
          </w:p>
        </w:tc>
        <w:tc>
          <w:tcPr>
            <w:tcW w:w="1137" w:type="dxa"/>
            <w:vAlign w:val="center"/>
          </w:tcPr>
          <w:p w14:paraId="29A89FF2">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0.2</w:t>
            </w:r>
          </w:p>
        </w:tc>
        <w:tc>
          <w:tcPr>
            <w:tcW w:w="1389" w:type="dxa"/>
            <w:vAlign w:val="center"/>
          </w:tcPr>
          <w:p w14:paraId="4044F104">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0.2</w:t>
            </w:r>
          </w:p>
        </w:tc>
        <w:tc>
          <w:tcPr>
            <w:tcW w:w="786" w:type="dxa"/>
            <w:vAlign w:val="center"/>
          </w:tcPr>
          <w:p w14:paraId="23024A3F">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+0.2</w:t>
            </w:r>
          </w:p>
        </w:tc>
        <w:tc>
          <w:tcPr>
            <w:tcW w:w="2094" w:type="dxa"/>
            <w:vAlign w:val="center"/>
          </w:tcPr>
          <w:p w14:paraId="2C48A0C8">
            <w:pPr>
              <w:bidi w:val="0"/>
              <w:jc w:val="center"/>
              <w:rPr>
                <w:rFonts w:hint="default" w:ascii="Times New Roman" w:hAnsi="Times New Roman" w:eastAsia="宋体" w:cs="Times New Roman"/>
                <w:b/>
                <w:color w:val="000000" w:themeColor="text1"/>
                <w:sz w:val="21"/>
                <w:szCs w:val="21"/>
                <w:highlight w:val="none"/>
                <w:u w:val="none" w:color="auto"/>
                <w:vertAlign w:val="baseline"/>
                <w:lang w:val="en-US"/>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桶装，25kg/桶，延长产品保质期，防止变质</w:t>
            </w:r>
          </w:p>
        </w:tc>
      </w:tr>
      <w:tr w14:paraId="0CD63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trPr>
        <w:tc>
          <w:tcPr>
            <w:tcW w:w="613" w:type="dxa"/>
            <w:vAlign w:val="center"/>
          </w:tcPr>
          <w:p w14:paraId="3729BD5B">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10</w:t>
            </w:r>
          </w:p>
        </w:tc>
        <w:tc>
          <w:tcPr>
            <w:tcW w:w="1229" w:type="dxa"/>
            <w:vAlign w:val="center"/>
          </w:tcPr>
          <w:p w14:paraId="592A3E55">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增味剂</w:t>
            </w:r>
          </w:p>
        </w:tc>
        <w:tc>
          <w:tcPr>
            <w:tcW w:w="1157" w:type="dxa"/>
            <w:vAlign w:val="center"/>
          </w:tcPr>
          <w:p w14:paraId="4FC10190">
            <w:pPr>
              <w:bidi w:val="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w:t>
            </w:r>
          </w:p>
        </w:tc>
        <w:tc>
          <w:tcPr>
            <w:tcW w:w="1137" w:type="dxa"/>
            <w:vAlign w:val="center"/>
          </w:tcPr>
          <w:p w14:paraId="43360AAC">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0.1</w:t>
            </w:r>
          </w:p>
        </w:tc>
        <w:tc>
          <w:tcPr>
            <w:tcW w:w="1389" w:type="dxa"/>
            <w:vAlign w:val="center"/>
          </w:tcPr>
          <w:p w14:paraId="04361FB2">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0.1</w:t>
            </w:r>
          </w:p>
        </w:tc>
        <w:tc>
          <w:tcPr>
            <w:tcW w:w="786" w:type="dxa"/>
            <w:vAlign w:val="center"/>
          </w:tcPr>
          <w:p w14:paraId="531BD62D">
            <w:pPr>
              <w:bidi w:val="0"/>
              <w:jc w:val="center"/>
              <w:rPr>
                <w:rFonts w:hint="default" w:ascii="Times New Roman" w:hAnsi="Times New Roman" w:eastAsia="宋体" w:cs="Times New Roman"/>
                <w:b/>
                <w:color w:val="000000" w:themeColor="text1"/>
                <w:sz w:val="21"/>
                <w:szCs w:val="21"/>
                <w:highlight w:val="none"/>
                <w:u w:val="none" w:color="auto"/>
                <w:vertAlign w:val="baseline"/>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+0.1</w:t>
            </w:r>
          </w:p>
        </w:tc>
        <w:tc>
          <w:tcPr>
            <w:tcW w:w="2094" w:type="dxa"/>
            <w:vAlign w:val="center"/>
          </w:tcPr>
          <w:p w14:paraId="51E51D5C">
            <w:pPr>
              <w:pStyle w:val="22"/>
              <w:spacing w:before="0" w:beforeLines="0" w:line="276" w:lineRule="auto"/>
              <w:ind w:left="0" w:leftChars="0" w:right="113" w:rightChars="0" w:firstLine="0" w:firstLineChars="0"/>
              <w:jc w:val="center"/>
              <w:rPr>
                <w:rFonts w:hint="default" w:ascii="Times New Roman" w:hAnsi="Times New Roman" w:eastAsia="宋体" w:cs="Times New Roman"/>
                <w:b/>
                <w:color w:val="000000" w:themeColor="text1"/>
                <w:sz w:val="21"/>
                <w:szCs w:val="21"/>
                <w:highlight w:val="none"/>
                <w:u w:val="none" w:color="auto"/>
                <w:vertAlign w:val="baseline"/>
                <w:lang w:val="en-US"/>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袋装，25kg/袋，增加槟榔风味</w:t>
            </w:r>
          </w:p>
        </w:tc>
      </w:tr>
      <w:tr w14:paraId="275DB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exact"/>
        </w:trPr>
        <w:tc>
          <w:tcPr>
            <w:tcW w:w="613" w:type="dxa"/>
            <w:vAlign w:val="center"/>
          </w:tcPr>
          <w:p w14:paraId="2E811CCC">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11</w:t>
            </w:r>
          </w:p>
        </w:tc>
        <w:tc>
          <w:tcPr>
            <w:tcW w:w="1229" w:type="dxa"/>
            <w:vAlign w:val="center"/>
          </w:tcPr>
          <w:p w14:paraId="497EA83E">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食用香精</w:t>
            </w:r>
          </w:p>
        </w:tc>
        <w:tc>
          <w:tcPr>
            <w:tcW w:w="1157" w:type="dxa"/>
            <w:vAlign w:val="center"/>
          </w:tcPr>
          <w:p w14:paraId="10E30249">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w:t>
            </w:r>
          </w:p>
        </w:tc>
        <w:tc>
          <w:tcPr>
            <w:tcW w:w="1137" w:type="dxa"/>
            <w:vAlign w:val="center"/>
          </w:tcPr>
          <w:p w14:paraId="2DFE4786">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0.5</w:t>
            </w:r>
          </w:p>
        </w:tc>
        <w:tc>
          <w:tcPr>
            <w:tcW w:w="1389" w:type="dxa"/>
            <w:vAlign w:val="center"/>
          </w:tcPr>
          <w:p w14:paraId="49ACBB34">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0.5</w:t>
            </w:r>
          </w:p>
        </w:tc>
        <w:tc>
          <w:tcPr>
            <w:tcW w:w="786" w:type="dxa"/>
            <w:vAlign w:val="center"/>
          </w:tcPr>
          <w:p w14:paraId="027CDE7B">
            <w:pPr>
              <w:bidi w:val="0"/>
              <w:jc w:val="center"/>
              <w:rPr>
                <w:rFonts w:hint="default" w:ascii="Times New Roman" w:hAnsi="Times New Roman" w:cs="Times New Roman"/>
                <w:b/>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+0.5</w:t>
            </w:r>
          </w:p>
        </w:tc>
        <w:tc>
          <w:tcPr>
            <w:tcW w:w="2094" w:type="dxa"/>
            <w:vAlign w:val="center"/>
          </w:tcPr>
          <w:p w14:paraId="4C7F76C1">
            <w:pPr>
              <w:pStyle w:val="22"/>
              <w:spacing w:before="0" w:beforeLines="0" w:line="276" w:lineRule="auto"/>
              <w:ind w:left="0" w:leftChars="0" w:right="113" w:rightChars="0" w:firstLine="0" w:firstLineChars="0"/>
              <w:jc w:val="center"/>
              <w:rPr>
                <w:rFonts w:hint="default" w:ascii="Times New Roman" w:hAnsi="Times New Roman" w:eastAsia="宋体" w:cs="Times New Roman"/>
                <w:b/>
                <w:color w:val="000000" w:themeColor="text1"/>
                <w:sz w:val="21"/>
                <w:szCs w:val="21"/>
                <w:highlight w:val="none"/>
                <w:u w:val="none" w:color="auto"/>
                <w:vertAlign w:val="baseline"/>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桶装，5kg/桶，增加产品香气浓郁度</w:t>
            </w:r>
          </w:p>
        </w:tc>
      </w:tr>
      <w:tr w14:paraId="4E05D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13" w:type="dxa"/>
            <w:vAlign w:val="center"/>
          </w:tcPr>
          <w:p w14:paraId="79E7E89D">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12</w:t>
            </w:r>
          </w:p>
        </w:tc>
        <w:tc>
          <w:tcPr>
            <w:tcW w:w="1229" w:type="dxa"/>
            <w:vAlign w:val="center"/>
          </w:tcPr>
          <w:p w14:paraId="559A2878">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食品包装袋</w:t>
            </w:r>
          </w:p>
        </w:tc>
        <w:tc>
          <w:tcPr>
            <w:tcW w:w="1157" w:type="dxa"/>
            <w:vAlign w:val="center"/>
          </w:tcPr>
          <w:p w14:paraId="1A199E57">
            <w:pPr>
              <w:bidi w:val="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w:t>
            </w:r>
          </w:p>
        </w:tc>
        <w:tc>
          <w:tcPr>
            <w:tcW w:w="1137" w:type="dxa"/>
            <w:vAlign w:val="center"/>
          </w:tcPr>
          <w:p w14:paraId="034917C8">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0.5</w:t>
            </w:r>
          </w:p>
        </w:tc>
        <w:tc>
          <w:tcPr>
            <w:tcW w:w="1389" w:type="dxa"/>
            <w:vAlign w:val="center"/>
          </w:tcPr>
          <w:p w14:paraId="77CA177F">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0.5</w:t>
            </w:r>
          </w:p>
        </w:tc>
        <w:tc>
          <w:tcPr>
            <w:tcW w:w="786" w:type="dxa"/>
            <w:vAlign w:val="center"/>
          </w:tcPr>
          <w:p w14:paraId="4FB89C40">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+0.5</w:t>
            </w:r>
          </w:p>
        </w:tc>
        <w:tc>
          <w:tcPr>
            <w:tcW w:w="2094" w:type="dxa"/>
            <w:vAlign w:val="center"/>
          </w:tcPr>
          <w:p w14:paraId="78A0BD40">
            <w:pPr>
              <w:pStyle w:val="22"/>
              <w:spacing w:before="0" w:beforeLines="0" w:line="276" w:lineRule="auto"/>
              <w:ind w:left="0" w:leftChars="0" w:firstLine="0" w:firstLineChars="0"/>
              <w:jc w:val="center"/>
              <w:rPr>
                <w:rFonts w:hint="default" w:ascii="Times New Roman" w:hAnsi="Times New Roman" w:eastAsia="宋体" w:cs="Times New Roman"/>
                <w:b/>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外购成品，产品包装</w:t>
            </w:r>
          </w:p>
        </w:tc>
      </w:tr>
      <w:tr w14:paraId="018DD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exact"/>
        </w:trPr>
        <w:tc>
          <w:tcPr>
            <w:tcW w:w="613" w:type="dxa"/>
            <w:vAlign w:val="center"/>
          </w:tcPr>
          <w:p w14:paraId="57A72487">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13</w:t>
            </w:r>
          </w:p>
        </w:tc>
        <w:tc>
          <w:tcPr>
            <w:tcW w:w="1229" w:type="dxa"/>
            <w:vAlign w:val="center"/>
          </w:tcPr>
          <w:p w14:paraId="1BB885CD">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氢氧化钙（食品级）</w:t>
            </w:r>
          </w:p>
        </w:tc>
        <w:tc>
          <w:tcPr>
            <w:tcW w:w="1157" w:type="dxa"/>
            <w:vAlign w:val="center"/>
          </w:tcPr>
          <w:p w14:paraId="27EF3A29">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w:t>
            </w:r>
          </w:p>
        </w:tc>
        <w:tc>
          <w:tcPr>
            <w:tcW w:w="1137" w:type="dxa"/>
            <w:vAlign w:val="center"/>
          </w:tcPr>
          <w:p w14:paraId="582B829A">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0.75</w:t>
            </w:r>
          </w:p>
        </w:tc>
        <w:tc>
          <w:tcPr>
            <w:tcW w:w="1389" w:type="dxa"/>
            <w:vAlign w:val="center"/>
          </w:tcPr>
          <w:p w14:paraId="4F378584">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0.05</w:t>
            </w:r>
          </w:p>
        </w:tc>
        <w:tc>
          <w:tcPr>
            <w:tcW w:w="786" w:type="dxa"/>
            <w:vAlign w:val="center"/>
          </w:tcPr>
          <w:p w14:paraId="63D9ADCF">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+0.75</w:t>
            </w:r>
          </w:p>
        </w:tc>
        <w:tc>
          <w:tcPr>
            <w:tcW w:w="2094" w:type="dxa"/>
            <w:vAlign w:val="center"/>
          </w:tcPr>
          <w:p w14:paraId="3EE9F292">
            <w:pPr>
              <w:pStyle w:val="22"/>
              <w:spacing w:before="0" w:beforeLines="0" w:line="276" w:lineRule="auto"/>
              <w:ind w:left="0" w:leftChars="0" w:firstLine="0" w:firstLineChars="0"/>
              <w:jc w:val="cente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袋装，25kg/袋，配制卤水</w:t>
            </w:r>
          </w:p>
        </w:tc>
      </w:tr>
      <w:tr w14:paraId="3B8F6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5" w:type="dxa"/>
            <w:gridSpan w:val="7"/>
            <w:vAlign w:val="center"/>
          </w:tcPr>
          <w:p w14:paraId="0F66083F">
            <w:pPr>
              <w:pStyle w:val="22"/>
              <w:spacing w:before="0" w:beforeLines="0" w:line="276" w:lineRule="auto"/>
              <w:ind w:left="0" w:leftChars="0" w:firstLine="0" w:firstLineChars="0"/>
              <w:jc w:val="center"/>
              <w:rPr>
                <w:rFonts w:hint="default" w:ascii="Times New Roman" w:hAnsi="Times New Roman" w:eastAsia="宋体" w:cs="Times New Roman"/>
                <w:b/>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color w:val="000000" w:themeColor="text1"/>
                <w:sz w:val="21"/>
                <w:szCs w:val="21"/>
                <w:highlight w:val="none"/>
                <w:u w:val="none" w:color="auto"/>
                <w:vertAlign w:val="baseline"/>
                <w:lang w:val="en-US" w:eastAsia="zh-CN"/>
                <w14:textFill>
                  <w14:solidFill>
                    <w14:schemeClr w14:val="tx1"/>
                  </w14:solidFill>
                </w14:textFill>
              </w:rPr>
              <w:t>污水处理站</w:t>
            </w:r>
          </w:p>
        </w:tc>
      </w:tr>
      <w:tr w14:paraId="4E909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3" w:type="dxa"/>
            <w:vAlign w:val="center"/>
          </w:tcPr>
          <w:p w14:paraId="72102077">
            <w:pPr>
              <w:pStyle w:val="66"/>
              <w:jc w:val="cente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14</w:t>
            </w:r>
          </w:p>
        </w:tc>
        <w:tc>
          <w:tcPr>
            <w:tcW w:w="1229" w:type="dxa"/>
            <w:vAlign w:val="center"/>
          </w:tcPr>
          <w:p w14:paraId="4F611A34">
            <w:pPr>
              <w:pStyle w:val="66"/>
              <w:jc w:val="center"/>
              <w:rPr>
                <w:rFonts w:hint="default" w:ascii="Times New Roman" w:hAnsi="Times New Roman" w:eastAsia="宋体" w:cs="Times New Roman"/>
                <w:b/>
                <w:color w:val="000000" w:themeColor="text1"/>
                <w:sz w:val="21"/>
                <w:szCs w:val="21"/>
                <w:highlight w:val="none"/>
                <w:u w:val="none" w:color="auto"/>
                <w:vertAlign w:val="baseline"/>
                <w14:textFill>
                  <w14:solidFill>
                    <w14:schemeClr w14:val="tx1"/>
                  </w14:solidFill>
                </w14:textFill>
              </w:rPr>
            </w:pPr>
            <w:r>
              <w:rPr>
                <w:rFonts w:hint="default" w:ascii="Times New Roman" w:hAnsi="Times New Roman" w:eastAsia="宋体" w:cs="Times New Roman"/>
                <w:i w:val="0"/>
                <w:iCs w:val="0"/>
                <w:color w:val="000000" w:themeColor="text1"/>
                <w:sz w:val="21"/>
                <w:szCs w:val="21"/>
                <w:highlight w:val="none"/>
                <w:u w:val="none" w:color="auto"/>
                <w:lang w:val="en-US" w:eastAsia="zh-CN"/>
                <w14:textFill>
                  <w14:solidFill>
                    <w14:schemeClr w14:val="tx1"/>
                  </w14:solidFill>
                </w14:textFill>
              </w:rPr>
              <w:t>PAC</w:t>
            </w:r>
          </w:p>
        </w:tc>
        <w:tc>
          <w:tcPr>
            <w:tcW w:w="1157" w:type="dxa"/>
            <w:vAlign w:val="center"/>
          </w:tcPr>
          <w:p w14:paraId="5A3695AA">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0</w:t>
            </w:r>
          </w:p>
        </w:tc>
        <w:tc>
          <w:tcPr>
            <w:tcW w:w="1137" w:type="dxa"/>
            <w:vAlign w:val="center"/>
          </w:tcPr>
          <w:p w14:paraId="3AEB288C">
            <w:pPr>
              <w:pStyle w:val="22"/>
              <w:spacing w:before="0" w:beforeLines="0" w:line="276" w:lineRule="auto"/>
              <w:ind w:left="0" w:leftChars="0" w:firstLine="0" w:firstLineChars="0"/>
              <w:jc w:val="cente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0.8</w:t>
            </w:r>
          </w:p>
        </w:tc>
        <w:tc>
          <w:tcPr>
            <w:tcW w:w="1389" w:type="dxa"/>
            <w:vAlign w:val="center"/>
          </w:tcPr>
          <w:p w14:paraId="08ECA010">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0.8</w:t>
            </w:r>
          </w:p>
        </w:tc>
        <w:tc>
          <w:tcPr>
            <w:tcW w:w="786" w:type="dxa"/>
            <w:vAlign w:val="center"/>
          </w:tcPr>
          <w:p w14:paraId="032750EB">
            <w:pPr>
              <w:pStyle w:val="22"/>
              <w:spacing w:before="0" w:beforeLines="0" w:line="276" w:lineRule="auto"/>
              <w:ind w:left="0" w:leftChars="0" w:firstLine="0" w:firstLineChars="0"/>
              <w:jc w:val="cente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+0.8</w:t>
            </w:r>
          </w:p>
        </w:tc>
        <w:tc>
          <w:tcPr>
            <w:tcW w:w="2094" w:type="dxa"/>
            <w:vAlign w:val="center"/>
          </w:tcPr>
          <w:p w14:paraId="73A917E9">
            <w:pPr>
              <w:pStyle w:val="22"/>
              <w:spacing w:before="0" w:beforeLines="0" w:line="276" w:lineRule="auto"/>
              <w:ind w:left="0" w:leftChars="0" w:firstLine="0" w:firstLineChars="0"/>
              <w:jc w:val="cente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袋装，25kg/袋，污水处理药剂</w:t>
            </w:r>
          </w:p>
        </w:tc>
      </w:tr>
      <w:tr w14:paraId="69284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14:paraId="09F18369">
            <w:pPr>
              <w:pStyle w:val="66"/>
              <w:jc w:val="cente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15</w:t>
            </w:r>
          </w:p>
        </w:tc>
        <w:tc>
          <w:tcPr>
            <w:tcW w:w="1229" w:type="dxa"/>
            <w:vAlign w:val="center"/>
          </w:tcPr>
          <w:p w14:paraId="00414A08">
            <w:pPr>
              <w:pStyle w:val="66"/>
              <w:jc w:val="center"/>
              <w:rPr>
                <w:rFonts w:hint="default" w:ascii="Times New Roman" w:hAnsi="Times New Roman" w:eastAsia="宋体" w:cs="Times New Roman"/>
                <w:b/>
                <w:color w:val="000000" w:themeColor="text1"/>
                <w:sz w:val="21"/>
                <w:szCs w:val="21"/>
                <w:highlight w:val="none"/>
                <w:u w:val="none" w:color="auto"/>
                <w:vertAlign w:val="baseline"/>
                <w14:textFill>
                  <w14:solidFill>
                    <w14:schemeClr w14:val="tx1"/>
                  </w14:solidFill>
                </w14:textFill>
              </w:rPr>
            </w:pPr>
            <w:r>
              <w:rPr>
                <w:rFonts w:hint="default" w:ascii="Times New Roman" w:hAnsi="Times New Roman" w:eastAsia="宋体" w:cs="Times New Roman"/>
                <w:i w:val="0"/>
                <w:iCs w:val="0"/>
                <w:color w:val="000000" w:themeColor="text1"/>
                <w:sz w:val="21"/>
                <w:szCs w:val="21"/>
                <w:highlight w:val="none"/>
                <w:u w:val="none" w:color="auto"/>
                <w:lang w:val="en-US" w:eastAsia="zh-CN"/>
                <w14:textFill>
                  <w14:solidFill>
                    <w14:schemeClr w14:val="tx1"/>
                  </w14:solidFill>
                </w14:textFill>
              </w:rPr>
              <w:t>PAM</w:t>
            </w:r>
          </w:p>
        </w:tc>
        <w:tc>
          <w:tcPr>
            <w:tcW w:w="1157" w:type="dxa"/>
            <w:vAlign w:val="center"/>
          </w:tcPr>
          <w:p w14:paraId="676792D6">
            <w:pPr>
              <w:bidi w:val="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0</w:t>
            </w:r>
          </w:p>
        </w:tc>
        <w:tc>
          <w:tcPr>
            <w:tcW w:w="1137" w:type="dxa"/>
            <w:vAlign w:val="center"/>
          </w:tcPr>
          <w:p w14:paraId="30DDAC68">
            <w:pPr>
              <w:pStyle w:val="22"/>
              <w:spacing w:before="0" w:beforeLines="0" w:line="276" w:lineRule="auto"/>
              <w:ind w:left="0" w:leftChars="0" w:firstLine="0" w:firstLineChars="0"/>
              <w:jc w:val="cente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0.1</w:t>
            </w:r>
          </w:p>
        </w:tc>
        <w:tc>
          <w:tcPr>
            <w:tcW w:w="1389" w:type="dxa"/>
            <w:vAlign w:val="center"/>
          </w:tcPr>
          <w:p w14:paraId="5DA14AD6">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0.1</w:t>
            </w:r>
          </w:p>
        </w:tc>
        <w:tc>
          <w:tcPr>
            <w:tcW w:w="786" w:type="dxa"/>
            <w:vAlign w:val="center"/>
          </w:tcPr>
          <w:p w14:paraId="5B5BAD63">
            <w:pPr>
              <w:pStyle w:val="22"/>
              <w:spacing w:before="0" w:beforeLines="0" w:line="276" w:lineRule="auto"/>
              <w:ind w:left="0" w:leftChars="0" w:firstLine="0" w:firstLineChars="0"/>
              <w:jc w:val="cente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+0.1</w:t>
            </w:r>
          </w:p>
        </w:tc>
        <w:tc>
          <w:tcPr>
            <w:tcW w:w="2094" w:type="dxa"/>
            <w:vAlign w:val="center"/>
          </w:tcPr>
          <w:p w14:paraId="3EE5DE2D">
            <w:pPr>
              <w:pStyle w:val="22"/>
              <w:spacing w:before="0" w:beforeLines="0" w:line="276" w:lineRule="auto"/>
              <w:ind w:left="0" w:leftChars="0" w:firstLine="0" w:firstLineChars="0"/>
              <w:jc w:val="center"/>
              <w:rPr>
                <w:rFonts w:hint="default" w:ascii="Times New Roman" w:hAnsi="Times New Roman" w:eastAsia="宋体" w:cs="Times New Roman"/>
                <w:b w:val="0"/>
                <w:bCs/>
                <w:color w:val="000000" w:themeColor="text1"/>
                <w:sz w:val="21"/>
                <w:szCs w:val="21"/>
                <w:highlight w:val="none"/>
                <w:u w:val="none" w:color="auto"/>
                <w:vertAlign w:val="baseline"/>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袋装，25kg/袋，污水处理药剂</w:t>
            </w:r>
          </w:p>
        </w:tc>
      </w:tr>
      <w:tr w14:paraId="3594D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5" w:type="dxa"/>
            <w:gridSpan w:val="7"/>
            <w:vAlign w:val="center"/>
          </w:tcPr>
          <w:p w14:paraId="28B25137">
            <w:pPr>
              <w:spacing w:before="0" w:beforeLines="0" w:line="276" w:lineRule="auto"/>
              <w:jc w:val="center"/>
              <w:rPr>
                <w:rFonts w:hint="default" w:ascii="Times New Roman" w:hAnsi="Times New Roman" w:eastAsia="宋体" w:cs="Times New Roman"/>
                <w:b/>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highlight w:val="none"/>
                <w:u w:val="none" w:color="auto"/>
                <w:vertAlign w:val="baseline"/>
                <w:lang w:val="en-US" w:eastAsia="zh-CN"/>
                <w14:textFill>
                  <w14:solidFill>
                    <w14:schemeClr w14:val="tx1"/>
                  </w14:solidFill>
                </w14:textFill>
              </w:rPr>
              <w:t>能源</w:t>
            </w:r>
          </w:p>
        </w:tc>
      </w:tr>
      <w:tr w14:paraId="17ACB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14:paraId="02CD956A">
            <w:pPr>
              <w:pStyle w:val="66"/>
              <w:jc w:val="cente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16</w:t>
            </w:r>
          </w:p>
        </w:tc>
        <w:tc>
          <w:tcPr>
            <w:tcW w:w="1229" w:type="dxa"/>
            <w:vAlign w:val="center"/>
          </w:tcPr>
          <w:p w14:paraId="55932160">
            <w:pPr>
              <w:pStyle w:val="66"/>
              <w:jc w:val="center"/>
              <w:rPr>
                <w:rFonts w:hint="default" w:ascii="Times New Roman" w:hAnsi="Times New Roman" w:eastAsia="宋体" w:cs="Times New Roman"/>
                <w:b/>
                <w:color w:val="000000" w:themeColor="text1"/>
                <w:sz w:val="21"/>
                <w:szCs w:val="21"/>
                <w:highlight w:val="none"/>
                <w:u w:val="none" w:color="auto"/>
                <w:vertAlign w:val="baseline"/>
                <w14:textFill>
                  <w14:solidFill>
                    <w14:schemeClr w14:val="tx1"/>
                  </w14:solidFill>
                </w14:textFill>
              </w:rPr>
            </w:pPr>
            <w:r>
              <w:rPr>
                <w:rFonts w:hint="default" w:ascii="Times New Roman" w:hAnsi="Times New Roman" w:cs="Times New Roman"/>
                <w:i w:val="0"/>
                <w:iCs w:val="0"/>
                <w:color w:val="000000" w:themeColor="text1"/>
                <w:sz w:val="21"/>
                <w:szCs w:val="21"/>
                <w:u w:val="none" w:color="auto"/>
                <w:lang w:val="en-US" w:eastAsia="zh-CN"/>
                <w14:textFill>
                  <w14:solidFill>
                    <w14:schemeClr w14:val="tx1"/>
                  </w14:solidFill>
                </w14:textFill>
              </w:rPr>
              <w:t>新鲜</w:t>
            </w: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水</w:t>
            </w:r>
          </w:p>
        </w:tc>
        <w:tc>
          <w:tcPr>
            <w:tcW w:w="1157" w:type="dxa"/>
            <w:vAlign w:val="center"/>
          </w:tcPr>
          <w:p w14:paraId="64FE9E8C">
            <w:pPr>
              <w:pStyle w:val="66"/>
              <w:jc w:val="cente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t>1080</w:t>
            </w:r>
          </w:p>
        </w:tc>
        <w:tc>
          <w:tcPr>
            <w:tcW w:w="1137" w:type="dxa"/>
            <w:vAlign w:val="center"/>
          </w:tcPr>
          <w:p w14:paraId="242FB3EC">
            <w:pPr>
              <w:pStyle w:val="66"/>
              <w:jc w:val="cente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3400.28</w:t>
            </w:r>
          </w:p>
        </w:tc>
        <w:tc>
          <w:tcPr>
            <w:tcW w:w="1389" w:type="dxa"/>
            <w:vAlign w:val="center"/>
          </w:tcPr>
          <w:p w14:paraId="1BB5A7C0">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w:t>
            </w:r>
          </w:p>
        </w:tc>
        <w:tc>
          <w:tcPr>
            <w:tcW w:w="786" w:type="dxa"/>
            <w:vAlign w:val="center"/>
          </w:tcPr>
          <w:p w14:paraId="2235E90B">
            <w:pPr>
              <w:pStyle w:val="66"/>
              <w:jc w:val="center"/>
              <w:rPr>
                <w:rFonts w:hint="default" w:ascii="Times New Roman" w:hAnsi="Times New Roman" w:eastAsia="宋体" w:cs="Times New Roman"/>
                <w:b/>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t>+</w:t>
            </w: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232028</w:t>
            </w:r>
          </w:p>
        </w:tc>
        <w:tc>
          <w:tcPr>
            <w:tcW w:w="2094" w:type="dxa"/>
            <w:vAlign w:val="center"/>
          </w:tcPr>
          <w:p w14:paraId="1D221CDB">
            <w:pPr>
              <w:pStyle w:val="22"/>
              <w:spacing w:before="0" w:beforeLines="0" w:line="276" w:lineRule="auto"/>
              <w:ind w:left="0" w:leftChars="0" w:firstLine="0" w:firstLineChars="0"/>
              <w:jc w:val="center"/>
              <w:rPr>
                <w:rFonts w:hint="default" w:ascii="Times New Roman" w:hAnsi="Times New Roman" w:eastAsia="宋体" w:cs="Times New Roman"/>
                <w:b/>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color w:val="000000" w:themeColor="text1"/>
                <w:sz w:val="21"/>
                <w:szCs w:val="21"/>
                <w:highlight w:val="none"/>
                <w:u w:val="none" w:color="auto"/>
                <w:vertAlign w:val="baseline"/>
                <w:lang w:val="en-US" w:eastAsia="zh-CN"/>
                <w14:textFill>
                  <w14:solidFill>
                    <w14:schemeClr w14:val="tx1"/>
                  </w14:solidFill>
                </w14:textFill>
              </w:rPr>
              <w:t>/</w:t>
            </w:r>
          </w:p>
        </w:tc>
      </w:tr>
      <w:tr w14:paraId="50433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14:paraId="4E7E76CA">
            <w:pPr>
              <w:pStyle w:val="66"/>
              <w:jc w:val="cente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17</w:t>
            </w:r>
          </w:p>
        </w:tc>
        <w:tc>
          <w:tcPr>
            <w:tcW w:w="1229" w:type="dxa"/>
            <w:vAlign w:val="center"/>
          </w:tcPr>
          <w:p w14:paraId="1C826C35">
            <w:pPr>
              <w:pStyle w:val="66"/>
              <w:jc w:val="center"/>
              <w:rPr>
                <w:rFonts w:hint="default" w:ascii="Times New Roman" w:hAnsi="Times New Roman" w:eastAsia="宋体" w:cs="Times New Roman"/>
                <w:b/>
                <w:color w:val="000000" w:themeColor="text1"/>
                <w:sz w:val="21"/>
                <w:szCs w:val="21"/>
                <w:highlight w:val="none"/>
                <w:u w:val="none" w:color="auto"/>
                <w:vertAlign w:val="baseline"/>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电</w:t>
            </w:r>
          </w:p>
        </w:tc>
        <w:tc>
          <w:tcPr>
            <w:tcW w:w="1157" w:type="dxa"/>
            <w:vAlign w:val="center"/>
          </w:tcPr>
          <w:p w14:paraId="0D9CC2A9">
            <w:pPr>
              <w:pStyle w:val="66"/>
              <w:jc w:val="cente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t>5万KW.h</w:t>
            </w:r>
          </w:p>
        </w:tc>
        <w:tc>
          <w:tcPr>
            <w:tcW w:w="1137" w:type="dxa"/>
            <w:vAlign w:val="center"/>
          </w:tcPr>
          <w:p w14:paraId="3DB517CE">
            <w:pPr>
              <w:pStyle w:val="66"/>
              <w:jc w:val="center"/>
              <w:rPr>
                <w:rFonts w:hint="default" w:ascii="Times New Roman" w:hAnsi="Times New Roman" w:eastAsia="宋体" w:cs="Times New Roman"/>
                <w:b w:val="0"/>
                <w:bCs/>
                <w:color w:val="000000" w:themeColor="text1"/>
                <w:sz w:val="21"/>
                <w:szCs w:val="21"/>
                <w:highlight w:val="none"/>
                <w:u w:val="none" w:color="auto"/>
                <w:vertAlign w:val="baseli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t>15万KW.h</w:t>
            </w:r>
          </w:p>
        </w:tc>
        <w:tc>
          <w:tcPr>
            <w:tcW w:w="1389" w:type="dxa"/>
            <w:vAlign w:val="center"/>
          </w:tcPr>
          <w:p w14:paraId="0AAA105B">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w:t>
            </w:r>
          </w:p>
        </w:tc>
        <w:tc>
          <w:tcPr>
            <w:tcW w:w="786" w:type="dxa"/>
            <w:vAlign w:val="center"/>
          </w:tcPr>
          <w:p w14:paraId="3ED7B4EE">
            <w:pPr>
              <w:pStyle w:val="66"/>
              <w:jc w:val="center"/>
              <w:rPr>
                <w:rFonts w:hint="default" w:ascii="Times New Roman" w:hAnsi="Times New Roman" w:eastAsia="宋体" w:cs="Times New Roman"/>
                <w:b/>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t>+10万</w:t>
            </w:r>
          </w:p>
        </w:tc>
        <w:tc>
          <w:tcPr>
            <w:tcW w:w="2094" w:type="dxa"/>
            <w:vAlign w:val="center"/>
          </w:tcPr>
          <w:p w14:paraId="0B9DF2FF">
            <w:pPr>
              <w:pStyle w:val="22"/>
              <w:spacing w:before="0" w:beforeLines="0" w:line="276" w:lineRule="auto"/>
              <w:ind w:left="0" w:leftChars="0" w:firstLine="0" w:firstLineChars="0"/>
              <w:jc w:val="center"/>
              <w:rPr>
                <w:rFonts w:hint="default" w:ascii="Times New Roman" w:hAnsi="Times New Roman" w:eastAsia="宋体" w:cs="Times New Roman"/>
                <w:b/>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color w:val="000000" w:themeColor="text1"/>
                <w:sz w:val="21"/>
                <w:szCs w:val="21"/>
                <w:highlight w:val="none"/>
                <w:u w:val="none" w:color="auto"/>
                <w:vertAlign w:val="baseline"/>
                <w:lang w:val="en-US" w:eastAsia="zh-CN"/>
                <w14:textFill>
                  <w14:solidFill>
                    <w14:schemeClr w14:val="tx1"/>
                  </w14:solidFill>
                </w14:textFill>
              </w:rPr>
              <w:t>/</w:t>
            </w:r>
          </w:p>
        </w:tc>
      </w:tr>
      <w:tr w14:paraId="2642D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14:paraId="714E8A50">
            <w:pPr>
              <w:pStyle w:val="66"/>
              <w:jc w:val="cente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18</w:t>
            </w:r>
          </w:p>
        </w:tc>
        <w:tc>
          <w:tcPr>
            <w:tcW w:w="1229" w:type="dxa"/>
            <w:vAlign w:val="center"/>
          </w:tcPr>
          <w:p w14:paraId="2EE8F64E">
            <w:pPr>
              <w:pStyle w:val="66"/>
              <w:jc w:val="center"/>
              <w:rPr>
                <w:rFonts w:hint="default" w:ascii="Times New Roman" w:hAnsi="Times New Roman" w:eastAsia="宋体" w:cs="Times New Roman"/>
                <w:b/>
                <w:color w:val="000000" w:themeColor="text1"/>
                <w:sz w:val="21"/>
                <w:szCs w:val="21"/>
                <w:highlight w:val="none"/>
                <w:u w:val="none" w:color="auto"/>
                <w:vertAlign w:val="baseli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color="auto"/>
                <w:lang w:val="en-US" w:eastAsia="zh-CN" w:bidi="ar-SA"/>
                <w14:textFill>
                  <w14:solidFill>
                    <w14:schemeClr w14:val="tx1"/>
                  </w14:solidFill>
                </w14:textFill>
              </w:rPr>
              <w:t>成型生物质颗粒</w:t>
            </w:r>
          </w:p>
        </w:tc>
        <w:tc>
          <w:tcPr>
            <w:tcW w:w="1157" w:type="dxa"/>
            <w:vAlign w:val="center"/>
          </w:tcPr>
          <w:p w14:paraId="710E7BB0">
            <w:pPr>
              <w:spacing w:before="0" w:beforeLines="0" w:line="276" w:lineRule="auto"/>
              <w:jc w:val="cente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0</w:t>
            </w:r>
          </w:p>
        </w:tc>
        <w:tc>
          <w:tcPr>
            <w:tcW w:w="1137" w:type="dxa"/>
            <w:vAlign w:val="center"/>
          </w:tcPr>
          <w:p w14:paraId="063461E3">
            <w:pPr>
              <w:spacing w:before="0" w:beforeLines="0" w:line="276" w:lineRule="auto"/>
              <w:jc w:val="center"/>
              <w:rPr>
                <w:rFonts w:hint="default" w:ascii="Times New Roman" w:hAnsi="Times New Roman" w:eastAsia="宋体" w:cs="Times New Roman"/>
                <w:b/>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315</w:t>
            </w:r>
          </w:p>
        </w:tc>
        <w:tc>
          <w:tcPr>
            <w:tcW w:w="1389" w:type="dxa"/>
            <w:vAlign w:val="center"/>
          </w:tcPr>
          <w:p w14:paraId="2561E154">
            <w:pPr>
              <w:bidi w:val="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315</w:t>
            </w:r>
          </w:p>
        </w:tc>
        <w:tc>
          <w:tcPr>
            <w:tcW w:w="786" w:type="dxa"/>
            <w:vAlign w:val="center"/>
          </w:tcPr>
          <w:p w14:paraId="26490A5B">
            <w:pPr>
              <w:pStyle w:val="66"/>
              <w:jc w:val="cente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t>+</w:t>
            </w:r>
            <w:r>
              <w:rPr>
                <w:rFonts w:hint="default" w:ascii="Times New Roman" w:hAnsi="Times New Roman" w:cs="Times New Roman"/>
                <w:b w:val="0"/>
                <w:bCs/>
                <w:color w:val="000000" w:themeColor="text1"/>
                <w:sz w:val="21"/>
                <w:szCs w:val="21"/>
                <w:highlight w:val="none"/>
                <w:u w:val="none" w:color="auto"/>
                <w:vertAlign w:val="baseline"/>
                <w:lang w:val="en-US" w:eastAsia="zh-CN"/>
                <w14:textFill>
                  <w14:solidFill>
                    <w14:schemeClr w14:val="tx1"/>
                  </w14:solidFill>
                </w14:textFill>
              </w:rPr>
              <w:t>315</w:t>
            </w:r>
          </w:p>
        </w:tc>
        <w:tc>
          <w:tcPr>
            <w:tcW w:w="2094" w:type="dxa"/>
            <w:vAlign w:val="center"/>
          </w:tcPr>
          <w:p w14:paraId="49F26148">
            <w:pPr>
              <w:spacing w:before="0" w:beforeLines="0" w:line="276" w:lineRule="auto"/>
              <w:jc w:val="center"/>
              <w:rPr>
                <w:rFonts w:hint="default" w:ascii="Times New Roman" w:hAnsi="Times New Roman" w:eastAsia="宋体" w:cs="Times New Roman"/>
                <w:b/>
                <w:color w:val="000000" w:themeColor="text1"/>
                <w:sz w:val="21"/>
                <w:szCs w:val="21"/>
                <w:highlight w:val="none"/>
                <w:u w:val="none" w:color="auto"/>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u w:val="none" w:color="auto"/>
                <w:vertAlign w:val="baseline"/>
                <w:lang w:val="en-US" w:eastAsia="zh-CN"/>
                <w14:textFill>
                  <w14:solidFill>
                    <w14:schemeClr w14:val="tx1"/>
                  </w14:solidFill>
                </w14:textFill>
              </w:rPr>
              <w:t>袋装，25kg/袋</w:t>
            </w:r>
          </w:p>
        </w:tc>
      </w:tr>
    </w:tbl>
    <w:p w14:paraId="7357EC57">
      <w:pPr>
        <w:keepNext w:val="0"/>
        <w:keepLines w:val="0"/>
        <w:pageBreakBefore w:val="0"/>
        <w:wordWrap/>
        <w:overflowPunct/>
        <w:topLinePunct w:val="0"/>
        <w:bidi w:val="0"/>
        <w:adjustRightInd w:val="0"/>
        <w:snapToGrid w:val="0"/>
        <w:spacing w:line="360" w:lineRule="auto"/>
        <w:ind w:left="0"/>
        <w:jc w:val="both"/>
        <w:outlineLvl w:val="2"/>
        <w:rPr>
          <w:rFonts w:hint="default" w:ascii="Times New Roman" w:hAnsi="Times New Roman" w:eastAsia="宋体" w:cs="Times New Roman"/>
          <w:b/>
          <w:bCs/>
          <w:spacing w:val="-2"/>
          <w:sz w:val="24"/>
          <w:szCs w:val="24"/>
          <w:lang w:eastAsia="zh-CN"/>
        </w:rPr>
      </w:pPr>
      <w:r>
        <w:rPr>
          <w:rFonts w:hint="eastAsia" w:ascii="Times New Roman" w:hAnsi="Times New Roman" w:eastAsia="宋体" w:cs="Times New Roman"/>
          <w:b/>
          <w:bCs/>
          <w:spacing w:val="-2"/>
          <w:sz w:val="24"/>
          <w:szCs w:val="24"/>
          <w:lang w:eastAsia="zh-CN"/>
        </w:rPr>
        <w:t>3</w:t>
      </w:r>
      <w:r>
        <w:rPr>
          <w:rFonts w:hint="default" w:ascii="Times New Roman" w:hAnsi="Times New Roman" w:eastAsia="宋体" w:cs="Times New Roman"/>
          <w:b/>
          <w:bCs/>
          <w:spacing w:val="-2"/>
          <w:sz w:val="24"/>
          <w:szCs w:val="24"/>
          <w:lang w:eastAsia="zh-CN"/>
        </w:rPr>
        <w:t>.1.</w:t>
      </w:r>
      <w:r>
        <w:rPr>
          <w:rFonts w:hint="eastAsia" w:ascii="Times New Roman" w:hAnsi="Times New Roman" w:eastAsia="宋体" w:cs="Times New Roman"/>
          <w:b/>
          <w:bCs/>
          <w:spacing w:val="-2"/>
          <w:sz w:val="24"/>
          <w:szCs w:val="24"/>
          <w:lang w:val="en-US" w:eastAsia="zh-CN"/>
        </w:rPr>
        <w:t>4</w:t>
      </w:r>
      <w:r>
        <w:rPr>
          <w:rFonts w:hint="default" w:ascii="Times New Roman" w:hAnsi="Times New Roman" w:eastAsia="宋体" w:cs="Times New Roman"/>
          <w:b/>
          <w:bCs/>
          <w:spacing w:val="-2"/>
          <w:sz w:val="24"/>
          <w:szCs w:val="24"/>
          <w:lang w:eastAsia="zh-CN"/>
        </w:rPr>
        <w:t>项目主要生产设备</w:t>
      </w:r>
      <w:bookmarkEnd w:id="48"/>
      <w:bookmarkEnd w:id="49"/>
      <w:bookmarkEnd w:id="50"/>
    </w:p>
    <w:p w14:paraId="0243F0D4">
      <w:pPr>
        <w:pStyle w:val="31"/>
        <w:keepNext w:val="0"/>
        <w:keepLines w:val="0"/>
        <w:pageBreakBefore w:val="0"/>
        <w:widowControl w:val="0"/>
        <w:tabs>
          <w:tab w:val="left" w:pos="1021"/>
        </w:tabs>
        <w:kinsoku/>
        <w:wordWrap/>
        <w:overflowPunct/>
        <w:topLinePunct w:val="0"/>
        <w:autoSpaceDE/>
        <w:autoSpaceDN/>
        <w:bidi w:val="0"/>
        <w:adjustRightInd w:val="0"/>
        <w:snapToGrid w:val="0"/>
        <w:spacing w:after="0" w:line="360" w:lineRule="auto"/>
        <w:ind w:firstLine="504" w:firstLineChars="200"/>
        <w:jc w:val="left"/>
        <w:textAlignment w:val="auto"/>
        <w:rPr>
          <w:rFonts w:ascii="Times New Roman" w:hAnsi="Times New Roman" w:eastAsia="宋体" w:cs="Times New Roman"/>
          <w:color w:val="auto"/>
          <w:lang w:eastAsia="zh-CN"/>
        </w:rPr>
      </w:pPr>
      <w:bookmarkStart w:id="51" w:name="_Toc14833"/>
      <w:bookmarkStart w:id="52" w:name="_Toc20253"/>
      <w:bookmarkStart w:id="53" w:name="_Toc23562"/>
      <w:r>
        <w:rPr>
          <w:rFonts w:ascii="Times New Roman" w:hAnsi="Times New Roman" w:eastAsia="宋体" w:cs="Times New Roman"/>
          <w:b w:val="0"/>
          <w:sz w:val="24"/>
          <w:lang w:eastAsia="zh-CN"/>
        </w:rPr>
        <w:t>主要生产设备详见下表。</w:t>
      </w:r>
      <w:bookmarkEnd w:id="51"/>
      <w:bookmarkEnd w:id="52"/>
      <w:bookmarkEnd w:id="53"/>
    </w:p>
    <w:p w14:paraId="5ACC021C">
      <w:pPr>
        <w:pStyle w:val="31"/>
        <w:keepNext w:val="0"/>
        <w:keepLines w:val="0"/>
        <w:pageBreakBefore w:val="0"/>
        <w:widowControl w:val="0"/>
        <w:tabs>
          <w:tab w:val="left" w:pos="1021"/>
        </w:tabs>
        <w:kinsoku/>
        <w:wordWrap/>
        <w:overflowPunct/>
        <w:topLinePunct w:val="0"/>
        <w:autoSpaceDE/>
        <w:autoSpaceDN/>
        <w:bidi w:val="0"/>
        <w:adjustRightInd w:val="0"/>
        <w:snapToGrid w:val="0"/>
        <w:spacing w:after="0" w:line="240" w:lineRule="auto"/>
        <w:textAlignment w:val="auto"/>
        <w:rPr>
          <w:rFonts w:ascii="Times New Roman" w:hAnsi="Times New Roman" w:eastAsia="宋体" w:cs="Times New Roman"/>
          <w:color w:val="auto"/>
          <w:lang w:eastAsia="zh-CN"/>
        </w:rPr>
      </w:pPr>
      <w:bookmarkStart w:id="54" w:name="_Toc8508"/>
      <w:bookmarkStart w:id="55" w:name="_Toc5203"/>
      <w:bookmarkStart w:id="56" w:name="_Toc26317"/>
      <w:r>
        <w:rPr>
          <w:rFonts w:ascii="Times New Roman" w:hAnsi="Times New Roman" w:eastAsia="宋体" w:cs="Times New Roman"/>
          <w:color w:val="auto"/>
          <w:lang w:eastAsia="zh-CN"/>
        </w:rPr>
        <w:t>表</w:t>
      </w:r>
      <w:r>
        <w:rPr>
          <w:rFonts w:hint="eastAsia" w:ascii="Times New Roman" w:hAnsi="Times New Roman" w:eastAsia="宋体" w:cs="Times New Roman"/>
          <w:color w:val="auto"/>
          <w:lang w:eastAsia="zh-CN"/>
        </w:rPr>
        <w:t>3</w:t>
      </w:r>
      <w:r>
        <w:rPr>
          <w:rFonts w:ascii="Times New Roman" w:hAnsi="Times New Roman" w:eastAsia="宋体" w:cs="Times New Roman"/>
          <w:color w:val="auto"/>
          <w:lang w:eastAsia="zh-CN"/>
        </w:rPr>
        <w:t>.1-3 工程主要生产设备设施</w:t>
      </w:r>
      <w:bookmarkEnd w:id="54"/>
      <w:bookmarkEnd w:id="55"/>
      <w:bookmarkEnd w:id="56"/>
    </w:p>
    <w:tbl>
      <w:tblPr>
        <w:tblStyle w:val="24"/>
        <w:tblW w:w="8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1325"/>
        <w:gridCol w:w="1538"/>
        <w:gridCol w:w="1150"/>
        <w:gridCol w:w="1012"/>
        <w:gridCol w:w="800"/>
        <w:gridCol w:w="2047"/>
      </w:tblGrid>
      <w:tr w14:paraId="05E37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33" w:type="dxa"/>
            <w:tcBorders>
              <w:tl2br w:val="nil"/>
              <w:tr2bl w:val="nil"/>
            </w:tcBorders>
            <w:vAlign w:val="center"/>
          </w:tcPr>
          <w:p w14:paraId="3882816A">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序号</w:t>
            </w:r>
          </w:p>
        </w:tc>
        <w:tc>
          <w:tcPr>
            <w:tcW w:w="1325" w:type="dxa"/>
            <w:tcBorders>
              <w:tl2br w:val="nil"/>
              <w:tr2bl w:val="nil"/>
            </w:tcBorders>
            <w:vAlign w:val="center"/>
          </w:tcPr>
          <w:p w14:paraId="054FDD18">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设备名称</w:t>
            </w:r>
          </w:p>
        </w:tc>
        <w:tc>
          <w:tcPr>
            <w:tcW w:w="1538" w:type="dxa"/>
            <w:tcBorders>
              <w:tl2br w:val="nil"/>
              <w:tr2bl w:val="nil"/>
            </w:tcBorders>
            <w:vAlign w:val="center"/>
          </w:tcPr>
          <w:p w14:paraId="0244460E">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规格、</w:t>
            </w: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型号</w:t>
            </w:r>
          </w:p>
        </w:tc>
        <w:tc>
          <w:tcPr>
            <w:tcW w:w="1150" w:type="dxa"/>
            <w:tcBorders>
              <w:tl2br w:val="nil"/>
              <w:tr2bl w:val="nil"/>
            </w:tcBorders>
            <w:vAlign w:val="center"/>
          </w:tcPr>
          <w:p w14:paraId="7383B2A1">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现有工程</w:t>
            </w:r>
          </w:p>
        </w:tc>
        <w:tc>
          <w:tcPr>
            <w:tcW w:w="1012" w:type="dxa"/>
            <w:tcBorders>
              <w:tl2br w:val="nil"/>
              <w:tr2bl w:val="nil"/>
            </w:tcBorders>
            <w:vAlign w:val="center"/>
          </w:tcPr>
          <w:p w14:paraId="5D79150D">
            <w:pPr>
              <w:pStyle w:val="66"/>
              <w:jc w:val="cente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技改后</w:t>
            </w:r>
          </w:p>
          <w:p w14:paraId="29CC830F">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全厂</w:t>
            </w:r>
          </w:p>
        </w:tc>
        <w:tc>
          <w:tcPr>
            <w:tcW w:w="800" w:type="dxa"/>
            <w:tcBorders>
              <w:tl2br w:val="nil"/>
              <w:tr2bl w:val="nil"/>
            </w:tcBorders>
            <w:vAlign w:val="center"/>
          </w:tcPr>
          <w:p w14:paraId="525E883E">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变化量</w:t>
            </w:r>
          </w:p>
        </w:tc>
        <w:tc>
          <w:tcPr>
            <w:tcW w:w="2047" w:type="dxa"/>
            <w:tcBorders>
              <w:tl2br w:val="nil"/>
              <w:tr2bl w:val="nil"/>
            </w:tcBorders>
            <w:vAlign w:val="center"/>
          </w:tcPr>
          <w:p w14:paraId="6344A774">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备注</w:t>
            </w:r>
          </w:p>
        </w:tc>
      </w:tr>
      <w:tr w14:paraId="7BBBB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05" w:type="dxa"/>
            <w:gridSpan w:val="7"/>
            <w:tcBorders>
              <w:tl2br w:val="nil"/>
              <w:tr2bl w:val="nil"/>
            </w:tcBorders>
            <w:vAlign w:val="center"/>
          </w:tcPr>
          <w:p w14:paraId="6C55C78B">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生产线</w:t>
            </w:r>
          </w:p>
        </w:tc>
      </w:tr>
      <w:tr w14:paraId="1058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33" w:type="dxa"/>
            <w:tcBorders>
              <w:tl2br w:val="nil"/>
              <w:tr2bl w:val="nil"/>
            </w:tcBorders>
            <w:vAlign w:val="center"/>
          </w:tcPr>
          <w:p w14:paraId="3FA8EDBB">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w:t>
            </w:r>
          </w:p>
        </w:tc>
        <w:tc>
          <w:tcPr>
            <w:tcW w:w="1325" w:type="dxa"/>
            <w:tcBorders>
              <w:tl2br w:val="nil"/>
              <w:tr2bl w:val="nil"/>
            </w:tcBorders>
            <w:vAlign w:val="center"/>
          </w:tcPr>
          <w:p w14:paraId="49FB55ED">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浸泡池</w:t>
            </w:r>
          </w:p>
        </w:tc>
        <w:tc>
          <w:tcPr>
            <w:tcW w:w="1538" w:type="dxa"/>
            <w:tcBorders>
              <w:tl2br w:val="nil"/>
              <w:tr2bl w:val="nil"/>
            </w:tcBorders>
            <w:vAlign w:val="center"/>
          </w:tcPr>
          <w:p w14:paraId="6683EFC1">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直径1.5m，高1.5m</w:t>
            </w:r>
          </w:p>
        </w:tc>
        <w:tc>
          <w:tcPr>
            <w:tcW w:w="1150" w:type="dxa"/>
            <w:tcBorders>
              <w:tl2br w:val="nil"/>
              <w:tr2bl w:val="nil"/>
            </w:tcBorders>
            <w:vAlign w:val="center"/>
          </w:tcPr>
          <w:p w14:paraId="6865DC34">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1012" w:type="dxa"/>
            <w:tcBorders>
              <w:tl2br w:val="nil"/>
              <w:tr2bl w:val="nil"/>
            </w:tcBorders>
            <w:vAlign w:val="center"/>
          </w:tcPr>
          <w:p w14:paraId="5D7CCBF2">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5个</w:t>
            </w:r>
          </w:p>
        </w:tc>
        <w:tc>
          <w:tcPr>
            <w:tcW w:w="800" w:type="dxa"/>
            <w:tcBorders>
              <w:tl2br w:val="nil"/>
              <w:tr2bl w:val="nil"/>
            </w:tcBorders>
            <w:vAlign w:val="center"/>
          </w:tcPr>
          <w:p w14:paraId="53C29661">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+5</w:t>
            </w:r>
          </w:p>
        </w:tc>
        <w:tc>
          <w:tcPr>
            <w:tcW w:w="2047" w:type="dxa"/>
            <w:tcBorders>
              <w:tl2br w:val="nil"/>
              <w:tr2bl w:val="nil"/>
            </w:tcBorders>
            <w:vAlign w:val="center"/>
          </w:tcPr>
          <w:p w14:paraId="2FC8E38A">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新增，用于槟榔煮籽工序，使用锅炉供热</w:t>
            </w:r>
          </w:p>
        </w:tc>
      </w:tr>
      <w:tr w14:paraId="5B06B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33" w:type="dxa"/>
            <w:tcBorders>
              <w:tl2br w:val="nil"/>
              <w:tr2bl w:val="nil"/>
            </w:tcBorders>
            <w:vAlign w:val="center"/>
          </w:tcPr>
          <w:p w14:paraId="28965BA5">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2</w:t>
            </w:r>
          </w:p>
        </w:tc>
        <w:tc>
          <w:tcPr>
            <w:tcW w:w="1325" w:type="dxa"/>
            <w:tcBorders>
              <w:tl2br w:val="nil"/>
              <w:tr2bl w:val="nil"/>
            </w:tcBorders>
            <w:vAlign w:val="center"/>
          </w:tcPr>
          <w:p w14:paraId="626E2528">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压籽机</w:t>
            </w:r>
          </w:p>
        </w:tc>
        <w:tc>
          <w:tcPr>
            <w:tcW w:w="1538" w:type="dxa"/>
            <w:tcBorders>
              <w:tl2br w:val="nil"/>
              <w:tr2bl w:val="nil"/>
            </w:tcBorders>
            <w:vAlign w:val="center"/>
          </w:tcPr>
          <w:p w14:paraId="37E57570">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w:t>
            </w:r>
          </w:p>
        </w:tc>
        <w:tc>
          <w:tcPr>
            <w:tcW w:w="1150" w:type="dxa"/>
            <w:tcBorders>
              <w:tl2br w:val="nil"/>
              <w:tr2bl w:val="nil"/>
            </w:tcBorders>
            <w:vAlign w:val="center"/>
          </w:tcPr>
          <w:p w14:paraId="664B18D0">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2台</w:t>
            </w:r>
          </w:p>
        </w:tc>
        <w:tc>
          <w:tcPr>
            <w:tcW w:w="1012" w:type="dxa"/>
            <w:tcBorders>
              <w:tl2br w:val="nil"/>
              <w:tr2bl w:val="nil"/>
            </w:tcBorders>
            <w:vAlign w:val="center"/>
          </w:tcPr>
          <w:p w14:paraId="7FA25571">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2台</w:t>
            </w:r>
          </w:p>
        </w:tc>
        <w:tc>
          <w:tcPr>
            <w:tcW w:w="800" w:type="dxa"/>
            <w:tcBorders>
              <w:tl2br w:val="nil"/>
              <w:tr2bl w:val="nil"/>
            </w:tcBorders>
            <w:vAlign w:val="center"/>
          </w:tcPr>
          <w:p w14:paraId="655F40BA">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2047" w:type="dxa"/>
            <w:tcBorders>
              <w:tl2br w:val="nil"/>
              <w:tr2bl w:val="nil"/>
            </w:tcBorders>
            <w:vAlign w:val="center"/>
          </w:tcPr>
          <w:p w14:paraId="3D82CBF0">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利旧，用于压籽工序</w:t>
            </w:r>
          </w:p>
        </w:tc>
      </w:tr>
      <w:tr w14:paraId="2911E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33" w:type="dxa"/>
            <w:tcBorders>
              <w:tl2br w:val="nil"/>
              <w:tr2bl w:val="nil"/>
            </w:tcBorders>
            <w:vAlign w:val="center"/>
          </w:tcPr>
          <w:p w14:paraId="274A3A43">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3</w:t>
            </w:r>
          </w:p>
        </w:tc>
        <w:tc>
          <w:tcPr>
            <w:tcW w:w="1325" w:type="dxa"/>
            <w:tcBorders>
              <w:tl2br w:val="nil"/>
              <w:tr2bl w:val="nil"/>
            </w:tcBorders>
            <w:vAlign w:val="center"/>
          </w:tcPr>
          <w:p w14:paraId="48B91B97">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切籽机</w:t>
            </w:r>
          </w:p>
        </w:tc>
        <w:tc>
          <w:tcPr>
            <w:tcW w:w="1538" w:type="dxa"/>
            <w:tcBorders>
              <w:tl2br w:val="nil"/>
              <w:tr2bl w:val="nil"/>
            </w:tcBorders>
            <w:vAlign w:val="center"/>
          </w:tcPr>
          <w:p w14:paraId="218F0C4B">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09-11</w:t>
            </w:r>
          </w:p>
        </w:tc>
        <w:tc>
          <w:tcPr>
            <w:tcW w:w="1150" w:type="dxa"/>
            <w:tcBorders>
              <w:tl2br w:val="nil"/>
              <w:tr2bl w:val="nil"/>
            </w:tcBorders>
            <w:vAlign w:val="center"/>
          </w:tcPr>
          <w:p w14:paraId="03D48C68">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1台</w:t>
            </w:r>
          </w:p>
        </w:tc>
        <w:tc>
          <w:tcPr>
            <w:tcW w:w="1012" w:type="dxa"/>
            <w:tcBorders>
              <w:tl2br w:val="nil"/>
              <w:tr2bl w:val="nil"/>
            </w:tcBorders>
            <w:vAlign w:val="center"/>
          </w:tcPr>
          <w:p w14:paraId="57DA0E8A">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1台</w:t>
            </w:r>
          </w:p>
        </w:tc>
        <w:tc>
          <w:tcPr>
            <w:tcW w:w="800" w:type="dxa"/>
            <w:tcBorders>
              <w:tl2br w:val="nil"/>
              <w:tr2bl w:val="nil"/>
            </w:tcBorders>
            <w:vAlign w:val="center"/>
          </w:tcPr>
          <w:p w14:paraId="06077508">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2047" w:type="dxa"/>
            <w:tcBorders>
              <w:tl2br w:val="nil"/>
              <w:tr2bl w:val="nil"/>
            </w:tcBorders>
            <w:vAlign w:val="center"/>
          </w:tcPr>
          <w:p w14:paraId="1D668D88">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利旧，用于切籽工序</w:t>
            </w:r>
          </w:p>
        </w:tc>
      </w:tr>
      <w:tr w14:paraId="2518A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33" w:type="dxa"/>
            <w:tcBorders>
              <w:tl2br w:val="nil"/>
              <w:tr2bl w:val="nil"/>
            </w:tcBorders>
            <w:vAlign w:val="center"/>
          </w:tcPr>
          <w:p w14:paraId="17D483E7">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4</w:t>
            </w:r>
          </w:p>
        </w:tc>
        <w:tc>
          <w:tcPr>
            <w:tcW w:w="1325" w:type="dxa"/>
            <w:tcBorders>
              <w:tl2br w:val="nil"/>
              <w:tr2bl w:val="nil"/>
            </w:tcBorders>
            <w:vAlign w:val="center"/>
          </w:tcPr>
          <w:p w14:paraId="01E48984">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上胶机</w:t>
            </w:r>
          </w:p>
        </w:tc>
        <w:tc>
          <w:tcPr>
            <w:tcW w:w="1538" w:type="dxa"/>
            <w:tcBorders>
              <w:tl2br w:val="nil"/>
              <w:tr2bl w:val="nil"/>
            </w:tcBorders>
            <w:vAlign w:val="center"/>
          </w:tcPr>
          <w:p w14:paraId="4328978E">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w:t>
            </w:r>
          </w:p>
        </w:tc>
        <w:tc>
          <w:tcPr>
            <w:tcW w:w="1150" w:type="dxa"/>
            <w:tcBorders>
              <w:tl2br w:val="nil"/>
              <w:tr2bl w:val="nil"/>
            </w:tcBorders>
            <w:vAlign w:val="center"/>
          </w:tcPr>
          <w:p w14:paraId="1F36F223">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1012" w:type="dxa"/>
            <w:tcBorders>
              <w:tl2br w:val="nil"/>
              <w:tr2bl w:val="nil"/>
            </w:tcBorders>
            <w:vAlign w:val="center"/>
          </w:tcPr>
          <w:p w14:paraId="5D6F9102">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1台</w:t>
            </w:r>
          </w:p>
        </w:tc>
        <w:tc>
          <w:tcPr>
            <w:tcW w:w="800" w:type="dxa"/>
            <w:tcBorders>
              <w:tl2br w:val="nil"/>
              <w:tr2bl w:val="nil"/>
            </w:tcBorders>
            <w:vAlign w:val="center"/>
          </w:tcPr>
          <w:p w14:paraId="76C7815C">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w:t>
            </w:r>
          </w:p>
        </w:tc>
        <w:tc>
          <w:tcPr>
            <w:tcW w:w="2047" w:type="dxa"/>
            <w:tcBorders>
              <w:tl2br w:val="nil"/>
              <w:tr2bl w:val="nil"/>
            </w:tcBorders>
            <w:vAlign w:val="center"/>
          </w:tcPr>
          <w:p w14:paraId="4BB56C77">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新增，用于上胶工序</w:t>
            </w:r>
          </w:p>
        </w:tc>
      </w:tr>
      <w:tr w14:paraId="5B563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33" w:type="dxa"/>
            <w:tcBorders>
              <w:tl2br w:val="nil"/>
              <w:tr2bl w:val="nil"/>
            </w:tcBorders>
            <w:vAlign w:val="center"/>
          </w:tcPr>
          <w:p w14:paraId="7695AFBA">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5</w:t>
            </w:r>
          </w:p>
        </w:tc>
        <w:tc>
          <w:tcPr>
            <w:tcW w:w="1325" w:type="dxa"/>
            <w:tcBorders>
              <w:tl2br w:val="nil"/>
              <w:tr2bl w:val="nil"/>
            </w:tcBorders>
            <w:vAlign w:val="center"/>
          </w:tcPr>
          <w:p w14:paraId="7B3F1FDE">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选片设备</w:t>
            </w:r>
          </w:p>
        </w:tc>
        <w:tc>
          <w:tcPr>
            <w:tcW w:w="1538" w:type="dxa"/>
            <w:tcBorders>
              <w:tl2br w:val="nil"/>
              <w:tr2bl w:val="nil"/>
            </w:tcBorders>
            <w:vAlign w:val="center"/>
          </w:tcPr>
          <w:p w14:paraId="6D7DFDEB">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w:t>
            </w:r>
          </w:p>
        </w:tc>
        <w:tc>
          <w:tcPr>
            <w:tcW w:w="1150" w:type="dxa"/>
            <w:tcBorders>
              <w:tl2br w:val="nil"/>
              <w:tr2bl w:val="nil"/>
            </w:tcBorders>
            <w:vAlign w:val="center"/>
          </w:tcPr>
          <w:p w14:paraId="31760244">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1012" w:type="dxa"/>
            <w:tcBorders>
              <w:tl2br w:val="nil"/>
              <w:tr2bl w:val="nil"/>
            </w:tcBorders>
            <w:vAlign w:val="center"/>
          </w:tcPr>
          <w:p w14:paraId="433AD104">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1台</w:t>
            </w:r>
          </w:p>
        </w:tc>
        <w:tc>
          <w:tcPr>
            <w:tcW w:w="800" w:type="dxa"/>
            <w:tcBorders>
              <w:tl2br w:val="nil"/>
              <w:tr2bl w:val="nil"/>
            </w:tcBorders>
            <w:vAlign w:val="center"/>
          </w:tcPr>
          <w:p w14:paraId="61576E3C">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w:t>
            </w:r>
          </w:p>
        </w:tc>
        <w:tc>
          <w:tcPr>
            <w:tcW w:w="2047" w:type="dxa"/>
            <w:tcBorders>
              <w:tl2br w:val="nil"/>
              <w:tr2bl w:val="nil"/>
            </w:tcBorders>
            <w:vAlign w:val="center"/>
          </w:tcPr>
          <w:p w14:paraId="22C50354">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新增，用于槟榔筛选</w:t>
            </w:r>
          </w:p>
        </w:tc>
      </w:tr>
      <w:tr w14:paraId="7687E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533" w:type="dxa"/>
            <w:tcBorders>
              <w:tl2br w:val="nil"/>
              <w:tr2bl w:val="nil"/>
            </w:tcBorders>
            <w:vAlign w:val="center"/>
          </w:tcPr>
          <w:p w14:paraId="2AC4C958">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6</w:t>
            </w:r>
          </w:p>
        </w:tc>
        <w:tc>
          <w:tcPr>
            <w:tcW w:w="1325" w:type="dxa"/>
            <w:tcBorders>
              <w:tl2br w:val="nil"/>
              <w:tr2bl w:val="nil"/>
            </w:tcBorders>
            <w:vAlign w:val="center"/>
          </w:tcPr>
          <w:p w14:paraId="63DB6F86">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点卤机</w:t>
            </w:r>
          </w:p>
        </w:tc>
        <w:tc>
          <w:tcPr>
            <w:tcW w:w="1538" w:type="dxa"/>
            <w:tcBorders>
              <w:tl2br w:val="nil"/>
              <w:tr2bl w:val="nil"/>
            </w:tcBorders>
            <w:vAlign w:val="center"/>
          </w:tcPr>
          <w:p w14:paraId="0E7E1B10">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W9-4A</w:t>
            </w:r>
          </w:p>
        </w:tc>
        <w:tc>
          <w:tcPr>
            <w:tcW w:w="1150" w:type="dxa"/>
            <w:tcBorders>
              <w:tl2br w:val="nil"/>
              <w:tr2bl w:val="nil"/>
            </w:tcBorders>
            <w:vAlign w:val="center"/>
          </w:tcPr>
          <w:p w14:paraId="11D48815">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1台</w:t>
            </w:r>
          </w:p>
        </w:tc>
        <w:tc>
          <w:tcPr>
            <w:tcW w:w="1012" w:type="dxa"/>
            <w:tcBorders>
              <w:tl2br w:val="nil"/>
              <w:tr2bl w:val="nil"/>
            </w:tcBorders>
            <w:vAlign w:val="center"/>
          </w:tcPr>
          <w:p w14:paraId="05DDD25F">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2台</w:t>
            </w:r>
          </w:p>
        </w:tc>
        <w:tc>
          <w:tcPr>
            <w:tcW w:w="800" w:type="dxa"/>
            <w:tcBorders>
              <w:tl2br w:val="nil"/>
              <w:tr2bl w:val="nil"/>
            </w:tcBorders>
            <w:vAlign w:val="center"/>
          </w:tcPr>
          <w:p w14:paraId="721B8230">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w:t>
            </w:r>
          </w:p>
        </w:tc>
        <w:tc>
          <w:tcPr>
            <w:tcW w:w="2047" w:type="dxa"/>
            <w:tcBorders>
              <w:tl2br w:val="nil"/>
              <w:tr2bl w:val="nil"/>
            </w:tcBorders>
            <w:vAlign w:val="center"/>
          </w:tcPr>
          <w:p w14:paraId="3BBA3BD6">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新增1台，用于点卤工序，现有点卤机改为在设备检修、维修情况下使用</w:t>
            </w:r>
          </w:p>
        </w:tc>
      </w:tr>
      <w:tr w14:paraId="3C496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33" w:type="dxa"/>
            <w:tcBorders>
              <w:tl2br w:val="nil"/>
              <w:tr2bl w:val="nil"/>
            </w:tcBorders>
            <w:vAlign w:val="center"/>
          </w:tcPr>
          <w:p w14:paraId="59DF8BFC">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7</w:t>
            </w:r>
          </w:p>
        </w:tc>
        <w:tc>
          <w:tcPr>
            <w:tcW w:w="1325" w:type="dxa"/>
            <w:tcBorders>
              <w:tl2br w:val="nil"/>
              <w:tr2bl w:val="nil"/>
            </w:tcBorders>
            <w:vAlign w:val="center"/>
          </w:tcPr>
          <w:p w14:paraId="6C03B714">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发籽罐</w:t>
            </w:r>
          </w:p>
        </w:tc>
        <w:tc>
          <w:tcPr>
            <w:tcW w:w="1538" w:type="dxa"/>
            <w:tcBorders>
              <w:tl2br w:val="nil"/>
              <w:tr2bl w:val="nil"/>
            </w:tcBorders>
            <w:vAlign w:val="center"/>
          </w:tcPr>
          <w:p w14:paraId="14596001">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2t</w:t>
            </w:r>
          </w:p>
        </w:tc>
        <w:tc>
          <w:tcPr>
            <w:tcW w:w="1150" w:type="dxa"/>
            <w:tcBorders>
              <w:tl2br w:val="nil"/>
              <w:tr2bl w:val="nil"/>
            </w:tcBorders>
            <w:vAlign w:val="center"/>
          </w:tcPr>
          <w:p w14:paraId="7B48EE4B">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1012" w:type="dxa"/>
            <w:tcBorders>
              <w:tl2br w:val="nil"/>
              <w:tr2bl w:val="nil"/>
            </w:tcBorders>
            <w:vAlign w:val="center"/>
          </w:tcPr>
          <w:p w14:paraId="786CAA8B">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6个</w:t>
            </w:r>
          </w:p>
        </w:tc>
        <w:tc>
          <w:tcPr>
            <w:tcW w:w="800" w:type="dxa"/>
            <w:tcBorders>
              <w:tl2br w:val="nil"/>
              <w:tr2bl w:val="nil"/>
            </w:tcBorders>
            <w:vAlign w:val="center"/>
          </w:tcPr>
          <w:p w14:paraId="054B7762">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+6</w:t>
            </w:r>
          </w:p>
        </w:tc>
        <w:tc>
          <w:tcPr>
            <w:tcW w:w="2047" w:type="dxa"/>
            <w:tcBorders>
              <w:tl2br w:val="nil"/>
              <w:tr2bl w:val="nil"/>
            </w:tcBorders>
            <w:vAlign w:val="center"/>
          </w:tcPr>
          <w:p w14:paraId="41966259">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新增，其中2个用于上胶工序，其余4个用于发籽工序（其中2个使用，2个备用），使用电供热</w:t>
            </w:r>
          </w:p>
        </w:tc>
      </w:tr>
      <w:tr w14:paraId="43556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33" w:type="dxa"/>
            <w:tcBorders>
              <w:tl2br w:val="nil"/>
              <w:tr2bl w:val="nil"/>
            </w:tcBorders>
            <w:vAlign w:val="center"/>
          </w:tcPr>
          <w:p w14:paraId="649BEB34">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8</w:t>
            </w:r>
          </w:p>
        </w:tc>
        <w:tc>
          <w:tcPr>
            <w:tcW w:w="1325" w:type="dxa"/>
            <w:tcBorders>
              <w:tl2br w:val="nil"/>
              <w:tr2bl w:val="nil"/>
            </w:tcBorders>
            <w:vAlign w:val="center"/>
          </w:tcPr>
          <w:p w14:paraId="229B8339">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切籽刀具</w:t>
            </w:r>
          </w:p>
        </w:tc>
        <w:tc>
          <w:tcPr>
            <w:tcW w:w="1538" w:type="dxa"/>
            <w:tcBorders>
              <w:tl2br w:val="nil"/>
              <w:tr2bl w:val="nil"/>
            </w:tcBorders>
            <w:vAlign w:val="center"/>
          </w:tcPr>
          <w:p w14:paraId="261C6558">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w:t>
            </w:r>
          </w:p>
        </w:tc>
        <w:tc>
          <w:tcPr>
            <w:tcW w:w="1150" w:type="dxa"/>
            <w:tcBorders>
              <w:tl2br w:val="nil"/>
              <w:tr2bl w:val="nil"/>
            </w:tcBorders>
            <w:vAlign w:val="center"/>
          </w:tcPr>
          <w:p w14:paraId="3AE70D86">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70把</w:t>
            </w:r>
          </w:p>
        </w:tc>
        <w:tc>
          <w:tcPr>
            <w:tcW w:w="1012" w:type="dxa"/>
            <w:tcBorders>
              <w:tl2br w:val="nil"/>
              <w:tr2bl w:val="nil"/>
            </w:tcBorders>
            <w:vAlign w:val="center"/>
          </w:tcPr>
          <w:p w14:paraId="5A1F36E6">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70把</w:t>
            </w:r>
          </w:p>
        </w:tc>
        <w:tc>
          <w:tcPr>
            <w:tcW w:w="800" w:type="dxa"/>
            <w:tcBorders>
              <w:tl2br w:val="nil"/>
              <w:tr2bl w:val="nil"/>
            </w:tcBorders>
            <w:vAlign w:val="center"/>
          </w:tcPr>
          <w:p w14:paraId="4FB272FC">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2047" w:type="dxa"/>
            <w:tcBorders>
              <w:tl2br w:val="nil"/>
              <w:tr2bl w:val="nil"/>
            </w:tcBorders>
            <w:vAlign w:val="center"/>
          </w:tcPr>
          <w:p w14:paraId="1B0386CF">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利旧</w:t>
            </w:r>
          </w:p>
        </w:tc>
      </w:tr>
      <w:tr w14:paraId="3BC17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33" w:type="dxa"/>
            <w:tcBorders>
              <w:tl2br w:val="nil"/>
              <w:tr2bl w:val="nil"/>
            </w:tcBorders>
            <w:vAlign w:val="center"/>
          </w:tcPr>
          <w:p w14:paraId="5393BAFA">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9</w:t>
            </w:r>
          </w:p>
        </w:tc>
        <w:tc>
          <w:tcPr>
            <w:tcW w:w="1325" w:type="dxa"/>
            <w:tcBorders>
              <w:tl2br w:val="nil"/>
              <w:tr2bl w:val="nil"/>
            </w:tcBorders>
            <w:vAlign w:val="center"/>
          </w:tcPr>
          <w:p w14:paraId="7245FE4D">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烤籽房</w:t>
            </w:r>
          </w:p>
        </w:tc>
        <w:tc>
          <w:tcPr>
            <w:tcW w:w="1538" w:type="dxa"/>
            <w:tcBorders>
              <w:tl2br w:val="nil"/>
              <w:tr2bl w:val="nil"/>
            </w:tcBorders>
            <w:vAlign w:val="center"/>
          </w:tcPr>
          <w:p w14:paraId="20487DE7">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长6.5m、宽2.5m、高2.5m</w:t>
            </w:r>
          </w:p>
        </w:tc>
        <w:tc>
          <w:tcPr>
            <w:tcW w:w="1150" w:type="dxa"/>
            <w:tcBorders>
              <w:tl2br w:val="nil"/>
              <w:tr2bl w:val="nil"/>
            </w:tcBorders>
            <w:vAlign w:val="center"/>
          </w:tcPr>
          <w:p w14:paraId="7C980822">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1012" w:type="dxa"/>
            <w:tcBorders>
              <w:tl2br w:val="nil"/>
              <w:tr2bl w:val="nil"/>
            </w:tcBorders>
            <w:vAlign w:val="center"/>
          </w:tcPr>
          <w:p w14:paraId="6A118DAA">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1间</w:t>
            </w:r>
          </w:p>
        </w:tc>
        <w:tc>
          <w:tcPr>
            <w:tcW w:w="800" w:type="dxa"/>
            <w:tcBorders>
              <w:tl2br w:val="nil"/>
              <w:tr2bl w:val="nil"/>
            </w:tcBorders>
            <w:vAlign w:val="center"/>
          </w:tcPr>
          <w:p w14:paraId="76B1FF7C">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w:t>
            </w:r>
          </w:p>
        </w:tc>
        <w:tc>
          <w:tcPr>
            <w:tcW w:w="2047" w:type="dxa"/>
            <w:tcBorders>
              <w:tl2br w:val="nil"/>
              <w:tr2bl w:val="nil"/>
            </w:tcBorders>
            <w:vAlign w:val="center"/>
          </w:tcPr>
          <w:p w14:paraId="01F50B67">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新增，用于烤籽工序，使用锅炉供热</w:t>
            </w:r>
          </w:p>
        </w:tc>
      </w:tr>
      <w:tr w14:paraId="45556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33" w:type="dxa"/>
            <w:tcBorders>
              <w:tl2br w:val="nil"/>
              <w:tr2bl w:val="nil"/>
            </w:tcBorders>
            <w:vAlign w:val="center"/>
          </w:tcPr>
          <w:p w14:paraId="5C1F1B01">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10</w:t>
            </w:r>
          </w:p>
        </w:tc>
        <w:tc>
          <w:tcPr>
            <w:tcW w:w="1325" w:type="dxa"/>
            <w:tcBorders>
              <w:tl2br w:val="nil"/>
              <w:tr2bl w:val="nil"/>
            </w:tcBorders>
            <w:vAlign w:val="center"/>
          </w:tcPr>
          <w:p w14:paraId="735AA815">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真空包装机</w:t>
            </w:r>
          </w:p>
        </w:tc>
        <w:tc>
          <w:tcPr>
            <w:tcW w:w="1538" w:type="dxa"/>
            <w:tcBorders>
              <w:tl2br w:val="nil"/>
              <w:tr2bl w:val="nil"/>
            </w:tcBorders>
            <w:vAlign w:val="center"/>
          </w:tcPr>
          <w:p w14:paraId="19673DAE">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w:t>
            </w:r>
          </w:p>
        </w:tc>
        <w:tc>
          <w:tcPr>
            <w:tcW w:w="1150" w:type="dxa"/>
            <w:tcBorders>
              <w:tl2br w:val="nil"/>
              <w:tr2bl w:val="nil"/>
            </w:tcBorders>
            <w:vAlign w:val="center"/>
          </w:tcPr>
          <w:p w14:paraId="42AFF953">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1012" w:type="dxa"/>
            <w:tcBorders>
              <w:tl2br w:val="nil"/>
              <w:tr2bl w:val="nil"/>
            </w:tcBorders>
            <w:vAlign w:val="center"/>
          </w:tcPr>
          <w:p w14:paraId="034E2813">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1台</w:t>
            </w:r>
          </w:p>
        </w:tc>
        <w:tc>
          <w:tcPr>
            <w:tcW w:w="800" w:type="dxa"/>
            <w:tcBorders>
              <w:tl2br w:val="nil"/>
              <w:tr2bl w:val="nil"/>
            </w:tcBorders>
            <w:vAlign w:val="center"/>
          </w:tcPr>
          <w:p w14:paraId="2FD3CEB4">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w:t>
            </w:r>
          </w:p>
        </w:tc>
        <w:tc>
          <w:tcPr>
            <w:tcW w:w="2047" w:type="dxa"/>
            <w:tcBorders>
              <w:tl2br w:val="nil"/>
              <w:tr2bl w:val="nil"/>
            </w:tcBorders>
            <w:vAlign w:val="center"/>
          </w:tcPr>
          <w:p w14:paraId="6AF48C10">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新增，用于包装工序</w:t>
            </w:r>
          </w:p>
        </w:tc>
      </w:tr>
      <w:tr w14:paraId="5854B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533" w:type="dxa"/>
            <w:tcBorders>
              <w:tl2br w:val="nil"/>
              <w:tr2bl w:val="nil"/>
            </w:tcBorders>
            <w:vAlign w:val="center"/>
          </w:tcPr>
          <w:p w14:paraId="2552606B">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11</w:t>
            </w:r>
          </w:p>
        </w:tc>
        <w:tc>
          <w:tcPr>
            <w:tcW w:w="1325" w:type="dxa"/>
            <w:tcBorders>
              <w:tl2br w:val="nil"/>
              <w:tr2bl w:val="nil"/>
            </w:tcBorders>
            <w:vAlign w:val="center"/>
          </w:tcPr>
          <w:p w14:paraId="3AAB9DB2">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封口机</w:t>
            </w:r>
          </w:p>
        </w:tc>
        <w:tc>
          <w:tcPr>
            <w:tcW w:w="1538" w:type="dxa"/>
            <w:tcBorders>
              <w:tl2br w:val="nil"/>
              <w:tr2bl w:val="nil"/>
            </w:tcBorders>
            <w:vAlign w:val="center"/>
          </w:tcPr>
          <w:p w14:paraId="1D4E1C6B">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w:t>
            </w:r>
          </w:p>
        </w:tc>
        <w:tc>
          <w:tcPr>
            <w:tcW w:w="1150" w:type="dxa"/>
            <w:tcBorders>
              <w:tl2br w:val="nil"/>
              <w:tr2bl w:val="nil"/>
            </w:tcBorders>
            <w:vAlign w:val="center"/>
          </w:tcPr>
          <w:p w14:paraId="3A4223BE">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1012" w:type="dxa"/>
            <w:tcBorders>
              <w:tl2br w:val="nil"/>
              <w:tr2bl w:val="nil"/>
            </w:tcBorders>
            <w:vAlign w:val="center"/>
          </w:tcPr>
          <w:p w14:paraId="58ABD5FA">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1台</w:t>
            </w:r>
          </w:p>
        </w:tc>
        <w:tc>
          <w:tcPr>
            <w:tcW w:w="800" w:type="dxa"/>
            <w:tcBorders>
              <w:tl2br w:val="nil"/>
              <w:tr2bl w:val="nil"/>
            </w:tcBorders>
            <w:vAlign w:val="center"/>
          </w:tcPr>
          <w:p w14:paraId="2D2E9217">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w:t>
            </w:r>
          </w:p>
        </w:tc>
        <w:tc>
          <w:tcPr>
            <w:tcW w:w="2047" w:type="dxa"/>
            <w:tcBorders>
              <w:tl2br w:val="nil"/>
              <w:tr2bl w:val="nil"/>
            </w:tcBorders>
            <w:vAlign w:val="center"/>
          </w:tcPr>
          <w:p w14:paraId="51C6C448">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新增，用于包装工序</w:t>
            </w:r>
          </w:p>
        </w:tc>
      </w:tr>
      <w:tr w14:paraId="7C9CE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3" w:type="dxa"/>
            <w:tcBorders>
              <w:tl2br w:val="nil"/>
              <w:tr2bl w:val="nil"/>
            </w:tcBorders>
            <w:vAlign w:val="center"/>
          </w:tcPr>
          <w:p w14:paraId="5B7322EA">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12</w:t>
            </w:r>
          </w:p>
        </w:tc>
        <w:tc>
          <w:tcPr>
            <w:tcW w:w="1325" w:type="dxa"/>
            <w:tcBorders>
              <w:tl2br w:val="nil"/>
              <w:tr2bl w:val="nil"/>
            </w:tcBorders>
            <w:vAlign w:val="center"/>
          </w:tcPr>
          <w:p w14:paraId="59E368B0">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软水机</w:t>
            </w:r>
          </w:p>
        </w:tc>
        <w:tc>
          <w:tcPr>
            <w:tcW w:w="1538" w:type="dxa"/>
            <w:tcBorders>
              <w:tl2br w:val="nil"/>
              <w:tr2bl w:val="nil"/>
            </w:tcBorders>
            <w:vAlign w:val="center"/>
          </w:tcPr>
          <w:p w14:paraId="788F6B2A">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2t/h</w:t>
            </w:r>
          </w:p>
        </w:tc>
        <w:tc>
          <w:tcPr>
            <w:tcW w:w="1150" w:type="dxa"/>
            <w:tcBorders>
              <w:tl2br w:val="nil"/>
              <w:tr2bl w:val="nil"/>
            </w:tcBorders>
            <w:vAlign w:val="center"/>
          </w:tcPr>
          <w:p w14:paraId="71A12E9D">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1012" w:type="dxa"/>
            <w:tcBorders>
              <w:tl2br w:val="nil"/>
              <w:tr2bl w:val="nil"/>
            </w:tcBorders>
            <w:vAlign w:val="center"/>
          </w:tcPr>
          <w:p w14:paraId="2003F3EE">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1台</w:t>
            </w:r>
          </w:p>
        </w:tc>
        <w:tc>
          <w:tcPr>
            <w:tcW w:w="800" w:type="dxa"/>
            <w:tcBorders>
              <w:tl2br w:val="nil"/>
              <w:tr2bl w:val="nil"/>
            </w:tcBorders>
            <w:vAlign w:val="center"/>
          </w:tcPr>
          <w:p w14:paraId="7D7ADD70">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w:t>
            </w:r>
          </w:p>
        </w:tc>
        <w:tc>
          <w:tcPr>
            <w:tcW w:w="2047" w:type="dxa"/>
            <w:tcBorders>
              <w:tl2br w:val="nil"/>
              <w:tr2bl w:val="nil"/>
            </w:tcBorders>
            <w:vAlign w:val="center"/>
          </w:tcPr>
          <w:p w14:paraId="70CC92FE">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新增，用于锅炉软水制备</w:t>
            </w:r>
          </w:p>
        </w:tc>
      </w:tr>
      <w:tr w14:paraId="3D835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533" w:type="dxa"/>
            <w:tcBorders>
              <w:tl2br w:val="nil"/>
              <w:tr2bl w:val="nil"/>
            </w:tcBorders>
            <w:vAlign w:val="center"/>
          </w:tcPr>
          <w:p w14:paraId="77599065">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13</w:t>
            </w:r>
          </w:p>
        </w:tc>
        <w:tc>
          <w:tcPr>
            <w:tcW w:w="1325" w:type="dxa"/>
            <w:tcBorders>
              <w:tl2br w:val="nil"/>
              <w:tr2bl w:val="nil"/>
            </w:tcBorders>
            <w:vAlign w:val="center"/>
          </w:tcPr>
          <w:p w14:paraId="1565348D">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生物质锅炉</w:t>
            </w:r>
          </w:p>
        </w:tc>
        <w:tc>
          <w:tcPr>
            <w:tcW w:w="1538" w:type="dxa"/>
            <w:tcBorders>
              <w:tl2br w:val="nil"/>
              <w:tr2bl w:val="nil"/>
            </w:tcBorders>
            <w:vAlign w:val="center"/>
          </w:tcPr>
          <w:p w14:paraId="681DE459">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2.5t/h</w:t>
            </w:r>
          </w:p>
        </w:tc>
        <w:tc>
          <w:tcPr>
            <w:tcW w:w="1150" w:type="dxa"/>
            <w:tcBorders>
              <w:tl2br w:val="nil"/>
              <w:tr2bl w:val="nil"/>
            </w:tcBorders>
            <w:vAlign w:val="center"/>
          </w:tcPr>
          <w:p w14:paraId="2F466367">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1012" w:type="dxa"/>
            <w:tcBorders>
              <w:tl2br w:val="nil"/>
              <w:tr2bl w:val="nil"/>
            </w:tcBorders>
            <w:vAlign w:val="center"/>
          </w:tcPr>
          <w:p w14:paraId="02283C50">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1台</w:t>
            </w:r>
          </w:p>
        </w:tc>
        <w:tc>
          <w:tcPr>
            <w:tcW w:w="800" w:type="dxa"/>
            <w:tcBorders>
              <w:tl2br w:val="nil"/>
              <w:tr2bl w:val="nil"/>
            </w:tcBorders>
            <w:vAlign w:val="center"/>
          </w:tcPr>
          <w:p w14:paraId="2A8B8660">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w:t>
            </w:r>
          </w:p>
        </w:tc>
        <w:tc>
          <w:tcPr>
            <w:tcW w:w="2047" w:type="dxa"/>
            <w:tcBorders>
              <w:tl2br w:val="nil"/>
              <w:tr2bl w:val="nil"/>
            </w:tcBorders>
            <w:vAlign w:val="center"/>
          </w:tcPr>
          <w:p w14:paraId="38AF0AEC">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新增，给煮籽、烤籽提供蒸汽</w:t>
            </w:r>
          </w:p>
        </w:tc>
      </w:tr>
      <w:tr w14:paraId="062AC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533" w:type="dxa"/>
            <w:tcBorders>
              <w:tl2br w:val="nil"/>
              <w:tr2bl w:val="nil"/>
            </w:tcBorders>
            <w:vAlign w:val="center"/>
          </w:tcPr>
          <w:p w14:paraId="34434CDB">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14</w:t>
            </w:r>
          </w:p>
        </w:tc>
        <w:tc>
          <w:tcPr>
            <w:tcW w:w="1325" w:type="dxa"/>
            <w:tcBorders>
              <w:tl2br w:val="nil"/>
              <w:tr2bl w:val="nil"/>
            </w:tcBorders>
            <w:vAlign w:val="center"/>
          </w:tcPr>
          <w:p w14:paraId="15671B20">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激光打码机</w:t>
            </w:r>
          </w:p>
        </w:tc>
        <w:tc>
          <w:tcPr>
            <w:tcW w:w="1538" w:type="dxa"/>
            <w:tcBorders>
              <w:tl2br w:val="nil"/>
              <w:tr2bl w:val="nil"/>
            </w:tcBorders>
            <w:vAlign w:val="center"/>
          </w:tcPr>
          <w:p w14:paraId="659A708B">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w:t>
            </w:r>
          </w:p>
        </w:tc>
        <w:tc>
          <w:tcPr>
            <w:tcW w:w="1150" w:type="dxa"/>
            <w:tcBorders>
              <w:tl2br w:val="nil"/>
              <w:tr2bl w:val="nil"/>
            </w:tcBorders>
            <w:vAlign w:val="center"/>
          </w:tcPr>
          <w:p w14:paraId="7285C3A8">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1012" w:type="dxa"/>
            <w:tcBorders>
              <w:tl2br w:val="nil"/>
              <w:tr2bl w:val="nil"/>
            </w:tcBorders>
            <w:vAlign w:val="center"/>
          </w:tcPr>
          <w:p w14:paraId="4424D146">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1台</w:t>
            </w:r>
          </w:p>
        </w:tc>
        <w:tc>
          <w:tcPr>
            <w:tcW w:w="800" w:type="dxa"/>
            <w:tcBorders>
              <w:tl2br w:val="nil"/>
              <w:tr2bl w:val="nil"/>
            </w:tcBorders>
            <w:vAlign w:val="center"/>
          </w:tcPr>
          <w:p w14:paraId="658A982F">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w:t>
            </w:r>
          </w:p>
        </w:tc>
        <w:tc>
          <w:tcPr>
            <w:tcW w:w="2047" w:type="dxa"/>
            <w:tcBorders>
              <w:tl2br w:val="nil"/>
              <w:tr2bl w:val="nil"/>
            </w:tcBorders>
            <w:vAlign w:val="center"/>
          </w:tcPr>
          <w:p w14:paraId="0777DF8D">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新增，用于包装工序</w:t>
            </w:r>
          </w:p>
        </w:tc>
      </w:tr>
      <w:tr w14:paraId="466D1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33" w:type="dxa"/>
            <w:tcBorders>
              <w:tl2br w:val="nil"/>
              <w:tr2bl w:val="nil"/>
            </w:tcBorders>
            <w:vAlign w:val="center"/>
          </w:tcPr>
          <w:p w14:paraId="52D18300">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15</w:t>
            </w:r>
          </w:p>
        </w:tc>
        <w:tc>
          <w:tcPr>
            <w:tcW w:w="1325" w:type="dxa"/>
            <w:tcBorders>
              <w:tl2br w:val="nil"/>
              <w:tr2bl w:val="nil"/>
            </w:tcBorders>
            <w:vAlign w:val="center"/>
          </w:tcPr>
          <w:p w14:paraId="39637FCB">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清洗桶</w:t>
            </w:r>
          </w:p>
        </w:tc>
        <w:tc>
          <w:tcPr>
            <w:tcW w:w="1538" w:type="dxa"/>
            <w:tcBorders>
              <w:tl2br w:val="nil"/>
              <w:tr2bl w:val="nil"/>
            </w:tcBorders>
            <w:vAlign w:val="center"/>
          </w:tcPr>
          <w:p w14:paraId="616F6ADC">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w:t>
            </w:r>
          </w:p>
        </w:tc>
        <w:tc>
          <w:tcPr>
            <w:tcW w:w="1150" w:type="dxa"/>
            <w:tcBorders>
              <w:tl2br w:val="nil"/>
              <w:tr2bl w:val="nil"/>
            </w:tcBorders>
            <w:vAlign w:val="center"/>
          </w:tcPr>
          <w:p w14:paraId="11840A1D">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1012" w:type="dxa"/>
            <w:tcBorders>
              <w:tl2br w:val="nil"/>
              <w:tr2bl w:val="nil"/>
            </w:tcBorders>
            <w:vAlign w:val="center"/>
          </w:tcPr>
          <w:p w14:paraId="330F25A6">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1个</w:t>
            </w:r>
          </w:p>
        </w:tc>
        <w:tc>
          <w:tcPr>
            <w:tcW w:w="800" w:type="dxa"/>
            <w:tcBorders>
              <w:tl2br w:val="nil"/>
              <w:tr2bl w:val="nil"/>
            </w:tcBorders>
            <w:vAlign w:val="center"/>
          </w:tcPr>
          <w:p w14:paraId="11421E57">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w:t>
            </w:r>
          </w:p>
        </w:tc>
        <w:tc>
          <w:tcPr>
            <w:tcW w:w="2047" w:type="dxa"/>
            <w:tcBorders>
              <w:tl2br w:val="nil"/>
              <w:tr2bl w:val="nil"/>
            </w:tcBorders>
            <w:vAlign w:val="center"/>
          </w:tcPr>
          <w:p w14:paraId="75DE4792">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用于槟榔清洗</w:t>
            </w:r>
          </w:p>
        </w:tc>
      </w:tr>
      <w:tr w14:paraId="74201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33" w:type="dxa"/>
            <w:tcBorders>
              <w:tl2br w:val="nil"/>
              <w:tr2bl w:val="nil"/>
            </w:tcBorders>
            <w:vAlign w:val="center"/>
          </w:tcPr>
          <w:p w14:paraId="128CB4AF">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16</w:t>
            </w:r>
          </w:p>
        </w:tc>
        <w:tc>
          <w:tcPr>
            <w:tcW w:w="1325" w:type="dxa"/>
            <w:tcBorders>
              <w:tl2br w:val="nil"/>
              <w:tr2bl w:val="nil"/>
            </w:tcBorders>
            <w:vAlign w:val="center"/>
          </w:tcPr>
          <w:p w14:paraId="362946DE">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卤水煮锅</w:t>
            </w:r>
          </w:p>
        </w:tc>
        <w:tc>
          <w:tcPr>
            <w:tcW w:w="1538" w:type="dxa"/>
            <w:tcBorders>
              <w:tl2br w:val="nil"/>
              <w:tr2bl w:val="nil"/>
            </w:tcBorders>
            <w:vAlign w:val="center"/>
          </w:tcPr>
          <w:p w14:paraId="283486A1">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w:t>
            </w:r>
          </w:p>
        </w:tc>
        <w:tc>
          <w:tcPr>
            <w:tcW w:w="1150" w:type="dxa"/>
            <w:tcBorders>
              <w:tl2br w:val="nil"/>
              <w:tr2bl w:val="nil"/>
            </w:tcBorders>
            <w:vAlign w:val="center"/>
          </w:tcPr>
          <w:p w14:paraId="4EF52C0E">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1012" w:type="dxa"/>
            <w:tcBorders>
              <w:tl2br w:val="nil"/>
              <w:tr2bl w:val="nil"/>
            </w:tcBorders>
            <w:vAlign w:val="center"/>
          </w:tcPr>
          <w:p w14:paraId="339020BC">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1个</w:t>
            </w:r>
          </w:p>
        </w:tc>
        <w:tc>
          <w:tcPr>
            <w:tcW w:w="800" w:type="dxa"/>
            <w:tcBorders>
              <w:tl2br w:val="nil"/>
              <w:tr2bl w:val="nil"/>
            </w:tcBorders>
            <w:vAlign w:val="center"/>
          </w:tcPr>
          <w:p w14:paraId="48DDF854">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w:t>
            </w:r>
          </w:p>
        </w:tc>
        <w:tc>
          <w:tcPr>
            <w:tcW w:w="2047" w:type="dxa"/>
            <w:tcBorders>
              <w:tl2br w:val="nil"/>
              <w:tr2bl w:val="nil"/>
            </w:tcBorders>
            <w:vAlign w:val="center"/>
          </w:tcPr>
          <w:p w14:paraId="719084F7">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新增，用于卤水制作工序，使用电</w:t>
            </w:r>
          </w:p>
        </w:tc>
      </w:tr>
      <w:tr w14:paraId="577CD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8405" w:type="dxa"/>
            <w:gridSpan w:val="7"/>
            <w:tcBorders>
              <w:tl2br w:val="nil"/>
              <w:tr2bl w:val="nil"/>
            </w:tcBorders>
            <w:vAlign w:val="center"/>
          </w:tcPr>
          <w:p w14:paraId="6FA3724F">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环保设备</w:t>
            </w:r>
          </w:p>
        </w:tc>
      </w:tr>
      <w:tr w14:paraId="0DD62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33" w:type="dxa"/>
            <w:tcBorders>
              <w:tl2br w:val="nil"/>
              <w:tr2bl w:val="nil"/>
            </w:tcBorders>
            <w:vAlign w:val="center"/>
          </w:tcPr>
          <w:p w14:paraId="17EF7814">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17</w:t>
            </w:r>
          </w:p>
        </w:tc>
        <w:tc>
          <w:tcPr>
            <w:tcW w:w="1325" w:type="dxa"/>
            <w:tcBorders>
              <w:tl2br w:val="nil"/>
              <w:tr2bl w:val="nil"/>
            </w:tcBorders>
            <w:vAlign w:val="center"/>
          </w:tcPr>
          <w:p w14:paraId="25EC9040">
            <w:pPr>
              <w:pStyle w:val="66"/>
              <w:jc w:val="cente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污水处理</w:t>
            </w:r>
          </w:p>
          <w:p w14:paraId="5EE04CDE">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设施</w:t>
            </w:r>
          </w:p>
        </w:tc>
        <w:tc>
          <w:tcPr>
            <w:tcW w:w="1538" w:type="dxa"/>
            <w:tcBorders>
              <w:tl2br w:val="nil"/>
              <w:tr2bl w:val="nil"/>
            </w:tcBorders>
            <w:vAlign w:val="center"/>
          </w:tcPr>
          <w:p w14:paraId="1660E327">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w:t>
            </w:r>
          </w:p>
        </w:tc>
        <w:tc>
          <w:tcPr>
            <w:tcW w:w="1150" w:type="dxa"/>
            <w:tcBorders>
              <w:tl2br w:val="nil"/>
              <w:tr2bl w:val="nil"/>
            </w:tcBorders>
            <w:vAlign w:val="center"/>
          </w:tcPr>
          <w:p w14:paraId="6E476A4C">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1012" w:type="dxa"/>
            <w:tcBorders>
              <w:tl2br w:val="nil"/>
              <w:tr2bl w:val="nil"/>
            </w:tcBorders>
            <w:vAlign w:val="center"/>
          </w:tcPr>
          <w:p w14:paraId="367A68A0">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1套</w:t>
            </w:r>
          </w:p>
        </w:tc>
        <w:tc>
          <w:tcPr>
            <w:tcW w:w="800" w:type="dxa"/>
            <w:tcBorders>
              <w:tl2br w:val="nil"/>
              <w:tr2bl w:val="nil"/>
            </w:tcBorders>
            <w:vAlign w:val="center"/>
          </w:tcPr>
          <w:p w14:paraId="06F32943">
            <w:pPr>
              <w:pStyle w:val="66"/>
              <w:jc w:val="cente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w:t>
            </w:r>
          </w:p>
        </w:tc>
        <w:tc>
          <w:tcPr>
            <w:tcW w:w="2047" w:type="dxa"/>
            <w:tcBorders>
              <w:tl2br w:val="nil"/>
              <w:tr2bl w:val="nil"/>
            </w:tcBorders>
            <w:vAlign w:val="center"/>
          </w:tcPr>
          <w:p w14:paraId="4EE2E6AA">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处理能力15m3/d</w:t>
            </w:r>
          </w:p>
        </w:tc>
      </w:tr>
      <w:tr w14:paraId="3F353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33" w:type="dxa"/>
            <w:tcBorders>
              <w:tl2br w:val="nil"/>
              <w:tr2bl w:val="nil"/>
            </w:tcBorders>
            <w:vAlign w:val="center"/>
          </w:tcPr>
          <w:p w14:paraId="35D7EAC3">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18</w:t>
            </w:r>
          </w:p>
        </w:tc>
        <w:tc>
          <w:tcPr>
            <w:tcW w:w="1325" w:type="dxa"/>
            <w:tcBorders>
              <w:tl2br w:val="nil"/>
              <w:tr2bl w:val="nil"/>
            </w:tcBorders>
            <w:vAlign w:val="center"/>
          </w:tcPr>
          <w:p w14:paraId="5EDB5804">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旋风除尘+布袋除尘</w:t>
            </w:r>
          </w:p>
        </w:tc>
        <w:tc>
          <w:tcPr>
            <w:tcW w:w="1538" w:type="dxa"/>
            <w:tcBorders>
              <w:tl2br w:val="nil"/>
              <w:tr2bl w:val="nil"/>
            </w:tcBorders>
            <w:vAlign w:val="center"/>
          </w:tcPr>
          <w:p w14:paraId="082C2782">
            <w:pPr>
              <w:pStyle w:val="66"/>
              <w:jc w:val="cente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w:t>
            </w:r>
          </w:p>
        </w:tc>
        <w:tc>
          <w:tcPr>
            <w:tcW w:w="1150" w:type="dxa"/>
            <w:tcBorders>
              <w:tl2br w:val="nil"/>
              <w:tr2bl w:val="nil"/>
            </w:tcBorders>
            <w:vAlign w:val="center"/>
          </w:tcPr>
          <w:p w14:paraId="671C8CA9">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0</w:t>
            </w:r>
          </w:p>
        </w:tc>
        <w:tc>
          <w:tcPr>
            <w:tcW w:w="1012" w:type="dxa"/>
            <w:tcBorders>
              <w:tl2br w:val="nil"/>
              <w:tr2bl w:val="nil"/>
            </w:tcBorders>
            <w:vAlign w:val="center"/>
          </w:tcPr>
          <w:p w14:paraId="262CD768">
            <w:pPr>
              <w:pStyle w:val="66"/>
              <w:jc w:val="cente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1套</w:t>
            </w:r>
          </w:p>
        </w:tc>
        <w:tc>
          <w:tcPr>
            <w:tcW w:w="800" w:type="dxa"/>
            <w:tcBorders>
              <w:tl2br w:val="nil"/>
              <w:tr2bl w:val="nil"/>
            </w:tcBorders>
            <w:vAlign w:val="center"/>
          </w:tcPr>
          <w:p w14:paraId="4B9CAA15">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+1</w:t>
            </w:r>
          </w:p>
        </w:tc>
        <w:tc>
          <w:tcPr>
            <w:tcW w:w="2047" w:type="dxa"/>
            <w:tcBorders>
              <w:tl2br w:val="nil"/>
              <w:tr2bl w:val="nil"/>
            </w:tcBorders>
            <w:vAlign w:val="center"/>
          </w:tcPr>
          <w:p w14:paraId="034BC3E9">
            <w:pPr>
              <w:pStyle w:val="66"/>
              <w:jc w:val="center"/>
              <w:rPr>
                <w:rFonts w:hint="default"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21"/>
                <w:szCs w:val="21"/>
                <w:u w:val="none" w:color="auto"/>
                <w:lang w:val="en-US" w:eastAsia="zh-CN"/>
                <w14:textFill>
                  <w14:solidFill>
                    <w14:schemeClr w14:val="tx1"/>
                  </w14:solidFill>
                </w14:textFill>
              </w:rPr>
              <w:t>锅炉废气环保设施</w:t>
            </w:r>
          </w:p>
        </w:tc>
      </w:tr>
    </w:tbl>
    <w:p w14:paraId="527BA774">
      <w:pPr>
        <w:keepNext w:val="0"/>
        <w:keepLines w:val="0"/>
        <w:pageBreakBefore w:val="0"/>
        <w:wordWrap/>
        <w:overflowPunct/>
        <w:topLinePunct w:val="0"/>
        <w:bidi w:val="0"/>
        <w:adjustRightInd w:val="0"/>
        <w:snapToGrid w:val="0"/>
        <w:spacing w:line="360" w:lineRule="auto"/>
        <w:ind w:left="0"/>
        <w:jc w:val="both"/>
        <w:outlineLvl w:val="2"/>
        <w:rPr>
          <w:rFonts w:hint="default" w:ascii="Times New Roman" w:hAnsi="Times New Roman" w:eastAsia="宋体" w:cs="Times New Roman"/>
          <w:b/>
          <w:bCs/>
          <w:spacing w:val="-2"/>
          <w:sz w:val="24"/>
          <w:szCs w:val="24"/>
          <w:lang w:eastAsia="zh-CN"/>
        </w:rPr>
      </w:pPr>
      <w:bookmarkStart w:id="57" w:name="_Toc31695"/>
      <w:bookmarkStart w:id="58" w:name="_Toc15376"/>
      <w:bookmarkStart w:id="59" w:name="_Toc12334"/>
      <w:r>
        <w:rPr>
          <w:rFonts w:hint="eastAsia" w:ascii="Times New Roman" w:hAnsi="Times New Roman" w:eastAsia="宋体" w:cs="Times New Roman"/>
          <w:b/>
          <w:bCs/>
          <w:spacing w:val="-2"/>
          <w:sz w:val="24"/>
          <w:szCs w:val="24"/>
          <w:lang w:eastAsia="zh-CN"/>
        </w:rPr>
        <w:t>3.1.</w:t>
      </w:r>
      <w:r>
        <w:rPr>
          <w:rFonts w:hint="eastAsia" w:ascii="Times New Roman" w:hAnsi="Times New Roman" w:eastAsia="宋体" w:cs="Times New Roman"/>
          <w:b/>
          <w:bCs/>
          <w:spacing w:val="-2"/>
          <w:sz w:val="24"/>
          <w:szCs w:val="24"/>
          <w:lang w:val="en-US" w:eastAsia="zh-CN"/>
        </w:rPr>
        <w:t>5</w:t>
      </w:r>
      <w:r>
        <w:rPr>
          <w:rFonts w:hint="default" w:ascii="Times New Roman" w:hAnsi="Times New Roman" w:eastAsia="宋体" w:cs="Times New Roman"/>
          <w:b/>
          <w:bCs/>
          <w:spacing w:val="-2"/>
          <w:sz w:val="24"/>
          <w:szCs w:val="24"/>
          <w:lang w:eastAsia="zh-CN"/>
        </w:rPr>
        <w:t>产品方案</w:t>
      </w:r>
      <w:bookmarkEnd w:id="57"/>
      <w:bookmarkEnd w:id="58"/>
      <w:bookmarkEnd w:id="59"/>
    </w:p>
    <w:p w14:paraId="7E56F3B3">
      <w:pPr>
        <w:pStyle w:val="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lang w:eastAsia="zh-CN"/>
        </w:rPr>
      </w:pPr>
      <w:r>
        <w:rPr>
          <w:rFonts w:hint="eastAsia" w:ascii="Times New Roman" w:hAnsi="Times New Roman" w:eastAsia="宋体" w:cs="Times New Roman"/>
          <w:color w:val="auto"/>
          <w:lang w:val="en-US" w:eastAsia="zh-CN"/>
        </w:rPr>
        <w:t>产品方案如下</w:t>
      </w:r>
      <w:r>
        <w:rPr>
          <w:rFonts w:hint="eastAsia" w:ascii="Times New Roman" w:hAnsi="Times New Roman" w:eastAsia="宋体" w:cs="Times New Roman"/>
          <w:color w:val="auto"/>
          <w:lang w:eastAsia="zh-CN"/>
        </w:rPr>
        <w:t>。</w:t>
      </w:r>
    </w:p>
    <w:p w14:paraId="2C81698E">
      <w:pPr>
        <w:pStyle w:val="31"/>
        <w:keepNext w:val="0"/>
        <w:keepLines w:val="0"/>
        <w:pageBreakBefore w:val="0"/>
        <w:widowControl w:val="0"/>
        <w:tabs>
          <w:tab w:val="left" w:pos="1021"/>
        </w:tabs>
        <w:kinsoku/>
        <w:wordWrap/>
        <w:overflowPunct/>
        <w:topLinePunct w:val="0"/>
        <w:autoSpaceDE/>
        <w:autoSpaceDN/>
        <w:bidi w:val="0"/>
        <w:adjustRightInd w:val="0"/>
        <w:snapToGrid w:val="0"/>
        <w:spacing w:after="0" w:line="240" w:lineRule="auto"/>
        <w:textAlignment w:val="auto"/>
        <w:rPr>
          <w:rFonts w:ascii="Times New Roman" w:hAnsi="Times New Roman" w:eastAsia="宋体" w:cs="Times New Roman"/>
          <w:color w:val="auto"/>
          <w:lang w:eastAsia="zh-CN"/>
        </w:rPr>
      </w:pPr>
      <w:bookmarkStart w:id="60" w:name="_Toc29367"/>
      <w:bookmarkStart w:id="61" w:name="_Toc5554"/>
      <w:bookmarkStart w:id="62" w:name="_Toc6884"/>
      <w:r>
        <w:rPr>
          <w:rFonts w:ascii="Times New Roman" w:hAnsi="Times New Roman" w:eastAsia="宋体" w:cs="Times New Roman"/>
          <w:color w:val="auto"/>
          <w:lang w:eastAsia="zh-CN"/>
        </w:rPr>
        <w:t>表</w:t>
      </w:r>
      <w:r>
        <w:rPr>
          <w:rFonts w:hint="eastAsia" w:ascii="Times New Roman" w:hAnsi="Times New Roman" w:eastAsia="宋体" w:cs="Times New Roman"/>
          <w:color w:val="auto"/>
          <w:lang w:eastAsia="zh-CN"/>
        </w:rPr>
        <w:t>3</w:t>
      </w:r>
      <w:r>
        <w:rPr>
          <w:rFonts w:ascii="Times New Roman" w:hAnsi="Times New Roman" w:eastAsia="宋体" w:cs="Times New Roman"/>
          <w:color w:val="auto"/>
          <w:lang w:eastAsia="zh-CN"/>
        </w:rPr>
        <w:t>.1-</w:t>
      </w:r>
      <w:r>
        <w:rPr>
          <w:rFonts w:hint="eastAsia" w:ascii="Times New Roman" w:hAnsi="Times New Roman" w:eastAsia="宋体" w:cs="Times New Roman"/>
          <w:color w:val="auto"/>
          <w:lang w:val="en-US" w:eastAsia="zh-CN"/>
        </w:rPr>
        <w:t>4</w:t>
      </w:r>
      <w:r>
        <w:rPr>
          <w:rFonts w:ascii="Times New Roman" w:hAnsi="Times New Roman" w:eastAsia="宋体" w:cs="Times New Roman"/>
          <w:color w:val="auto"/>
          <w:lang w:eastAsia="zh-CN"/>
        </w:rPr>
        <w:t xml:space="preserve"> 产品方案</w:t>
      </w:r>
      <w:bookmarkEnd w:id="60"/>
      <w:bookmarkEnd w:id="61"/>
      <w:bookmarkEnd w:id="62"/>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0"/>
        <w:gridCol w:w="1341"/>
        <w:gridCol w:w="1784"/>
        <w:gridCol w:w="1011"/>
        <w:gridCol w:w="2936"/>
      </w:tblGrid>
      <w:tr w14:paraId="67165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6" w:type="pct"/>
            <w:tcBorders>
              <w:tl2br w:val="nil"/>
              <w:tr2bl w:val="nil"/>
            </w:tcBorders>
            <w:noWrap w:val="0"/>
            <w:vAlign w:val="center"/>
          </w:tcPr>
          <w:p w14:paraId="17D61C74">
            <w:pPr>
              <w:bidi w:val="0"/>
              <w:jc w:val="center"/>
              <w:rPr>
                <w:rFonts w:hint="default" w:ascii="Times New Roman" w:hAnsi="Times New Roman" w:cs="Times New Roman"/>
                <w:lang w:val="en-US" w:eastAsia="zh-CN"/>
              </w:rPr>
            </w:pPr>
            <w:bookmarkStart w:id="63" w:name="_Toc15007"/>
            <w:bookmarkStart w:id="64" w:name="_Toc30134"/>
            <w:bookmarkStart w:id="65" w:name="_Toc19915"/>
            <w:r>
              <w:rPr>
                <w:rFonts w:hint="default" w:ascii="Times New Roman" w:hAnsi="Times New Roman" w:cs="Times New Roman"/>
                <w:lang w:val="en-US" w:eastAsia="zh-CN"/>
              </w:rPr>
              <w:t>产品名称</w:t>
            </w:r>
          </w:p>
        </w:tc>
        <w:tc>
          <w:tcPr>
            <w:tcW w:w="788" w:type="pct"/>
            <w:tcBorders>
              <w:tl2br w:val="nil"/>
              <w:tr2bl w:val="nil"/>
            </w:tcBorders>
            <w:noWrap w:val="0"/>
            <w:vAlign w:val="center"/>
          </w:tcPr>
          <w:p w14:paraId="22F7BBF7">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现有</w:t>
            </w:r>
            <w:r>
              <w:rPr>
                <w:rFonts w:hint="eastAsia" w:ascii="Times New Roman" w:hAnsi="Times New Roman" w:cs="Times New Roman"/>
                <w:lang w:val="en-US" w:eastAsia="zh-CN"/>
              </w:rPr>
              <w:t>工程</w:t>
            </w:r>
          </w:p>
        </w:tc>
        <w:tc>
          <w:tcPr>
            <w:tcW w:w="1048" w:type="pct"/>
            <w:tcBorders>
              <w:tl2br w:val="nil"/>
              <w:tr2bl w:val="nil"/>
            </w:tcBorders>
            <w:noWrap w:val="0"/>
            <w:vAlign w:val="center"/>
          </w:tcPr>
          <w:p w14:paraId="687487D4">
            <w:pPr>
              <w:bidi w:val="0"/>
              <w:jc w:val="center"/>
              <w:rPr>
                <w:rFonts w:hint="default" w:ascii="Times New Roman" w:hAnsi="Times New Roman" w:cs="Times New Roman"/>
                <w:lang w:val="en-US" w:eastAsia="zh-CN"/>
              </w:rPr>
            </w:pPr>
            <w:r>
              <w:rPr>
                <w:rFonts w:hint="eastAsia" w:ascii="Times New Roman" w:hAnsi="Times New Roman" w:cs="Times New Roman"/>
                <w:lang w:val="en-US" w:eastAsia="zh-CN"/>
              </w:rPr>
              <w:t>技改后全厂产能</w:t>
            </w:r>
          </w:p>
        </w:tc>
        <w:tc>
          <w:tcPr>
            <w:tcW w:w="594" w:type="pct"/>
            <w:tcBorders>
              <w:tl2br w:val="nil"/>
              <w:tr2bl w:val="nil"/>
            </w:tcBorders>
            <w:noWrap w:val="0"/>
            <w:vAlign w:val="center"/>
          </w:tcPr>
          <w:p w14:paraId="7FB0D158">
            <w:pPr>
              <w:bidi w:val="0"/>
              <w:jc w:val="center"/>
              <w:rPr>
                <w:rFonts w:hint="default" w:ascii="Times New Roman" w:hAnsi="Times New Roman" w:cs="Times New Roman"/>
                <w:lang w:val="en-US" w:eastAsia="zh-CN"/>
              </w:rPr>
            </w:pPr>
            <w:r>
              <w:rPr>
                <w:rFonts w:hint="eastAsia" w:ascii="Times New Roman" w:hAnsi="Times New Roman" w:cs="Times New Roman"/>
                <w:lang w:val="en-US" w:eastAsia="zh-CN"/>
              </w:rPr>
              <w:t>变化量</w:t>
            </w:r>
          </w:p>
        </w:tc>
        <w:tc>
          <w:tcPr>
            <w:tcW w:w="1722" w:type="pct"/>
            <w:tcBorders>
              <w:tl2br w:val="nil"/>
              <w:tr2bl w:val="nil"/>
            </w:tcBorders>
            <w:noWrap w:val="0"/>
            <w:vAlign w:val="center"/>
          </w:tcPr>
          <w:p w14:paraId="482C5EFA">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备注</w:t>
            </w:r>
          </w:p>
        </w:tc>
      </w:tr>
      <w:tr w14:paraId="22407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6" w:type="pct"/>
            <w:tcBorders>
              <w:tl2br w:val="nil"/>
              <w:tr2bl w:val="nil"/>
            </w:tcBorders>
            <w:noWrap w:val="0"/>
            <w:vAlign w:val="center"/>
          </w:tcPr>
          <w:p w14:paraId="01989E2F">
            <w:pPr>
              <w:bidi w:val="0"/>
              <w:jc w:val="center"/>
              <w:rPr>
                <w:rFonts w:hint="default" w:ascii="Times New Roman" w:hAnsi="Times New Roman" w:cs="Times New Roman"/>
                <w:lang w:val="en-US" w:eastAsia="zh-CN"/>
              </w:rPr>
            </w:pPr>
            <w:r>
              <w:rPr>
                <w:rFonts w:hint="eastAsia" w:ascii="Times New Roman" w:hAnsi="Times New Roman" w:cs="Times New Roman"/>
                <w:lang w:val="en-US" w:eastAsia="zh-CN"/>
              </w:rPr>
              <w:t>食用</w:t>
            </w:r>
            <w:r>
              <w:rPr>
                <w:rFonts w:hint="default" w:ascii="Times New Roman" w:hAnsi="Times New Roman" w:cs="Times New Roman"/>
                <w:lang w:val="en-US" w:eastAsia="zh-CN"/>
              </w:rPr>
              <w:t>槟榔</w:t>
            </w:r>
          </w:p>
        </w:tc>
        <w:tc>
          <w:tcPr>
            <w:tcW w:w="788" w:type="pct"/>
            <w:tcBorders>
              <w:tl2br w:val="nil"/>
              <w:tr2bl w:val="nil"/>
            </w:tcBorders>
            <w:noWrap w:val="0"/>
            <w:vAlign w:val="center"/>
          </w:tcPr>
          <w:p w14:paraId="68808369">
            <w:pPr>
              <w:bidi w:val="0"/>
              <w:jc w:val="center"/>
              <w:rPr>
                <w:rFonts w:hint="default" w:ascii="Times New Roman" w:hAnsi="Times New Roman" w:cs="Times New Roman"/>
                <w:lang w:val="en-US" w:eastAsia="zh-CN"/>
              </w:rPr>
            </w:pPr>
            <w:r>
              <w:rPr>
                <w:rFonts w:hint="eastAsia" w:ascii="Times New Roman" w:hAnsi="Times New Roman" w:cs="Times New Roman"/>
                <w:lang w:val="en-US" w:eastAsia="zh-CN"/>
              </w:rPr>
              <w:t>250</w:t>
            </w:r>
          </w:p>
        </w:tc>
        <w:tc>
          <w:tcPr>
            <w:tcW w:w="1048" w:type="pct"/>
            <w:tcBorders>
              <w:tl2br w:val="nil"/>
              <w:tr2bl w:val="nil"/>
            </w:tcBorders>
            <w:noWrap w:val="0"/>
            <w:vAlign w:val="center"/>
          </w:tcPr>
          <w:p w14:paraId="0A17225C">
            <w:pPr>
              <w:bidi w:val="0"/>
              <w:jc w:val="center"/>
              <w:rPr>
                <w:rFonts w:hint="default" w:ascii="Times New Roman" w:hAnsi="Times New Roman" w:cs="Times New Roman"/>
                <w:lang w:val="en-US" w:eastAsia="zh-CN"/>
              </w:rPr>
            </w:pPr>
            <w:r>
              <w:rPr>
                <w:rFonts w:hint="eastAsia" w:ascii="Times New Roman" w:hAnsi="Times New Roman" w:cs="Times New Roman"/>
                <w:lang w:val="en-US" w:eastAsia="zh-CN"/>
              </w:rPr>
              <w:t>250</w:t>
            </w:r>
          </w:p>
        </w:tc>
        <w:tc>
          <w:tcPr>
            <w:tcW w:w="594" w:type="pct"/>
            <w:tcBorders>
              <w:tl2br w:val="nil"/>
              <w:tr2bl w:val="nil"/>
            </w:tcBorders>
            <w:noWrap w:val="0"/>
            <w:vAlign w:val="center"/>
          </w:tcPr>
          <w:p w14:paraId="3897D7E4">
            <w:pPr>
              <w:bidi w:val="0"/>
              <w:jc w:val="center"/>
              <w:rPr>
                <w:rFonts w:hint="default" w:ascii="Times New Roman" w:hAnsi="Times New Roman" w:cs="Times New Roman"/>
                <w:lang w:val="en-US" w:eastAsia="zh-CN"/>
              </w:rPr>
            </w:pPr>
            <w:r>
              <w:rPr>
                <w:rFonts w:hint="eastAsia" w:ascii="Times New Roman" w:hAnsi="Times New Roman" w:cs="Times New Roman"/>
                <w:lang w:val="en-US" w:eastAsia="zh-CN"/>
              </w:rPr>
              <w:t>0</w:t>
            </w:r>
          </w:p>
        </w:tc>
        <w:tc>
          <w:tcPr>
            <w:tcW w:w="1722" w:type="pct"/>
            <w:tcBorders>
              <w:tl2br w:val="nil"/>
              <w:tr2bl w:val="nil"/>
            </w:tcBorders>
            <w:noWrap w:val="0"/>
            <w:vAlign w:val="center"/>
          </w:tcPr>
          <w:p w14:paraId="06E14DEA">
            <w:pPr>
              <w:bidi w:val="0"/>
              <w:jc w:val="center"/>
              <w:rPr>
                <w:rFonts w:hint="default" w:ascii="Times New Roman" w:hAnsi="Times New Roman" w:cs="Times New Roman"/>
                <w:lang w:val="en-US" w:eastAsia="zh-CN"/>
              </w:rPr>
            </w:pPr>
            <w:r>
              <w:rPr>
                <w:rFonts w:hint="eastAsia" w:ascii="Times New Roman" w:hAnsi="Times New Roman" w:cs="Times New Roman"/>
                <w:lang w:val="en-US" w:eastAsia="zh-CN"/>
              </w:rPr>
              <w:t>执行</w:t>
            </w:r>
            <w:r>
              <w:rPr>
                <w:rFonts w:hint="default" w:ascii="Times New Roman" w:hAnsi="Times New Roman" w:cs="Times New Roman"/>
                <w:lang w:val="en-US" w:eastAsia="zh-CN"/>
              </w:rPr>
              <w:t>湖南省地方标准《食用槟榔》DB43132-2004</w:t>
            </w:r>
          </w:p>
        </w:tc>
      </w:tr>
      <w:tr w14:paraId="09A0A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5000" w:type="pct"/>
            <w:gridSpan w:val="5"/>
            <w:tcBorders>
              <w:tl2br w:val="nil"/>
              <w:tr2bl w:val="nil"/>
            </w:tcBorders>
            <w:noWrap w:val="0"/>
            <w:vAlign w:val="center"/>
          </w:tcPr>
          <w:p w14:paraId="46621B68">
            <w:pPr>
              <w:bidi w:val="0"/>
              <w:jc w:val="both"/>
              <w:rPr>
                <w:rFonts w:hint="default" w:ascii="Times New Roman" w:hAnsi="Times New Roman" w:cs="Times New Roman"/>
                <w:lang w:val="en-US" w:eastAsia="zh-CN"/>
              </w:rPr>
            </w:pPr>
            <w:r>
              <w:rPr>
                <w:rFonts w:hint="eastAsia" w:ascii="Times New Roman" w:hAnsi="Times New Roman" w:cs="Times New Roman"/>
                <w:lang w:val="en-US" w:eastAsia="zh-CN"/>
              </w:rPr>
              <w:t>技改工程仅</w:t>
            </w:r>
            <w:r>
              <w:rPr>
                <w:rFonts w:hint="default" w:ascii="Times New Roman" w:hAnsi="Times New Roman" w:cs="Times New Roman"/>
                <w:lang w:val="en-US" w:eastAsia="zh-CN"/>
              </w:rPr>
              <w:t>增加清洗/挑选、煮籽、发制、制卤等生产工艺</w:t>
            </w:r>
            <w:r>
              <w:rPr>
                <w:rFonts w:hint="eastAsia" w:ascii="Times New Roman" w:hAnsi="Times New Roman" w:cs="Times New Roman"/>
                <w:lang w:val="en-US" w:eastAsia="zh-CN"/>
              </w:rPr>
              <w:t>，不增加产品产能。</w:t>
            </w:r>
          </w:p>
        </w:tc>
      </w:tr>
    </w:tbl>
    <w:p w14:paraId="2CA2D0AB">
      <w:pPr>
        <w:bidi w:val="0"/>
        <w:rPr>
          <w:rFonts w:hint="eastAsia"/>
          <w:lang w:eastAsia="zh-CN"/>
        </w:rPr>
      </w:pPr>
    </w:p>
    <w:p w14:paraId="4E058985">
      <w:pPr>
        <w:pStyle w:val="4"/>
        <w:pageBreakBefore w:val="0"/>
        <w:widowControl w:val="0"/>
        <w:kinsoku/>
        <w:wordWrap/>
        <w:overflowPunct/>
        <w:topLinePunct w:val="0"/>
        <w:autoSpaceDE/>
        <w:autoSpaceDN/>
        <w:bidi w:val="0"/>
        <w:spacing w:before="0" w:after="0" w:line="360" w:lineRule="auto"/>
        <w:textAlignment w:val="auto"/>
        <w:rPr>
          <w:rFonts w:ascii="Times New Roman" w:hAnsi="Times New Roman" w:cs="Times New Roman"/>
          <w:color w:val="auto"/>
        </w:rPr>
      </w:pPr>
      <w:r>
        <w:rPr>
          <w:rFonts w:hint="eastAsia" w:ascii="Times New Roman" w:hAnsi="Times New Roman" w:eastAsia="宋体" w:cs="Times New Roman"/>
          <w:color w:val="auto"/>
          <w:lang w:eastAsia="zh-CN"/>
        </w:rPr>
        <w:t>3</w:t>
      </w:r>
      <w:r>
        <w:rPr>
          <w:rFonts w:ascii="Times New Roman" w:hAnsi="Times New Roman" w:cs="Times New Roman"/>
          <w:color w:val="auto"/>
        </w:rPr>
        <w:t>.1.</w:t>
      </w:r>
      <w:r>
        <w:rPr>
          <w:rFonts w:hint="eastAsia" w:ascii="Times New Roman" w:hAnsi="Times New Roman" w:eastAsia="宋体" w:cs="Times New Roman"/>
          <w:color w:val="auto"/>
          <w:lang w:val="en-US" w:eastAsia="zh-CN"/>
        </w:rPr>
        <w:t>6</w:t>
      </w:r>
      <w:r>
        <w:rPr>
          <w:rFonts w:ascii="Times New Roman" w:hAnsi="Times New Roman" w:cs="Times New Roman"/>
          <w:color w:val="auto"/>
        </w:rPr>
        <w:t>生产工艺</w:t>
      </w:r>
      <w:bookmarkEnd w:id="63"/>
      <w:bookmarkEnd w:id="64"/>
      <w:bookmarkEnd w:id="65"/>
    </w:p>
    <w:p w14:paraId="338AF122">
      <w:pPr>
        <w:bidi w:val="0"/>
        <w:ind w:firstLine="480" w:firstLineChars="200"/>
        <w:jc w:val="left"/>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（1）产品生产工艺及产污节点</w:t>
      </w:r>
    </w:p>
    <w:p w14:paraId="50E68257">
      <w:pPr>
        <w:bidi w:val="0"/>
        <w:ind w:firstLine="480" w:firstLineChars="200"/>
        <w:jc w:val="left"/>
        <w:rPr>
          <w:rFonts w:hint="eastAsia" w:ascii="Times New Roman" w:hAnsi="Times New Roman" w:eastAsia="宋体" w:cs="Times New Roman"/>
          <w:color w:val="auto"/>
          <w:sz w:val="24"/>
          <w:szCs w:val="24"/>
          <w:lang w:val="en-US" w:eastAsia="zh-CN"/>
        </w:rPr>
      </w:pPr>
    </w:p>
    <w:p w14:paraId="1D25FCE2">
      <w:pPr>
        <w:bidi w:val="0"/>
        <w:jc w:val="center"/>
        <w:rPr>
          <w:rFonts w:hint="eastAsia" w:ascii="Times New Roman" w:hAnsi="Times New Roman" w:eastAsia="宋体" w:cs="Times New Roman"/>
          <w:color w:val="auto"/>
          <w:sz w:val="24"/>
          <w:szCs w:val="24"/>
          <w:lang w:val="en-US" w:eastAsia="zh-CN"/>
        </w:rPr>
      </w:pPr>
      <w:r>
        <w:rPr>
          <w:color w:val="000000" w:themeColor="text1"/>
          <w14:textFill>
            <w14:solidFill>
              <w14:schemeClr w14:val="tx1"/>
            </w14:solidFill>
          </w14:textFill>
        </w:rPr>
        <w:drawing>
          <wp:inline distT="0" distB="0" distL="114300" distR="114300">
            <wp:extent cx="4909820" cy="4640580"/>
            <wp:effectExtent l="0" t="0" r="5080" b="7620"/>
            <wp:docPr id="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
                    <pic:cNvPicPr>
                      <a:picLocks noChangeAspect="1"/>
                    </pic:cNvPicPr>
                  </pic:nvPicPr>
                  <pic:blipFill>
                    <a:blip r:embed="rId18"/>
                    <a:stretch>
                      <a:fillRect/>
                    </a:stretch>
                  </pic:blipFill>
                  <pic:spPr>
                    <a:xfrm>
                      <a:off x="0" y="0"/>
                      <a:ext cx="4909820" cy="4640580"/>
                    </a:xfrm>
                    <a:prstGeom prst="rect">
                      <a:avLst/>
                    </a:prstGeom>
                    <a:noFill/>
                    <a:ln>
                      <a:noFill/>
                    </a:ln>
                  </pic:spPr>
                </pic:pic>
              </a:graphicData>
            </a:graphic>
          </wp:inline>
        </w:drawing>
      </w:r>
    </w:p>
    <w:p w14:paraId="6F6883E0">
      <w:pPr>
        <w:keepNext w:val="0"/>
        <w:keepLines w:val="0"/>
        <w:pageBreakBefore w:val="0"/>
        <w:wordWrap/>
        <w:overflowPunct/>
        <w:topLinePunct w:val="0"/>
        <w:bidi w:val="0"/>
        <w:spacing w:line="480" w:lineRule="exact"/>
        <w:jc w:val="center"/>
        <w:outlineLvl w:val="9"/>
        <w:rPr>
          <w:rFonts w:ascii="Times New Roman" w:hAnsi="Times New Roman" w:cs="Times New Roman"/>
          <w:color w:val="auto"/>
          <w:lang w:eastAsia="zh-CN"/>
        </w:rPr>
      </w:pPr>
      <w:r>
        <w:rPr>
          <w:rFonts w:ascii="Times New Roman" w:hAnsi="Times New Roman" w:cs="Times New Roman"/>
          <w:b/>
          <w:bCs/>
          <w:color w:val="auto"/>
          <w:lang w:eastAsia="zh-CN"/>
        </w:rPr>
        <w:t>图</w:t>
      </w:r>
      <w:r>
        <w:rPr>
          <w:rFonts w:hint="eastAsia" w:ascii="Times New Roman" w:hAnsi="Times New Roman" w:eastAsia="宋体" w:cs="Times New Roman"/>
          <w:b/>
          <w:bCs/>
          <w:color w:val="auto"/>
          <w:lang w:eastAsia="zh-CN"/>
        </w:rPr>
        <w:t>3</w:t>
      </w:r>
      <w:r>
        <w:rPr>
          <w:rFonts w:ascii="Times New Roman" w:hAnsi="Times New Roman" w:cs="Times New Roman"/>
          <w:b/>
          <w:bCs/>
          <w:color w:val="auto"/>
          <w:lang w:eastAsia="zh-CN"/>
        </w:rPr>
        <w:t>.1-</w:t>
      </w:r>
      <w:r>
        <w:rPr>
          <w:rFonts w:hint="eastAsia" w:ascii="Times New Roman" w:hAnsi="Times New Roman" w:cs="Times New Roman"/>
          <w:b/>
          <w:bCs/>
          <w:color w:val="auto"/>
          <w:lang w:eastAsia="zh-CN"/>
        </w:rPr>
        <w:t xml:space="preserve">1 </w:t>
      </w:r>
      <w:r>
        <w:rPr>
          <w:rFonts w:ascii="Times New Roman" w:hAnsi="Times New Roman" w:eastAsia="宋体" w:cs="Times New Roman"/>
          <w:b/>
          <w:bCs/>
          <w:color w:val="auto"/>
          <w:lang w:eastAsia="zh-CN"/>
        </w:rPr>
        <w:t>工艺流程及产排污节点</w:t>
      </w:r>
      <w:r>
        <w:rPr>
          <w:rFonts w:ascii="Times New Roman" w:hAnsi="Times New Roman" w:cs="Times New Roman"/>
          <w:b/>
          <w:bCs/>
          <w:color w:val="auto"/>
          <w:lang w:eastAsia="zh-CN"/>
        </w:rPr>
        <w:t>图</w:t>
      </w:r>
    </w:p>
    <w:p w14:paraId="2668C1CA">
      <w:pPr>
        <w:pStyle w:val="22"/>
        <w:keepNext w:val="0"/>
        <w:keepLines w:val="0"/>
        <w:pageBreakBefore w:val="0"/>
        <w:widowControl w:val="0"/>
        <w:kinsoku/>
        <w:wordWrap/>
        <w:overflowPunct/>
        <w:topLinePunct w:val="0"/>
        <w:autoSpaceDE/>
        <w:autoSpaceDN/>
        <w:bidi w:val="0"/>
        <w:spacing w:after="0" w:line="360" w:lineRule="auto"/>
        <w:ind w:left="0" w:leftChars="0" w:firstLine="480" w:firstLineChars="200"/>
        <w:textAlignment w:val="auto"/>
        <w:outlineLvl w:val="9"/>
        <w:rPr>
          <w:rFonts w:ascii="Times New Roman" w:hAnsi="Times New Roman" w:cs="Times New Roman"/>
          <w:b/>
          <w:bCs/>
          <w:color w:val="auto"/>
          <w:sz w:val="24"/>
          <w:szCs w:val="24"/>
          <w:lang w:eastAsia="zh-CN"/>
        </w:rPr>
      </w:pPr>
      <w:r>
        <w:rPr>
          <w:rFonts w:ascii="Times New Roman" w:hAnsi="Times New Roman" w:cs="Times New Roman"/>
          <w:b/>
          <w:bCs/>
          <w:color w:val="auto"/>
          <w:sz w:val="24"/>
          <w:szCs w:val="24"/>
          <w:lang w:eastAsia="zh-CN"/>
        </w:rPr>
        <w:t>工艺流程简述：</w:t>
      </w:r>
      <w:r>
        <w:rPr>
          <w:rFonts w:ascii="Times New Roman" w:hAnsi="Times New Roman" w:cs="Times New Roman"/>
          <w:b/>
          <w:bCs/>
          <w:color w:val="auto"/>
          <w:sz w:val="24"/>
          <w:szCs w:val="24"/>
          <w:lang w:eastAsia="zh-CN"/>
        </w:rPr>
        <w:tab/>
      </w:r>
    </w:p>
    <w:p w14:paraId="34B7F776">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lang w:val="en-US" w:eastAsia="zh-CN"/>
        </w:rPr>
      </w:pPr>
      <w:bookmarkStart w:id="66" w:name="_Toc32455"/>
      <w:r>
        <w:rPr>
          <w:rFonts w:hint="default" w:ascii="Times New Roman" w:hAnsi="Times New Roman" w:eastAsia="宋体" w:cs="Times New Roman"/>
          <w:color w:val="auto"/>
          <w:sz w:val="24"/>
          <w:szCs w:val="24"/>
          <w:lang w:val="en-US" w:eastAsia="zh-CN"/>
        </w:rPr>
        <w:t>1）原料验收：对供应商提供槟榔原料进行验收，原材料符合GB2762-2012《食品安全国家标准食品中污染物限量》、GB2763-2016《食品安全国家标准食品中农药最大残留限量》要求；</w:t>
      </w:r>
    </w:p>
    <w:p w14:paraId="1CE15292">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）清洗挑选：</w:t>
      </w:r>
      <w:r>
        <w:rPr>
          <w:rFonts w:hint="eastAsia" w:ascii="Times New Roman" w:hAnsi="Times New Roman" w:eastAsia="宋体" w:cs="Times New Roman"/>
          <w:color w:val="auto"/>
          <w:sz w:val="24"/>
          <w:szCs w:val="24"/>
          <w:lang w:val="en-US" w:eastAsia="zh-CN"/>
        </w:rPr>
        <w:t>使用清洗桶采用常温水对原料进行清洗，去除槟榔干果表面的泥沙、杂质、霉变果及不合格果，保证原料纯度。此工序有W1废水和S1固废的产生。</w:t>
      </w:r>
    </w:p>
    <w:p w14:paraId="1AC49B21">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）煮籽：将清洗干净的槟榔放入</w:t>
      </w:r>
      <w:r>
        <w:rPr>
          <w:rFonts w:hint="eastAsia" w:ascii="Times New Roman" w:hAnsi="Times New Roman" w:eastAsia="宋体" w:cs="Times New Roman"/>
          <w:color w:val="auto"/>
          <w:sz w:val="24"/>
          <w:szCs w:val="24"/>
          <w:lang w:val="en-US" w:eastAsia="zh-CN"/>
        </w:rPr>
        <w:t>浸泡池</w:t>
      </w:r>
      <w:r>
        <w:rPr>
          <w:rFonts w:hint="default" w:ascii="Times New Roman" w:hAnsi="Times New Roman" w:eastAsia="宋体" w:cs="Times New Roman"/>
          <w:color w:val="auto"/>
          <w:sz w:val="24"/>
          <w:szCs w:val="24"/>
          <w:lang w:val="en-US" w:eastAsia="zh-CN"/>
        </w:rPr>
        <w:t>内</w:t>
      </w:r>
      <w:r>
        <w:rPr>
          <w:rFonts w:hint="eastAsia" w:ascii="Times New Roman" w:hAnsi="Times New Roman" w:eastAsia="宋体" w:cs="Times New Roman"/>
          <w:color w:val="auto"/>
          <w:sz w:val="24"/>
          <w:szCs w:val="24"/>
          <w:lang w:val="en-US" w:eastAsia="zh-CN"/>
        </w:rPr>
        <w:t>进行煮籽</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1批次原料约0.5t，煮籽2h，每天煮2批次，加热温度110-120</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采用</w:t>
      </w:r>
      <w:r>
        <w:rPr>
          <w:rFonts w:hint="eastAsia" w:ascii="Times New Roman" w:hAnsi="Times New Roman" w:eastAsia="宋体" w:cs="Times New Roman"/>
          <w:color w:val="auto"/>
          <w:sz w:val="24"/>
          <w:szCs w:val="24"/>
          <w:lang w:val="en-US" w:eastAsia="zh-CN"/>
        </w:rPr>
        <w:t>生物质锅炉</w:t>
      </w:r>
      <w:r>
        <w:rPr>
          <w:rFonts w:hint="default" w:ascii="Times New Roman" w:hAnsi="Times New Roman" w:eastAsia="宋体" w:cs="Times New Roman"/>
          <w:color w:val="auto"/>
          <w:sz w:val="24"/>
          <w:szCs w:val="24"/>
          <w:lang w:val="en-US" w:eastAsia="zh-CN"/>
        </w:rPr>
        <w:t>进行加热</w:t>
      </w:r>
      <w:r>
        <w:rPr>
          <w:rFonts w:hint="eastAsia" w:ascii="Times New Roman" w:hAnsi="Times New Roman" w:eastAsia="宋体" w:cs="Times New Roman"/>
          <w:color w:val="auto"/>
          <w:sz w:val="24"/>
          <w:szCs w:val="24"/>
          <w:lang w:val="en-US" w:eastAsia="zh-CN"/>
        </w:rPr>
        <w:t>，其蒸汽加热方式为间接加热</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生物质锅炉在使用过程中有G5废气、S4固废、W4废水的产生。煮籽过程中有W2废水的产生。</w:t>
      </w:r>
    </w:p>
    <w:p w14:paraId="66814381">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发制</w:t>
      </w:r>
      <w:r>
        <w:rPr>
          <w:rFonts w:hint="default" w:ascii="Times New Roman" w:hAnsi="Times New Roman" w:eastAsia="宋体" w:cs="Times New Roman"/>
          <w:color w:val="auto"/>
          <w:sz w:val="24"/>
          <w:szCs w:val="24"/>
          <w:lang w:val="en-US" w:eastAsia="zh-CN"/>
        </w:rPr>
        <w:t>：将</w:t>
      </w:r>
      <w:r>
        <w:rPr>
          <w:rFonts w:hint="eastAsia" w:ascii="Times New Roman" w:hAnsi="Times New Roman" w:eastAsia="宋体" w:cs="Times New Roman"/>
          <w:color w:val="auto"/>
          <w:sz w:val="24"/>
          <w:szCs w:val="24"/>
          <w:lang w:val="en-US" w:eastAsia="zh-CN"/>
        </w:rPr>
        <w:t>蒸煮</w:t>
      </w:r>
      <w:r>
        <w:rPr>
          <w:rFonts w:hint="default" w:ascii="Times New Roman" w:hAnsi="Times New Roman" w:eastAsia="宋体" w:cs="Times New Roman"/>
          <w:color w:val="auto"/>
          <w:sz w:val="24"/>
          <w:szCs w:val="24"/>
          <w:lang w:val="en-US" w:eastAsia="zh-CN"/>
        </w:rPr>
        <w:t>过的原料连同</w:t>
      </w:r>
      <w:r>
        <w:rPr>
          <w:rFonts w:hint="eastAsia" w:ascii="Times New Roman" w:hAnsi="Times New Roman" w:eastAsia="宋体" w:cs="Times New Roman"/>
          <w:color w:val="auto"/>
          <w:sz w:val="24"/>
          <w:szCs w:val="24"/>
          <w:lang w:val="en-US" w:eastAsia="zh-CN"/>
        </w:rPr>
        <w:t>发籽料液（现场配制，</w:t>
      </w:r>
      <w:r>
        <w:rPr>
          <w:rFonts w:hint="default" w:ascii="Times New Roman" w:hAnsi="Times New Roman" w:eastAsia="宋体" w:cs="Times New Roman"/>
          <w:color w:val="auto"/>
          <w:sz w:val="24"/>
          <w:szCs w:val="24"/>
          <w:lang w:val="en-US" w:eastAsia="zh-CN"/>
        </w:rPr>
        <w:t>甜味剂</w:t>
      </w:r>
      <w:r>
        <w:rPr>
          <w:rFonts w:hint="eastAsia" w:ascii="Times New Roman" w:hAnsi="Times New Roman" w:eastAsia="宋体" w:cs="Times New Roman"/>
          <w:color w:val="auto"/>
          <w:sz w:val="24"/>
          <w:szCs w:val="24"/>
          <w:lang w:val="en-US" w:eastAsia="zh-CN"/>
        </w:rPr>
        <w:t>、食品添加剂等</w:t>
      </w:r>
      <w:r>
        <w:rPr>
          <w:rFonts w:hint="default" w:ascii="Times New Roman" w:hAnsi="Times New Roman" w:eastAsia="宋体" w:cs="Times New Roman"/>
          <w:color w:val="auto"/>
          <w:sz w:val="24"/>
          <w:szCs w:val="24"/>
          <w:lang w:val="en-US" w:eastAsia="zh-CN"/>
        </w:rPr>
        <w:t>组成</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放入发籽罐中，在密闭状态、常压或微压及</w:t>
      </w:r>
      <w:r>
        <w:rPr>
          <w:rFonts w:hint="eastAsia" w:ascii="Times New Roman" w:hAnsi="Times New Roman" w:eastAsia="宋体" w:cs="Times New Roman"/>
          <w:color w:val="auto"/>
          <w:sz w:val="24"/>
          <w:szCs w:val="24"/>
          <w:lang w:val="en-US" w:eastAsia="zh-CN"/>
        </w:rPr>
        <w:t>70</w:t>
      </w:r>
      <w:r>
        <w:rPr>
          <w:rFonts w:hint="default" w:ascii="Times New Roman" w:hAnsi="Times New Roman" w:eastAsia="宋体" w:cs="Times New Roman"/>
          <w:color w:val="auto"/>
          <w:sz w:val="24"/>
          <w:szCs w:val="24"/>
          <w:lang w:val="en-US" w:eastAsia="zh-CN"/>
        </w:rPr>
        <w:t>℃的温度下让料液在罐中搅拌浸泡</w:t>
      </w:r>
      <w:r>
        <w:rPr>
          <w:rFonts w:hint="eastAsia" w:ascii="Times New Roman" w:hAnsi="Times New Roman" w:eastAsia="宋体" w:cs="Times New Roman"/>
          <w:color w:val="auto"/>
          <w:sz w:val="24"/>
          <w:szCs w:val="24"/>
          <w:lang w:val="en-US" w:eastAsia="zh-CN"/>
        </w:rPr>
        <w:t>24-36</w:t>
      </w:r>
      <w:r>
        <w:rPr>
          <w:rFonts w:hint="default" w:ascii="Times New Roman" w:hAnsi="Times New Roman" w:eastAsia="宋体" w:cs="Times New Roman"/>
          <w:color w:val="auto"/>
          <w:sz w:val="24"/>
          <w:szCs w:val="24"/>
          <w:lang w:val="en-US" w:eastAsia="zh-CN"/>
        </w:rPr>
        <w:t>h，使所有风味物质均匀渗透到槟榔果中，充分吸收入味，</w:t>
      </w:r>
      <w:r>
        <w:rPr>
          <w:rFonts w:hint="eastAsia" w:ascii="Times New Roman" w:hAnsi="Times New Roman" w:eastAsia="宋体" w:cs="Times New Roman"/>
          <w:color w:val="auto"/>
          <w:sz w:val="24"/>
          <w:szCs w:val="24"/>
          <w:lang w:val="en-US" w:eastAsia="zh-CN"/>
        </w:rPr>
        <w:t>发制工序使用电作为能源</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此过程有W3废水、G1废气的产生。</w:t>
      </w:r>
    </w:p>
    <w:p w14:paraId="4FA54E19">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）烤籽：将</w:t>
      </w:r>
      <w:r>
        <w:rPr>
          <w:rFonts w:hint="eastAsia" w:ascii="Times New Roman" w:hAnsi="Times New Roman" w:eastAsia="宋体" w:cs="Times New Roman"/>
          <w:color w:val="auto"/>
          <w:sz w:val="24"/>
          <w:szCs w:val="24"/>
          <w:lang w:val="en-US" w:eastAsia="zh-CN"/>
        </w:rPr>
        <w:t>发制完成后</w:t>
      </w:r>
      <w:r>
        <w:rPr>
          <w:rFonts w:hint="default" w:ascii="Times New Roman" w:hAnsi="Times New Roman" w:eastAsia="宋体" w:cs="Times New Roman"/>
          <w:color w:val="auto"/>
          <w:sz w:val="24"/>
          <w:szCs w:val="24"/>
          <w:lang w:val="en-US" w:eastAsia="zh-CN"/>
        </w:rPr>
        <w:t>槟榔送入</w:t>
      </w:r>
      <w:r>
        <w:rPr>
          <w:rFonts w:hint="eastAsia" w:ascii="Times New Roman" w:hAnsi="Times New Roman" w:eastAsia="宋体" w:cs="Times New Roman"/>
          <w:color w:val="auto"/>
          <w:sz w:val="24"/>
          <w:szCs w:val="24"/>
          <w:lang w:val="en-US" w:eastAsia="zh-CN"/>
        </w:rPr>
        <w:t>烤房内进行烘烤（生物质锅炉供热，间接加热）</w:t>
      </w:r>
      <w:r>
        <w:rPr>
          <w:rFonts w:hint="default" w:ascii="Times New Roman" w:hAnsi="Times New Roman" w:eastAsia="宋体" w:cs="Times New Roman"/>
          <w:color w:val="auto"/>
          <w:sz w:val="24"/>
          <w:szCs w:val="24"/>
          <w:lang w:val="en-US" w:eastAsia="zh-CN"/>
        </w:rPr>
        <w:t>，65~75℃烘烤</w:t>
      </w: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h，使水分蒸发，更加入味</w:t>
      </w:r>
      <w:r>
        <w:rPr>
          <w:rFonts w:hint="eastAsia" w:ascii="Times New Roman" w:hAnsi="Times New Roman" w:eastAsia="宋体" w:cs="Times New Roman"/>
          <w:color w:val="auto"/>
          <w:sz w:val="24"/>
          <w:szCs w:val="24"/>
          <w:lang w:val="en-US" w:eastAsia="zh-CN"/>
        </w:rPr>
        <w:t>。烤籽后含水率约20%</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烤籽过程中有G2废气产生，异味呈无组织排放。</w:t>
      </w:r>
      <w:r>
        <w:rPr>
          <w:rFonts w:hint="default" w:ascii="Times New Roman" w:hAnsi="Times New Roman" w:eastAsia="宋体" w:cs="Times New Roman"/>
          <w:color w:val="auto"/>
          <w:sz w:val="24"/>
          <w:szCs w:val="24"/>
          <w:lang w:val="en-US" w:eastAsia="zh-CN"/>
        </w:rPr>
        <w:t xml:space="preserve"> </w:t>
      </w:r>
    </w:p>
    <w:p w14:paraId="2480CB77">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val="en-US" w:eastAsia="zh-CN"/>
        </w:rPr>
        <w:t>）压籽：将槟榔籽均匀投入压籽机器料箱，机器自动挤压使槟榔变形；</w:t>
      </w:r>
    </w:p>
    <w:p w14:paraId="4B0705C3">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7</w:t>
      </w:r>
      <w:r>
        <w:rPr>
          <w:rFonts w:hint="default" w:ascii="Times New Roman" w:hAnsi="Times New Roman" w:eastAsia="宋体" w:cs="Times New Roman"/>
          <w:color w:val="auto"/>
          <w:sz w:val="24"/>
          <w:szCs w:val="24"/>
          <w:lang w:val="en-US" w:eastAsia="zh-CN"/>
        </w:rPr>
        <w:t>）上胶：</w:t>
      </w:r>
      <w:r>
        <w:rPr>
          <w:rFonts w:hint="eastAsia" w:ascii="Times New Roman" w:hAnsi="Times New Roman" w:eastAsia="宋体" w:cs="Times New Roman"/>
          <w:color w:val="auto"/>
          <w:sz w:val="24"/>
          <w:szCs w:val="24"/>
          <w:lang w:val="en-US" w:eastAsia="zh-CN"/>
        </w:rPr>
        <w:t>将</w:t>
      </w:r>
      <w:r>
        <w:rPr>
          <w:rFonts w:hint="default" w:ascii="Times New Roman" w:hAnsi="Times New Roman" w:eastAsia="宋体" w:cs="Times New Roman"/>
          <w:color w:val="auto"/>
          <w:sz w:val="24"/>
          <w:szCs w:val="24"/>
          <w:lang w:val="en-US" w:eastAsia="zh-CN"/>
        </w:rPr>
        <w:t>食用明胶、甜味剂、食用香精香料等配制成胶液，</w:t>
      </w:r>
      <w:r>
        <w:rPr>
          <w:rFonts w:hint="eastAsia" w:ascii="Times New Roman" w:hAnsi="Times New Roman" w:eastAsia="宋体" w:cs="Times New Roman"/>
          <w:color w:val="auto"/>
          <w:sz w:val="24"/>
          <w:szCs w:val="24"/>
          <w:lang w:val="en-US" w:eastAsia="zh-CN"/>
        </w:rPr>
        <w:t>胶液浓度约20%-30%，</w:t>
      </w:r>
      <w:r>
        <w:rPr>
          <w:rFonts w:hint="default" w:ascii="Times New Roman" w:hAnsi="Times New Roman" w:eastAsia="宋体" w:cs="Times New Roman"/>
          <w:color w:val="auto"/>
          <w:sz w:val="24"/>
          <w:szCs w:val="24"/>
          <w:lang w:val="en-US" w:eastAsia="zh-CN"/>
        </w:rPr>
        <w:t>胶液与槟榔放入发籽罐，搅拌均匀，使槟榔产品外表光洁发亮，提高产品的风味；</w:t>
      </w:r>
      <w:r>
        <w:rPr>
          <w:rFonts w:hint="eastAsia" w:ascii="Times New Roman" w:hAnsi="Times New Roman" w:eastAsia="宋体" w:cs="Times New Roman"/>
          <w:color w:val="auto"/>
          <w:sz w:val="24"/>
          <w:szCs w:val="24"/>
          <w:lang w:val="en-US" w:eastAsia="zh-CN"/>
        </w:rPr>
        <w:t>上胶过程中有G3异味的产生。</w:t>
      </w:r>
    </w:p>
    <w:p w14:paraId="22699033">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8</w:t>
      </w:r>
      <w:r>
        <w:rPr>
          <w:rFonts w:hint="default" w:ascii="Times New Roman" w:hAnsi="Times New Roman" w:eastAsia="宋体" w:cs="Times New Roman"/>
          <w:color w:val="auto"/>
          <w:sz w:val="24"/>
          <w:szCs w:val="24"/>
          <w:lang w:val="en-US" w:eastAsia="zh-CN"/>
        </w:rPr>
        <w:t>）切籽：人工使用切籽刀具将槟榔果对半切开；</w:t>
      </w:r>
    </w:p>
    <w:p w14:paraId="2797AA1F">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lang w:val="en-US" w:eastAsia="zh-CN"/>
        </w:rPr>
        <w:t>）去核：人工去除已切分槟榔果中的槟榔核</w:t>
      </w:r>
      <w:r>
        <w:rPr>
          <w:rFonts w:hint="eastAsia" w:ascii="Times New Roman" w:hAnsi="Times New Roman" w:eastAsia="宋体" w:cs="Times New Roman"/>
          <w:color w:val="auto"/>
          <w:sz w:val="24"/>
          <w:szCs w:val="24"/>
          <w:lang w:val="en-US" w:eastAsia="zh-CN"/>
        </w:rPr>
        <w:t>，有S2槟榔核产生</w:t>
      </w:r>
      <w:r>
        <w:rPr>
          <w:rFonts w:hint="default" w:ascii="Times New Roman" w:hAnsi="Times New Roman" w:eastAsia="宋体" w:cs="Times New Roman"/>
          <w:color w:val="auto"/>
          <w:sz w:val="24"/>
          <w:szCs w:val="24"/>
          <w:lang w:val="en-US" w:eastAsia="zh-CN"/>
        </w:rPr>
        <w:t>；</w:t>
      </w:r>
    </w:p>
    <w:p w14:paraId="7F46E866">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val="en-US" w:eastAsia="zh-CN"/>
        </w:rPr>
        <w:t>0</w:t>
      </w:r>
      <w:r>
        <w:rPr>
          <w:rFonts w:hint="default" w:ascii="Times New Roman" w:hAnsi="Times New Roman" w:eastAsia="宋体" w:cs="Times New Roman"/>
          <w:color w:val="auto"/>
          <w:sz w:val="24"/>
          <w:szCs w:val="24"/>
          <w:lang w:val="en-US" w:eastAsia="zh-CN"/>
        </w:rPr>
        <w:t>）制卤</w:t>
      </w:r>
      <w:r>
        <w:rPr>
          <w:rFonts w:hint="eastAsia" w:ascii="Times New Roman" w:hAnsi="Times New Roman" w:eastAsia="宋体" w:cs="Times New Roman"/>
          <w:color w:val="auto"/>
          <w:sz w:val="24"/>
          <w:szCs w:val="24"/>
          <w:lang w:val="en-US" w:eastAsia="zh-CN"/>
        </w:rPr>
        <w:t>、点卤</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直接将氢氧化钙（熟石灰）加水溶解后，再按照比例加入糖、食品添加剂等混合搅拌且进行加热（电加热，加热温度90℃），</w:t>
      </w:r>
      <w:r>
        <w:rPr>
          <w:rFonts w:hint="default" w:ascii="Times New Roman" w:hAnsi="Times New Roman" w:eastAsia="宋体" w:cs="Times New Roman"/>
          <w:color w:val="auto"/>
          <w:sz w:val="24"/>
          <w:szCs w:val="24"/>
          <w:lang w:val="en-US" w:eastAsia="zh-CN"/>
        </w:rPr>
        <w:t>得到的一种褐色浆体；</w:t>
      </w:r>
      <w:r>
        <w:rPr>
          <w:rFonts w:hint="eastAsia" w:ascii="Times New Roman" w:hAnsi="Times New Roman" w:eastAsia="宋体" w:cs="Times New Roman"/>
          <w:color w:val="auto"/>
          <w:sz w:val="24"/>
          <w:szCs w:val="24"/>
          <w:lang w:val="en-US" w:eastAsia="zh-CN"/>
        </w:rPr>
        <w:t>制卤和点卤过程中有G7、G4异味的产生。</w:t>
      </w:r>
    </w:p>
    <w:p w14:paraId="53E9AF31">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lang w:val="en-US" w:eastAsia="zh-CN"/>
        </w:rPr>
        <w:t>）晾片：将槟榔放在干燥通风处晾干</w:t>
      </w:r>
      <w:r>
        <w:rPr>
          <w:rFonts w:hint="eastAsia" w:ascii="Times New Roman" w:hAnsi="Times New Roman" w:eastAsia="宋体" w:cs="Times New Roman"/>
          <w:color w:val="auto"/>
          <w:sz w:val="24"/>
          <w:szCs w:val="24"/>
          <w:lang w:val="en-US" w:eastAsia="zh-CN"/>
        </w:rPr>
        <w:t>，有G5废气异味的产生</w:t>
      </w:r>
      <w:r>
        <w:rPr>
          <w:rFonts w:hint="default" w:ascii="Times New Roman" w:hAnsi="Times New Roman" w:eastAsia="宋体" w:cs="Times New Roman"/>
          <w:color w:val="auto"/>
          <w:sz w:val="24"/>
          <w:szCs w:val="24"/>
          <w:lang w:val="en-US" w:eastAsia="zh-CN"/>
        </w:rPr>
        <w:t>；</w:t>
      </w:r>
    </w:p>
    <w:p w14:paraId="1864DF38">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）包装：把风干好的槟榔进行内外封口包装，计量，装袋</w:t>
      </w:r>
      <w:r>
        <w:rPr>
          <w:rFonts w:hint="eastAsia" w:ascii="Times New Roman" w:hAnsi="Times New Roman" w:eastAsia="宋体" w:cs="Times New Roman"/>
          <w:color w:val="auto"/>
          <w:sz w:val="24"/>
          <w:szCs w:val="24"/>
          <w:lang w:val="en-US" w:eastAsia="zh-CN"/>
        </w:rPr>
        <w:t>，包装袋前期已完成了激光喷码</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打包过程中有S3固废的产生。</w:t>
      </w:r>
    </w:p>
    <w:p w14:paraId="05FA8CE9">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）成品入库：将袋装成品存入成品库。</w:t>
      </w:r>
    </w:p>
    <w:p w14:paraId="6012EB40">
      <w:pPr>
        <w:keepNext w:val="0"/>
        <w:keepLines w:val="0"/>
        <w:pageBreakBefore w:val="0"/>
        <w:wordWrap/>
        <w:overflowPunct/>
        <w:topLinePunct w:val="0"/>
        <w:bidi w:val="0"/>
        <w:adjustRightInd w:val="0"/>
        <w:snapToGrid w:val="0"/>
        <w:spacing w:line="360" w:lineRule="auto"/>
        <w:ind w:firstLine="480" w:firstLineChars="200"/>
        <w:jc w:val="both"/>
        <w:rPr>
          <w:rFonts w:hint="eastAsia" w:ascii="Times New Roman" w:hAnsi="Times New Roman" w:eastAsia="宋体" w:cs="Times New Roman"/>
          <w:color w:val="auto"/>
          <w:sz w:val="24"/>
          <w:szCs w:val="24"/>
          <w:u w:val="single"/>
          <w:lang w:val="en-US" w:eastAsia="zh-CN"/>
        </w:rPr>
      </w:pPr>
      <w:r>
        <w:rPr>
          <w:rFonts w:hint="eastAsia" w:ascii="Times New Roman" w:hAnsi="Times New Roman" w:eastAsia="宋体" w:cs="Times New Roman"/>
          <w:color w:val="auto"/>
          <w:sz w:val="24"/>
          <w:szCs w:val="24"/>
          <w:u w:val="single"/>
          <w:lang w:val="en-US" w:eastAsia="zh-CN"/>
        </w:rPr>
        <w:t>（2）污水处理工艺流程</w:t>
      </w:r>
      <w:bookmarkEnd w:id="66"/>
    </w:p>
    <w:p w14:paraId="7759971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ascii="Times New Roman" w:hAnsi="Times New Roman" w:eastAsia="宋体" w:cs="Times New Roman"/>
          <w:color w:val="auto"/>
          <w:sz w:val="24"/>
          <w:szCs w:val="24"/>
          <w:u w:val="single"/>
          <w:lang w:eastAsia="zh-CN"/>
        </w:rPr>
      </w:pPr>
      <w:r>
        <w:rPr>
          <w:rFonts w:ascii="Times New Roman" w:hAnsi="Times New Roman" w:eastAsia="宋体" w:cs="Times New Roman"/>
          <w:color w:val="auto"/>
          <w:sz w:val="24"/>
          <w:szCs w:val="24"/>
          <w:u w:val="single"/>
          <w:lang w:eastAsia="zh-CN"/>
        </w:rPr>
        <w:t>场内污水处理站污水处理工艺流程见图</w:t>
      </w:r>
      <w:r>
        <w:rPr>
          <w:rFonts w:hint="eastAsia" w:ascii="Times New Roman" w:hAnsi="Times New Roman" w:eastAsia="宋体" w:cs="Times New Roman"/>
          <w:color w:val="auto"/>
          <w:sz w:val="24"/>
          <w:szCs w:val="24"/>
          <w:u w:val="single"/>
          <w:lang w:val="en-US" w:eastAsia="zh-CN"/>
        </w:rPr>
        <w:t>3</w:t>
      </w:r>
      <w:r>
        <w:rPr>
          <w:rFonts w:ascii="Times New Roman" w:hAnsi="Times New Roman" w:eastAsia="宋体" w:cs="Times New Roman"/>
          <w:color w:val="auto"/>
          <w:sz w:val="24"/>
          <w:szCs w:val="24"/>
          <w:u w:val="single"/>
          <w:lang w:eastAsia="zh-CN"/>
        </w:rPr>
        <w:t>-</w:t>
      </w:r>
      <w:r>
        <w:rPr>
          <w:rFonts w:hint="eastAsia" w:ascii="Times New Roman" w:hAnsi="Times New Roman" w:eastAsia="宋体" w:cs="Times New Roman"/>
          <w:color w:val="auto"/>
          <w:sz w:val="24"/>
          <w:szCs w:val="24"/>
          <w:u w:val="single"/>
          <w:lang w:val="en-US" w:eastAsia="zh-CN"/>
        </w:rPr>
        <w:t>2</w:t>
      </w:r>
      <w:r>
        <w:rPr>
          <w:rFonts w:ascii="Times New Roman" w:hAnsi="Times New Roman" w:eastAsia="宋体" w:cs="Times New Roman"/>
          <w:color w:val="auto"/>
          <w:sz w:val="24"/>
          <w:szCs w:val="24"/>
          <w:u w:val="single"/>
          <w:lang w:eastAsia="zh-CN"/>
        </w:rPr>
        <w:t>。</w:t>
      </w:r>
    </w:p>
    <w:p w14:paraId="1ACD2DA2">
      <w:pPr>
        <w:widowControl w:val="0"/>
        <w:spacing w:before="60" w:after="160"/>
        <w:ind w:right="113"/>
        <w:jc w:val="center"/>
        <w:rPr>
          <w:u w:val="single"/>
          <w:lang w:eastAsia="zh-CN"/>
        </w:rPr>
      </w:pPr>
      <w:r>
        <w:rPr>
          <w:u w:val="none"/>
        </w:rPr>
        <w:drawing>
          <wp:inline distT="0" distB="0" distL="114300" distR="114300">
            <wp:extent cx="3987165" cy="6341110"/>
            <wp:effectExtent l="0" t="0" r="13335" b="2540"/>
            <wp:docPr id="4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
                    <pic:cNvPicPr>
                      <a:picLocks noChangeAspect="1"/>
                    </pic:cNvPicPr>
                  </pic:nvPicPr>
                  <pic:blipFill>
                    <a:blip r:embed="rId19"/>
                    <a:stretch>
                      <a:fillRect/>
                    </a:stretch>
                  </pic:blipFill>
                  <pic:spPr>
                    <a:xfrm>
                      <a:off x="0" y="0"/>
                      <a:ext cx="3987165" cy="6341110"/>
                    </a:xfrm>
                    <a:prstGeom prst="rect">
                      <a:avLst/>
                    </a:prstGeom>
                    <a:noFill/>
                    <a:ln>
                      <a:noFill/>
                    </a:ln>
                  </pic:spPr>
                </pic:pic>
              </a:graphicData>
            </a:graphic>
          </wp:inline>
        </w:drawing>
      </w:r>
      <w:r>
        <w:rPr>
          <w:u w:val="single"/>
          <w:lang w:eastAsia="zh-CN"/>
        </w:rPr>
        <mc:AlternateContent>
          <mc:Choice Requires="wps">
            <w:drawing>
              <wp:anchor distT="0" distB="0" distL="114300" distR="114300" simplePos="0" relativeHeight="251663360" behindDoc="0" locked="0" layoutInCell="1" allowOverlap="1">
                <wp:simplePos x="0" y="0"/>
                <wp:positionH relativeFrom="column">
                  <wp:posOffset>3715385</wp:posOffset>
                </wp:positionH>
                <wp:positionV relativeFrom="paragraph">
                  <wp:posOffset>1228725</wp:posOffset>
                </wp:positionV>
                <wp:extent cx="523875" cy="635"/>
                <wp:effectExtent l="0" t="0" r="0" b="0"/>
                <wp:wrapNone/>
                <wp:docPr id="8" name="直接连接符 8"/>
                <wp:cNvGraphicFramePr/>
                <a:graphic xmlns:a="http://schemas.openxmlformats.org/drawingml/2006/main">
                  <a:graphicData uri="http://schemas.microsoft.com/office/word/2010/wordprocessingShape">
                    <wps:wsp>
                      <wps:cNvCnPr/>
                      <wps:spPr>
                        <a:xfrm flipH="1">
                          <a:off x="0" y="0"/>
                          <a:ext cx="523875" cy="635"/>
                        </a:xfrm>
                        <a:prstGeom prst="line">
                          <a:avLst/>
                        </a:prstGeom>
                        <a:ln>
                          <a:noFill/>
                        </a:ln>
                      </wps:spPr>
                      <wps:bodyPr/>
                    </wps:wsp>
                  </a:graphicData>
                </a:graphic>
              </wp:anchor>
            </w:drawing>
          </mc:Choice>
          <mc:Fallback>
            <w:pict>
              <v:line id="_x0000_s1026" o:spid="_x0000_s1026" o:spt="20" style="position:absolute;left:0pt;flip:x;margin-left:292.55pt;margin-top:96.75pt;height:0.05pt;width:41.25pt;z-index:251663360;mso-width-relative:page;mso-height-relative:page;" filled="f" stroked="f" coordsize="21600,21600" o:gfxdata="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Rc9WUNkAAAALAQAADwAA&#10;AAAAAAABACAAAAAiAAAAZHJzL2Rvd25yZXYueG1sUEsBAhQAFAAAAAgAh07iQIZ4McmjAQAALgMA&#10;AA4AAAAAAAAAAQAgAAAAKAEAAGRycy9lMm9Eb2MueG1sUEsFBgAAAAAGAAYAWQEAAD0FAAAAAA==&#10;">
                <v:fill on="f" focussize="0,0"/>
                <v:stroke on="f"/>
                <v:imagedata o:title=""/>
                <o:lock v:ext="edit" aspectratio="f"/>
              </v:line>
            </w:pict>
          </mc:Fallback>
        </mc:AlternateContent>
      </w:r>
    </w:p>
    <w:p w14:paraId="490E04D9">
      <w:pPr>
        <w:widowControl w:val="0"/>
        <w:spacing w:before="60" w:after="160"/>
        <w:ind w:right="113"/>
        <w:jc w:val="center"/>
        <w:rPr>
          <w:rFonts w:ascii="Times New Roman" w:hAnsi="Times New Roman" w:eastAsia="宋体" w:cs="Times New Roman"/>
          <w:b/>
          <w:bCs/>
          <w:sz w:val="24"/>
          <w:szCs w:val="24"/>
          <w:u w:val="single"/>
          <w:lang w:eastAsia="zh-CN"/>
        </w:rPr>
      </w:pPr>
      <w:r>
        <w:rPr>
          <w:rFonts w:ascii="Times New Roman" w:hAnsi="Times New Roman" w:eastAsia="宋体" w:cs="Times New Roman"/>
          <w:b/>
          <w:bCs/>
          <w:color w:val="auto"/>
          <w:u w:val="single"/>
          <w:lang w:eastAsia="zh-CN"/>
        </w:rPr>
        <w:t>图</w:t>
      </w:r>
      <w:r>
        <w:rPr>
          <w:rFonts w:hint="eastAsia" w:ascii="Times New Roman" w:hAnsi="Times New Roman" w:eastAsia="宋体" w:cs="Times New Roman"/>
          <w:b/>
          <w:bCs/>
          <w:color w:val="auto"/>
          <w:u w:val="single"/>
          <w:lang w:eastAsia="zh-CN"/>
        </w:rPr>
        <w:t>3</w:t>
      </w:r>
      <w:r>
        <w:rPr>
          <w:rFonts w:ascii="Times New Roman" w:hAnsi="Times New Roman" w:eastAsia="宋体" w:cs="Times New Roman"/>
          <w:b/>
          <w:bCs/>
          <w:color w:val="auto"/>
          <w:u w:val="single"/>
          <w:lang w:eastAsia="zh-CN"/>
        </w:rPr>
        <w:t>.2-1 污水处理工艺流程图</w:t>
      </w:r>
    </w:p>
    <w:p w14:paraId="23734F69">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82" w:firstLineChars="200"/>
        <w:jc w:val="both"/>
        <w:textAlignment w:val="baseline"/>
        <w:rPr>
          <w:rFonts w:hint="default" w:ascii="Times New Roman" w:hAnsi="Times New Roman" w:eastAsia="宋体" w:cs="Times New Roman"/>
          <w:b/>
          <w:bCs/>
          <w:sz w:val="24"/>
          <w:szCs w:val="24"/>
          <w:u w:val="single"/>
          <w:lang w:val="en-US" w:eastAsia="zh-CN"/>
        </w:rPr>
      </w:pPr>
      <w:r>
        <w:rPr>
          <w:rFonts w:ascii="Times New Roman" w:hAnsi="Times New Roman" w:eastAsia="宋体" w:cs="Times New Roman"/>
          <w:b/>
          <w:bCs/>
          <w:sz w:val="24"/>
          <w:szCs w:val="24"/>
          <w:u w:val="single"/>
          <w:lang w:eastAsia="zh-CN"/>
        </w:rPr>
        <w:t>污水处理工艺流程简介：</w:t>
      </w:r>
    </w:p>
    <w:p w14:paraId="64B2186E">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80" w:firstLineChars="200"/>
        <w:jc w:val="both"/>
        <w:textAlignment w:val="baseline"/>
        <w:rPr>
          <w:rFonts w:hint="eastAsia" w:ascii="Times New Roman" w:hAnsi="Times New Roman" w:eastAsia="宋体" w:cs="Times New Roman"/>
          <w:sz w:val="24"/>
          <w:szCs w:val="24"/>
          <w:u w:val="single"/>
          <w:lang w:val="en-US" w:eastAsia="zh-CN"/>
        </w:rPr>
      </w:pPr>
      <w:bookmarkStart w:id="67" w:name="_Toc16922"/>
      <w:bookmarkStart w:id="68" w:name="_Toc11212"/>
      <w:r>
        <w:rPr>
          <w:rFonts w:hint="eastAsia" w:ascii="Times New Roman" w:hAnsi="Times New Roman" w:eastAsia="宋体" w:cs="Times New Roman"/>
          <w:sz w:val="24"/>
          <w:szCs w:val="24"/>
          <w:u w:val="single"/>
          <w:lang w:val="en-US" w:eastAsia="zh-CN"/>
        </w:rPr>
        <w:t>粗格栅：利用物理筛分作用，通过栅条或筛网截留废水中体积较大的悬浮固体（如槟榔果壳、纤维等），避免后续设备堵塞或磨损。</w:t>
      </w:r>
    </w:p>
    <w:p w14:paraId="10089BAA">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80" w:firstLineChars="200"/>
        <w:jc w:val="both"/>
        <w:textAlignment w:val="baseline"/>
        <w:rPr>
          <w:rFonts w:hint="eastAsia" w:ascii="Times New Roman" w:hAnsi="Times New Roman" w:eastAsia="宋体" w:cs="Times New Roman"/>
          <w:sz w:val="24"/>
          <w:szCs w:val="24"/>
          <w:u w:val="single"/>
          <w:lang w:val="en-US" w:eastAsia="zh-CN"/>
        </w:rPr>
      </w:pPr>
      <w:r>
        <w:rPr>
          <w:rFonts w:hint="eastAsia" w:ascii="Times New Roman" w:hAnsi="Times New Roman" w:eastAsia="宋体" w:cs="Times New Roman"/>
          <w:sz w:val="24"/>
          <w:szCs w:val="24"/>
          <w:u w:val="single"/>
          <w:lang w:val="en-US" w:eastAsia="zh-CN"/>
        </w:rPr>
        <w:t>隔油调节：综合废水中的油类密度小于水，在池内静置后上浮至水面，形成浮油层。随后通过调节池均质均量作用，缓冲槟榔加工废水水质和水量的波动，为后续处理单元提供稳定的进水条件。</w:t>
      </w:r>
    </w:p>
    <w:p w14:paraId="4A39584D">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80" w:firstLineChars="200"/>
        <w:jc w:val="both"/>
        <w:textAlignment w:val="baseline"/>
        <w:rPr>
          <w:rFonts w:hint="eastAsia" w:ascii="Times New Roman" w:hAnsi="Times New Roman" w:eastAsia="宋体" w:cs="Times New Roman"/>
          <w:sz w:val="24"/>
          <w:szCs w:val="24"/>
          <w:u w:val="single"/>
          <w:lang w:val="en-US" w:eastAsia="zh-CN"/>
        </w:rPr>
      </w:pPr>
      <w:r>
        <w:rPr>
          <w:rFonts w:hint="eastAsia" w:ascii="Times New Roman" w:hAnsi="Times New Roman" w:eastAsia="宋体" w:cs="Times New Roman"/>
          <w:sz w:val="24"/>
          <w:szCs w:val="24"/>
          <w:u w:val="single"/>
          <w:lang w:val="en-US" w:eastAsia="zh-CN"/>
        </w:rPr>
        <w:t>絮凝沉淀：向废水中投加絮凝剂和助凝剂，使废水中的细小悬浮颗粒、胶体物质（如槟榔单宁、多糖类胶体）聚集成大粒径的絮体，在重力作用下沉降分离。</w:t>
      </w:r>
    </w:p>
    <w:p w14:paraId="4D8DD098">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80" w:firstLineChars="200"/>
        <w:jc w:val="both"/>
        <w:textAlignment w:val="baseline"/>
        <w:rPr>
          <w:rFonts w:hint="eastAsia" w:ascii="Times New Roman" w:hAnsi="Times New Roman" w:eastAsia="宋体" w:cs="Times New Roman"/>
          <w:sz w:val="24"/>
          <w:szCs w:val="24"/>
          <w:u w:val="single"/>
          <w:lang w:val="en-US" w:eastAsia="zh-CN"/>
        </w:rPr>
      </w:pPr>
      <w:r>
        <w:rPr>
          <w:rFonts w:hint="eastAsia" w:ascii="Times New Roman" w:hAnsi="Times New Roman" w:eastAsia="宋体" w:cs="Times New Roman"/>
          <w:sz w:val="24"/>
          <w:szCs w:val="24"/>
          <w:u w:val="single"/>
          <w:lang w:val="en-US" w:eastAsia="zh-CN"/>
        </w:rPr>
        <w:t>斜管沉淀：在沉淀池内安装倾斜的管状填料，废水在斜管内流动时，絮体颗粒的沉降距离缩短、沉降时间减少，同时斜管可拦截絮体，提高沉淀效率。</w:t>
      </w:r>
    </w:p>
    <w:p w14:paraId="1D584F02">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80" w:firstLineChars="200"/>
        <w:jc w:val="both"/>
        <w:textAlignment w:val="baseline"/>
        <w:rPr>
          <w:rFonts w:hint="eastAsia" w:ascii="Times New Roman" w:hAnsi="Times New Roman" w:eastAsia="宋体" w:cs="Times New Roman"/>
          <w:sz w:val="24"/>
          <w:szCs w:val="24"/>
          <w:u w:val="single"/>
          <w:lang w:val="en-US" w:eastAsia="zh-CN"/>
        </w:rPr>
      </w:pPr>
      <w:r>
        <w:rPr>
          <w:rFonts w:hint="eastAsia" w:ascii="Times New Roman" w:hAnsi="Times New Roman" w:eastAsia="宋体" w:cs="Times New Roman"/>
          <w:sz w:val="24"/>
          <w:szCs w:val="24"/>
          <w:u w:val="single"/>
          <w:lang w:val="en-US" w:eastAsia="zh-CN"/>
        </w:rPr>
        <w:t>微纳米臭氧氧化系统：利用微纳米臭氧发生器产生粒</w:t>
      </w:r>
      <w:r>
        <w:rPr>
          <w:rFonts w:hint="default" w:ascii="Times New Roman" w:hAnsi="Times New Roman" w:eastAsia="宋体" w:cs="Times New Roman"/>
          <w:sz w:val="24"/>
          <w:szCs w:val="24"/>
          <w:u w:val="single"/>
          <w:lang w:val="en-US" w:eastAsia="zh-CN"/>
        </w:rPr>
        <w:t>径为1~100μm 的臭氧气泡，臭氧具有强氧化性</w:t>
      </w:r>
      <w:r>
        <w:rPr>
          <w:rFonts w:hint="eastAsia" w:ascii="Times New Roman" w:hAnsi="Times New Roman" w:eastAsia="宋体" w:cs="Times New Roman"/>
          <w:sz w:val="24"/>
          <w:szCs w:val="24"/>
          <w:u w:val="single"/>
          <w:lang w:val="en-US" w:eastAsia="zh-CN"/>
        </w:rPr>
        <w:t>，可通过直接氧化和间接氧化分解废水中的难降解有机物（如槟榔废水中色度），破坏有机物分子结构，提高废水的可生化性。</w:t>
      </w:r>
    </w:p>
    <w:p w14:paraId="362FE01F">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80" w:firstLineChars="200"/>
        <w:jc w:val="both"/>
        <w:textAlignment w:val="baseline"/>
        <w:rPr>
          <w:rFonts w:hint="eastAsia" w:ascii="Times New Roman" w:hAnsi="Times New Roman" w:eastAsia="宋体" w:cs="Times New Roman"/>
          <w:sz w:val="24"/>
          <w:szCs w:val="24"/>
          <w:u w:val="single"/>
          <w:lang w:val="en-US" w:eastAsia="zh-CN"/>
        </w:rPr>
      </w:pPr>
      <w:r>
        <w:rPr>
          <w:rFonts w:hint="eastAsia" w:ascii="Times New Roman" w:hAnsi="Times New Roman" w:eastAsia="宋体" w:cs="Times New Roman"/>
          <w:sz w:val="24"/>
          <w:szCs w:val="24"/>
          <w:u w:val="single"/>
          <w:lang w:val="en-US" w:eastAsia="zh-CN"/>
        </w:rPr>
        <w:t>曝气：通过曝气装置向废水中充入空气，提高废水中的溶解氧浓度，为后续好氧生物处理单元提供氧气预处理，同时搅拌废水，防止悬浮物沉降，促进臭氧氧化后废水的均质化。</w:t>
      </w:r>
    </w:p>
    <w:p w14:paraId="5D7A9037">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80" w:firstLineChars="200"/>
        <w:jc w:val="both"/>
        <w:textAlignment w:val="baseline"/>
        <w:rPr>
          <w:rFonts w:hint="eastAsia" w:ascii="Times New Roman" w:hAnsi="Times New Roman" w:eastAsia="宋体" w:cs="Times New Roman"/>
          <w:sz w:val="24"/>
          <w:szCs w:val="24"/>
          <w:u w:val="single"/>
          <w:lang w:val="en-US" w:eastAsia="zh-CN"/>
        </w:rPr>
      </w:pPr>
      <w:r>
        <w:rPr>
          <w:rFonts w:hint="eastAsia" w:ascii="Times New Roman" w:hAnsi="Times New Roman" w:eastAsia="宋体" w:cs="Times New Roman"/>
          <w:sz w:val="24"/>
          <w:szCs w:val="24"/>
          <w:u w:val="single"/>
          <w:lang w:val="en-US" w:eastAsia="zh-CN"/>
        </w:rPr>
        <w:t>膜处理：采用膜分离技术（由于槟榔废水中SS浓度较高，项目污水处理设施膜处理选用陶瓷膜，采用超滤工艺，陶瓷超滤膜的孔径范围为0.001~0.1μm，当废水流经膜表面时，纤维颗粒（纤维碎屑 5~50μm）、果肉碎屑等悬浮物因粒径大于膜孔，被完全截留于膜表面，对废水中的颗粒物进一步去除，同时减小对后续生化反应造成冲击），基于筛分作用和孔径截留效应，利用膜的微孔结构截留废水中的悬浮物、胶体、微生物及部分大分子有机物，实现固液分离。</w:t>
      </w:r>
    </w:p>
    <w:p w14:paraId="4AECD006">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80" w:firstLineChars="200"/>
        <w:jc w:val="both"/>
        <w:textAlignment w:val="baseline"/>
        <w:rPr>
          <w:rFonts w:hint="default" w:ascii="Times New Roman" w:hAnsi="Times New Roman" w:eastAsia="宋体" w:cs="Times New Roman"/>
          <w:sz w:val="24"/>
          <w:szCs w:val="24"/>
          <w:u w:val="single"/>
          <w:lang w:val="en-US" w:eastAsia="zh-CN"/>
        </w:rPr>
      </w:pPr>
      <w:r>
        <w:rPr>
          <w:rFonts w:hint="default" w:ascii="Times New Roman" w:hAnsi="Times New Roman" w:eastAsia="宋体" w:cs="Times New Roman"/>
          <w:sz w:val="24"/>
          <w:szCs w:val="24"/>
          <w:u w:val="single"/>
          <w:lang w:val="en-US" w:eastAsia="zh-CN"/>
        </w:rPr>
        <w:t>厌氧+缺氧+好氧+沉淀：在无氧环境下，利用厌氧微生物的代谢作用，将废水中的大分子有机物分解为小分子有机酸，实现有机物的高效降解</w:t>
      </w:r>
      <w:r>
        <w:rPr>
          <w:rFonts w:hint="eastAsia" w:ascii="Times New Roman" w:hAnsi="Times New Roman" w:eastAsia="宋体" w:cs="Times New Roman"/>
          <w:sz w:val="24"/>
          <w:szCs w:val="24"/>
          <w:u w:val="single"/>
          <w:lang w:val="en-US" w:eastAsia="zh-CN"/>
        </w:rPr>
        <w:t>；</w:t>
      </w:r>
      <w:r>
        <w:rPr>
          <w:rFonts w:hint="default" w:ascii="Times New Roman" w:hAnsi="Times New Roman" w:eastAsia="宋体" w:cs="Times New Roman"/>
          <w:sz w:val="24"/>
          <w:szCs w:val="24"/>
          <w:u w:val="single"/>
          <w:lang w:val="en-US" w:eastAsia="zh-CN"/>
        </w:rPr>
        <w:t>在低溶解氧环境下，利用缺氧微生物的代谢作用，将废水中的硝态氮转化为氮气（N₂），实现脱氮；同时，反硝化菌可利用废水中的有机物作为碳源，进一步降解部分 COD</w:t>
      </w:r>
      <w:r>
        <w:rPr>
          <w:rFonts w:hint="eastAsia" w:ascii="Times New Roman" w:hAnsi="Times New Roman" w:eastAsia="宋体" w:cs="Times New Roman"/>
          <w:sz w:val="24"/>
          <w:szCs w:val="24"/>
          <w:u w:val="single"/>
          <w:lang w:val="en-US" w:eastAsia="zh-CN"/>
        </w:rPr>
        <w:t>；</w:t>
      </w:r>
      <w:r>
        <w:rPr>
          <w:rFonts w:hint="default" w:ascii="Times New Roman" w:hAnsi="Times New Roman" w:eastAsia="宋体" w:cs="Times New Roman"/>
          <w:sz w:val="24"/>
          <w:szCs w:val="24"/>
          <w:u w:val="single"/>
          <w:lang w:val="en-US" w:eastAsia="zh-CN"/>
        </w:rPr>
        <w:t>在充足溶解氧环境下，利用好氧微生物的代谢作用，将废水中的有机物分解为二氧化碳和水；同时，好氧微生物可将氨氮转化为硝态氮，实现硝化反应</w:t>
      </w:r>
      <w:r>
        <w:rPr>
          <w:rFonts w:hint="eastAsia" w:ascii="Times New Roman" w:hAnsi="Times New Roman" w:eastAsia="宋体" w:cs="Times New Roman"/>
          <w:sz w:val="24"/>
          <w:szCs w:val="24"/>
          <w:u w:val="single"/>
          <w:lang w:val="en-US" w:eastAsia="zh-CN"/>
        </w:rPr>
        <w:t>，进一步去除COD、氨氮；将好氧处理单元出水的活性污泥或生物膜脱落物沉降分离，实现泥水分离；上清液作为处理后废水进入后续深度处理，沉淀污泥部分回流至缺氧 / 好氧单元，剩余污泥经叠螺机压滤后泥饼外运处置。</w:t>
      </w:r>
    </w:p>
    <w:p w14:paraId="01605B3A">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80" w:firstLineChars="200"/>
        <w:jc w:val="both"/>
        <w:textAlignment w:val="baseline"/>
        <w:rPr>
          <w:rFonts w:hint="default" w:ascii="Times New Roman" w:hAnsi="Times New Roman" w:eastAsia="宋体" w:cs="Times New Roman"/>
          <w:sz w:val="24"/>
          <w:szCs w:val="24"/>
          <w:u w:val="single"/>
          <w:lang w:val="en-US" w:eastAsia="zh-CN"/>
        </w:rPr>
      </w:pPr>
      <w:r>
        <w:rPr>
          <w:rFonts w:hint="eastAsia" w:ascii="Times New Roman" w:hAnsi="Times New Roman" w:eastAsia="宋体" w:cs="Times New Roman"/>
          <w:sz w:val="24"/>
          <w:szCs w:val="24"/>
          <w:u w:val="single"/>
          <w:lang w:val="en-US" w:eastAsia="zh-CN"/>
        </w:rPr>
        <w:t>植物净化：利用人工湿地生态系统（拟采用8个串联式净化池，净化池底部和侧面进行防渗处理，单个净化池容积12m</w:t>
      </w:r>
      <w:r>
        <w:rPr>
          <w:rFonts w:hint="eastAsia" w:ascii="Times New Roman" w:hAnsi="Times New Roman" w:eastAsia="宋体" w:cs="Times New Roman"/>
          <w:sz w:val="24"/>
          <w:szCs w:val="24"/>
          <w:u w:val="single"/>
          <w:vertAlign w:val="superscript"/>
          <w:lang w:val="en-US" w:eastAsia="zh-CN"/>
        </w:rPr>
        <w:t>3</w:t>
      </w:r>
      <w:r>
        <w:rPr>
          <w:rFonts w:hint="eastAsia" w:ascii="Times New Roman" w:hAnsi="Times New Roman" w:eastAsia="宋体" w:cs="Times New Roman"/>
          <w:sz w:val="24"/>
          <w:szCs w:val="24"/>
          <w:u w:val="single"/>
          <w:lang w:val="en-US" w:eastAsia="zh-CN"/>
        </w:rPr>
        <w:t>，总面积64m</w:t>
      </w:r>
      <w:r>
        <w:rPr>
          <w:rFonts w:hint="eastAsia" w:ascii="Times New Roman" w:hAnsi="Times New Roman" w:eastAsia="宋体" w:cs="Times New Roman"/>
          <w:sz w:val="24"/>
          <w:szCs w:val="24"/>
          <w:u w:val="single"/>
          <w:vertAlign w:val="superscript"/>
          <w:lang w:val="en-US" w:eastAsia="zh-CN"/>
        </w:rPr>
        <w:t>2</w:t>
      </w:r>
      <w:r>
        <w:rPr>
          <w:rFonts w:hint="eastAsia" w:ascii="Times New Roman" w:hAnsi="Times New Roman" w:eastAsia="宋体" w:cs="Times New Roman"/>
          <w:sz w:val="24"/>
          <w:szCs w:val="24"/>
          <w:u w:val="single"/>
          <w:lang w:val="en-US" w:eastAsia="zh-CN"/>
        </w:rPr>
        <w:t>，净化池填充基质为火山石，种植植物类型狐尾草（种植密度120株/m</w:t>
      </w:r>
      <w:r>
        <w:rPr>
          <w:rFonts w:hint="eastAsia" w:ascii="Times New Roman" w:hAnsi="Times New Roman" w:eastAsia="宋体" w:cs="Times New Roman"/>
          <w:sz w:val="24"/>
          <w:szCs w:val="24"/>
          <w:u w:val="single"/>
          <w:vertAlign w:val="superscript"/>
          <w:lang w:val="en-US" w:eastAsia="zh-CN"/>
        </w:rPr>
        <w:t>2</w:t>
      </w:r>
      <w:r>
        <w:rPr>
          <w:rFonts w:hint="eastAsia" w:ascii="Times New Roman" w:hAnsi="Times New Roman" w:eastAsia="宋体" w:cs="Times New Roman"/>
          <w:sz w:val="24"/>
          <w:szCs w:val="24"/>
          <w:u w:val="single"/>
          <w:lang w:val="en-US" w:eastAsia="zh-CN"/>
        </w:rPr>
        <w:t>），采用垂直潜流，表面水力负荷0.23m3/m</w:t>
      </w:r>
      <w:r>
        <w:rPr>
          <w:rFonts w:hint="eastAsia" w:ascii="Times New Roman" w:hAnsi="Times New Roman" w:eastAsia="宋体" w:cs="Times New Roman"/>
          <w:sz w:val="24"/>
          <w:szCs w:val="24"/>
          <w:u w:val="single"/>
          <w:vertAlign w:val="superscript"/>
          <w:lang w:val="en-US" w:eastAsia="zh-CN"/>
        </w:rPr>
        <w:t>2</w:t>
      </w:r>
      <w:r>
        <w:rPr>
          <w:rFonts w:hint="eastAsia" w:ascii="Times New Roman" w:hAnsi="Times New Roman" w:eastAsia="宋体" w:cs="Times New Roman"/>
          <w:sz w:val="24"/>
          <w:szCs w:val="24"/>
          <w:u w:val="single"/>
          <w:lang w:val="en-US" w:eastAsia="zh-CN"/>
        </w:rPr>
        <w:t>·d，表面有机负荷117kg/hm</w:t>
      </w:r>
      <w:r>
        <w:rPr>
          <w:rFonts w:hint="eastAsia" w:ascii="Times New Roman" w:hAnsi="Times New Roman" w:eastAsia="宋体" w:cs="Times New Roman"/>
          <w:sz w:val="24"/>
          <w:szCs w:val="24"/>
          <w:u w:val="single"/>
          <w:vertAlign w:val="superscript"/>
          <w:lang w:val="en-US" w:eastAsia="zh-CN"/>
        </w:rPr>
        <w:t>2</w:t>
      </w:r>
      <w:r>
        <w:rPr>
          <w:rFonts w:hint="eastAsia" w:ascii="Times New Roman" w:hAnsi="Times New Roman" w:eastAsia="宋体" w:cs="Times New Roman"/>
          <w:sz w:val="24"/>
          <w:szCs w:val="24"/>
          <w:u w:val="single"/>
          <w:lang w:val="en-US" w:eastAsia="zh-CN"/>
        </w:rPr>
        <w:t>·d），通过植物、微生物、基质的协同作用去除废水中的污染物。处理达标后的废水经自建管道外排。</w:t>
      </w:r>
    </w:p>
    <w:p w14:paraId="215B1C79">
      <w:pPr>
        <w:keepNext w:val="0"/>
        <w:keepLines w:val="0"/>
        <w:pageBreakBefore w:val="0"/>
        <w:widowControl/>
        <w:kinsoku w:val="0"/>
        <w:wordWrap/>
        <w:overflowPunct/>
        <w:topLinePunct w:val="0"/>
        <w:autoSpaceDE w:val="0"/>
        <w:autoSpaceDN w:val="0"/>
        <w:bidi w:val="0"/>
        <w:adjustRightInd w:val="0"/>
        <w:snapToGrid w:val="0"/>
        <w:spacing w:line="360" w:lineRule="auto"/>
        <w:ind w:left="0"/>
        <w:jc w:val="both"/>
        <w:textAlignment w:val="baseline"/>
        <w:outlineLvl w:val="1"/>
        <w:rPr>
          <w:rFonts w:hint="default" w:ascii="Times New Roman" w:hAnsi="Times New Roman" w:eastAsia="宋体" w:cs="Times New Roman"/>
          <w:b/>
          <w:bCs/>
          <w:spacing w:val="-3"/>
          <w:sz w:val="28"/>
          <w:szCs w:val="28"/>
          <w:lang w:val="en-US" w:eastAsia="zh-CN"/>
        </w:rPr>
      </w:pPr>
      <w:r>
        <w:rPr>
          <w:rFonts w:hint="default" w:ascii="Times New Roman" w:hAnsi="Times New Roman" w:eastAsia="宋体" w:cs="Times New Roman"/>
          <w:b/>
          <w:bCs/>
          <w:spacing w:val="-3"/>
          <w:sz w:val="28"/>
          <w:szCs w:val="28"/>
          <w:lang w:eastAsia="zh-CN"/>
        </w:rPr>
        <w:t>3.</w:t>
      </w:r>
      <w:r>
        <w:rPr>
          <w:rFonts w:hint="eastAsia" w:ascii="Times New Roman" w:hAnsi="Times New Roman" w:eastAsia="宋体" w:cs="Times New Roman"/>
          <w:b/>
          <w:bCs/>
          <w:spacing w:val="-3"/>
          <w:sz w:val="28"/>
          <w:szCs w:val="28"/>
          <w:lang w:val="en-US" w:eastAsia="zh-CN"/>
        </w:rPr>
        <w:t>2</w:t>
      </w:r>
      <w:r>
        <w:rPr>
          <w:rFonts w:hint="default" w:ascii="Times New Roman" w:hAnsi="Times New Roman" w:eastAsia="宋体" w:cs="Times New Roman"/>
          <w:b/>
          <w:bCs/>
          <w:spacing w:val="-3"/>
          <w:sz w:val="28"/>
          <w:szCs w:val="28"/>
          <w:lang w:eastAsia="zh-CN"/>
        </w:rPr>
        <w:t>建设项目</w:t>
      </w:r>
      <w:r>
        <w:rPr>
          <w:rFonts w:hint="eastAsia" w:ascii="Times New Roman" w:hAnsi="Times New Roman" w:eastAsia="宋体" w:cs="Times New Roman"/>
          <w:b/>
          <w:bCs/>
          <w:spacing w:val="-3"/>
          <w:sz w:val="28"/>
          <w:szCs w:val="28"/>
          <w:lang w:val="en-US" w:eastAsia="zh-CN"/>
        </w:rPr>
        <w:t>建设及运行情况</w:t>
      </w:r>
      <w:bookmarkEnd w:id="67"/>
      <w:bookmarkEnd w:id="68"/>
    </w:p>
    <w:p w14:paraId="4C8C27D9">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80" w:firstLineChars="200"/>
        <w:jc w:val="both"/>
        <w:textAlignment w:val="baseline"/>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属于技术改造项目，企业已委托第三方公司编制了《湘潭县怡和顺科技有限公司生产线技术改造项目环境影响报告表》，目前环评手续处于送审中。</w:t>
      </w:r>
    </w:p>
    <w:p w14:paraId="5432C190">
      <w:pPr>
        <w:keepNext w:val="0"/>
        <w:keepLines w:val="0"/>
        <w:pageBreakBefore w:val="0"/>
        <w:widowControl/>
        <w:kinsoku w:val="0"/>
        <w:wordWrap/>
        <w:overflowPunct/>
        <w:topLinePunct w:val="0"/>
        <w:autoSpaceDE w:val="0"/>
        <w:autoSpaceDN w:val="0"/>
        <w:bidi w:val="0"/>
        <w:adjustRightInd w:val="0"/>
        <w:snapToGrid w:val="0"/>
        <w:spacing w:line="360" w:lineRule="auto"/>
        <w:ind w:left="0"/>
        <w:jc w:val="both"/>
        <w:textAlignment w:val="baseline"/>
        <w:outlineLvl w:val="1"/>
        <w:rPr>
          <w:rFonts w:hint="eastAsia" w:ascii="Times New Roman" w:hAnsi="Times New Roman" w:eastAsia="宋体" w:cs="Times New Roman"/>
          <w:b/>
          <w:bCs/>
          <w:spacing w:val="-3"/>
          <w:sz w:val="28"/>
          <w:szCs w:val="28"/>
          <w:lang w:val="en-US" w:eastAsia="zh-CN"/>
        </w:rPr>
      </w:pPr>
      <w:bookmarkStart w:id="69" w:name="_Toc22362"/>
      <w:bookmarkStart w:id="70" w:name="_Toc17853"/>
      <w:bookmarkStart w:id="71" w:name="_Toc13322"/>
      <w:r>
        <w:rPr>
          <w:rFonts w:hint="default" w:ascii="Times New Roman" w:hAnsi="Times New Roman" w:eastAsia="宋体" w:cs="Times New Roman"/>
          <w:b/>
          <w:bCs/>
          <w:spacing w:val="-3"/>
          <w:sz w:val="28"/>
          <w:szCs w:val="28"/>
          <w:lang w:eastAsia="zh-CN"/>
        </w:rPr>
        <w:t>3.</w:t>
      </w:r>
      <w:r>
        <w:rPr>
          <w:rFonts w:hint="eastAsia" w:ascii="Times New Roman" w:hAnsi="Times New Roman" w:eastAsia="宋体" w:cs="Times New Roman"/>
          <w:b/>
          <w:bCs/>
          <w:spacing w:val="-3"/>
          <w:sz w:val="28"/>
          <w:szCs w:val="28"/>
          <w:lang w:val="en-US" w:eastAsia="zh-CN"/>
        </w:rPr>
        <w:t>3</w:t>
      </w:r>
      <w:r>
        <w:rPr>
          <w:rFonts w:hint="default" w:ascii="Times New Roman" w:hAnsi="Times New Roman" w:eastAsia="宋体" w:cs="Times New Roman"/>
          <w:b/>
          <w:bCs/>
          <w:spacing w:val="-3"/>
          <w:sz w:val="28"/>
          <w:szCs w:val="28"/>
          <w:lang w:eastAsia="zh-CN"/>
        </w:rPr>
        <w:t>建设项目</w:t>
      </w:r>
      <w:r>
        <w:rPr>
          <w:rFonts w:hint="eastAsia" w:ascii="Times New Roman" w:hAnsi="Times New Roman" w:eastAsia="宋体" w:cs="Times New Roman"/>
          <w:b/>
          <w:bCs/>
          <w:spacing w:val="-3"/>
          <w:sz w:val="28"/>
          <w:szCs w:val="28"/>
          <w:lang w:val="en-US" w:eastAsia="zh-CN"/>
        </w:rPr>
        <w:t>水平衡及废污水排放分析</w:t>
      </w:r>
      <w:bookmarkEnd w:id="69"/>
      <w:bookmarkEnd w:id="70"/>
      <w:bookmarkEnd w:id="71"/>
    </w:p>
    <w:p w14:paraId="66B48F46">
      <w:pPr>
        <w:pStyle w:val="4"/>
        <w:pageBreakBefore w:val="0"/>
        <w:widowControl w:val="0"/>
        <w:kinsoku/>
        <w:wordWrap/>
        <w:overflowPunct/>
        <w:topLinePunct w:val="0"/>
        <w:autoSpaceDE/>
        <w:autoSpaceDN/>
        <w:bidi w:val="0"/>
        <w:adjustRightInd w:val="0"/>
        <w:snapToGrid w:val="0"/>
        <w:spacing w:before="0" w:after="0" w:line="360" w:lineRule="auto"/>
        <w:jc w:val="both"/>
        <w:textAlignment w:val="auto"/>
        <w:rPr>
          <w:rFonts w:hint="default" w:ascii="Times New Roman" w:hAnsi="Times New Roman" w:cs="Times New Roman"/>
          <w:color w:val="auto"/>
          <w:lang w:val="en-US"/>
        </w:rPr>
      </w:pPr>
      <w:bookmarkStart w:id="72" w:name="_Toc18145"/>
      <w:bookmarkStart w:id="73" w:name="_Toc1425"/>
      <w:bookmarkStart w:id="74" w:name="_Toc27927"/>
      <w:r>
        <w:rPr>
          <w:rFonts w:hint="eastAsia" w:ascii="Times New Roman" w:hAnsi="Times New Roman" w:eastAsia="宋体" w:cs="Times New Roman"/>
          <w:color w:val="auto"/>
          <w:lang w:eastAsia="zh-CN"/>
        </w:rPr>
        <w:t>3</w:t>
      </w:r>
      <w:r>
        <w:rPr>
          <w:rFonts w:ascii="Times New Roman" w:hAnsi="Times New Roman" w:cs="Times New Roman"/>
          <w:color w:val="auto"/>
        </w:rPr>
        <w:t>.</w:t>
      </w:r>
      <w:r>
        <w:rPr>
          <w:rFonts w:hint="eastAsia" w:ascii="Times New Roman" w:hAnsi="Times New Roman" w:eastAsia="宋体" w:cs="Times New Roman"/>
          <w:color w:val="auto"/>
          <w:lang w:val="en-US" w:eastAsia="zh-CN"/>
        </w:rPr>
        <w:t>3.1废水来源及构成</w:t>
      </w:r>
      <w:bookmarkEnd w:id="72"/>
      <w:bookmarkEnd w:id="73"/>
      <w:bookmarkEnd w:id="74"/>
    </w:p>
    <w:p w14:paraId="514B5BDD">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80" w:firstLineChars="200"/>
        <w:jc w:val="both"/>
        <w:textAlignment w:val="baseline"/>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主要产生废水的环节为生活污水、</w:t>
      </w:r>
      <w:r>
        <w:rPr>
          <w:rFonts w:hint="default" w:ascii="Times New Roman" w:hAnsi="Times New Roman" w:eastAsia="宋体" w:cs="Times New Roman"/>
          <w:sz w:val="24"/>
          <w:szCs w:val="24"/>
          <w:lang w:val="en-US" w:eastAsia="zh-CN"/>
        </w:rPr>
        <w:t>生产</w:t>
      </w:r>
      <w:r>
        <w:rPr>
          <w:rFonts w:hint="eastAsia" w:ascii="Times New Roman" w:hAnsi="Times New Roman" w:eastAsia="宋体" w:cs="Times New Roman"/>
          <w:sz w:val="24"/>
          <w:szCs w:val="24"/>
          <w:lang w:val="en-US" w:eastAsia="zh-CN"/>
        </w:rPr>
        <w:t>废水。</w:t>
      </w:r>
      <w:r>
        <w:rPr>
          <w:rFonts w:hint="default" w:ascii="Times New Roman" w:hAnsi="Times New Roman" w:eastAsia="宋体" w:cs="Times New Roman"/>
          <w:sz w:val="24"/>
          <w:szCs w:val="24"/>
          <w:lang w:val="en-US" w:eastAsia="zh-CN"/>
        </w:rPr>
        <w:t>生产废水包括废水包括槟榔清洗/煮籽/发籽废水、纯水制备产生的浓水、锅炉废水、设备清洗废水、车间地面清洗废水。项目入河排污口废水来源</w:t>
      </w:r>
      <w:r>
        <w:rPr>
          <w:rFonts w:hint="eastAsia" w:ascii="Times New Roman" w:hAnsi="Times New Roman" w:eastAsia="宋体" w:cs="Times New Roman"/>
          <w:sz w:val="24"/>
          <w:szCs w:val="24"/>
          <w:lang w:val="en-US" w:eastAsia="zh-CN"/>
        </w:rPr>
        <w:t>综合废水（生产和生活废水）。</w:t>
      </w:r>
    </w:p>
    <w:p w14:paraId="64732F97">
      <w:pPr>
        <w:pStyle w:val="4"/>
        <w:pageBreakBefore w:val="0"/>
        <w:widowControl w:val="0"/>
        <w:kinsoku/>
        <w:wordWrap/>
        <w:overflowPunct/>
        <w:topLinePunct w:val="0"/>
        <w:autoSpaceDE/>
        <w:autoSpaceDN/>
        <w:bidi w:val="0"/>
        <w:adjustRightInd w:val="0"/>
        <w:snapToGrid w:val="0"/>
        <w:spacing w:before="0" w:after="0" w:line="360" w:lineRule="auto"/>
        <w:jc w:val="both"/>
        <w:textAlignment w:val="auto"/>
        <w:rPr>
          <w:rFonts w:hint="default" w:ascii="Times New Roman" w:hAnsi="Times New Roman" w:cs="Times New Roman"/>
          <w:color w:val="auto"/>
          <w:lang w:val="en-US"/>
        </w:rPr>
      </w:pPr>
      <w:bookmarkStart w:id="75" w:name="_Toc6359"/>
      <w:bookmarkStart w:id="76" w:name="_Toc24714"/>
      <w:bookmarkStart w:id="77" w:name="_Toc4968"/>
      <w:r>
        <w:rPr>
          <w:rFonts w:hint="eastAsia" w:ascii="Times New Roman" w:hAnsi="Times New Roman" w:eastAsia="宋体" w:cs="Times New Roman"/>
          <w:color w:val="auto"/>
          <w:lang w:eastAsia="zh-CN"/>
        </w:rPr>
        <w:t>3</w:t>
      </w:r>
      <w:r>
        <w:rPr>
          <w:rFonts w:ascii="Times New Roman" w:hAnsi="Times New Roman" w:cs="Times New Roman"/>
          <w:color w:val="auto"/>
        </w:rPr>
        <w:t>.</w:t>
      </w:r>
      <w:r>
        <w:rPr>
          <w:rFonts w:hint="eastAsia" w:ascii="Times New Roman" w:hAnsi="Times New Roman" w:eastAsia="宋体" w:cs="Times New Roman"/>
          <w:color w:val="auto"/>
          <w:lang w:val="en-US" w:eastAsia="zh-CN"/>
        </w:rPr>
        <w:t>3.2废水排放分析</w:t>
      </w:r>
      <w:bookmarkEnd w:id="75"/>
      <w:bookmarkEnd w:id="76"/>
      <w:bookmarkEnd w:id="77"/>
    </w:p>
    <w:p w14:paraId="68AC08CF">
      <w:pPr>
        <w:keepNext w:val="0"/>
        <w:keepLines w:val="0"/>
        <w:pageBreakBefore w:val="0"/>
        <w:widowControl w:val="0"/>
        <w:kinsoku/>
        <w:wordWrap/>
        <w:overflowPunct/>
        <w:topLinePunct w:val="0"/>
        <w:autoSpaceDE/>
        <w:autoSpaceDN/>
        <w:bidi w:val="0"/>
        <w:spacing w:line="360" w:lineRule="auto"/>
        <w:ind w:firstLine="482" w:firstLineChars="200"/>
        <w:jc w:val="both"/>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default" w:ascii="Times New Roman" w:hAnsi="Times New Roman" w:eastAsia="宋体" w:cs="Times New Roman"/>
          <w:b/>
          <w:bCs/>
          <w:color w:val="auto"/>
          <w:sz w:val="24"/>
          <w:szCs w:val="24"/>
          <w:highlight w:val="none"/>
          <w:u w:val="none" w:color="auto"/>
          <w:lang w:val="en-US" w:eastAsia="zh-CN"/>
        </w:rPr>
        <w:t>（1）生活用水及排水</w:t>
      </w:r>
    </w:p>
    <w:p w14:paraId="422E4357">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80" w:firstLineChars="200"/>
        <w:jc w:val="both"/>
        <w:textAlignment w:val="baseline"/>
        <w:rPr>
          <w:rFonts w:hint="default" w:ascii="Times New Roman" w:hAnsi="Times New Roman" w:eastAsia="宋体" w:cs="Times New Roman"/>
          <w:color w:val="auto"/>
          <w:kern w:val="0"/>
          <w:sz w:val="24"/>
          <w:szCs w:val="24"/>
          <w:highlight w:val="none"/>
          <w:u w:val="none" w:color="auto"/>
          <w:lang w:val="en-US" w:eastAsia="zh-CN"/>
        </w:rPr>
      </w:pPr>
      <w:r>
        <w:rPr>
          <w:rFonts w:hint="eastAsia" w:ascii="Times New Roman" w:hAnsi="Times New Roman" w:eastAsia="宋体" w:cs="Times New Roman"/>
          <w:sz w:val="24"/>
          <w:szCs w:val="24"/>
          <w:lang w:val="en-US" w:eastAsia="zh-CN"/>
        </w:rPr>
        <w:t>全厂员工人数40人，在食堂就中餐，不住宿，员工生活用水参照《用水定额第3部分：生活、服务业及建筑业》DB43/T388.3-2025表2农村居民生活用水90L/人.d，则生活用水量为3.6</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w:t>
      </w:r>
      <w:r>
        <w:rPr>
          <w:rFonts w:hint="eastAsia" w:ascii="Times New Roman" w:hAnsi="Times New Roman" w:eastAsia="宋体" w:cs="Times New Roman"/>
          <w:sz w:val="24"/>
          <w:szCs w:val="24"/>
          <w:lang w:val="en-US" w:eastAsia="zh-CN"/>
        </w:rPr>
        <w:t>1080</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/a）</w:t>
      </w:r>
      <w:r>
        <w:rPr>
          <w:rFonts w:hint="eastAsia" w:ascii="Times New Roman" w:hAnsi="Times New Roman" w:eastAsia="宋体" w:cs="Times New Roman"/>
          <w:sz w:val="24"/>
          <w:szCs w:val="24"/>
          <w:lang w:val="en-US" w:eastAsia="zh-CN"/>
        </w:rPr>
        <w:t>。生活污水按用水量的80%计，即生活污水为2.88</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w:t>
      </w:r>
      <w:r>
        <w:rPr>
          <w:rFonts w:hint="eastAsia" w:ascii="Times New Roman" w:hAnsi="Times New Roman" w:eastAsia="宋体" w:cs="Times New Roman"/>
          <w:sz w:val="24"/>
          <w:szCs w:val="24"/>
          <w:lang w:val="en-US" w:eastAsia="zh-CN"/>
        </w:rPr>
        <w:t>（864</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eastAsia" w:ascii="Times New Roman" w:hAnsi="Times New Roman" w:eastAsia="宋体" w:cs="Times New Roman"/>
          <w:sz w:val="24"/>
          <w:szCs w:val="24"/>
          <w:lang w:val="en-US" w:eastAsia="zh-CN"/>
        </w:rPr>
        <w:t>/a）。生活污水中主要污染因子及产生浓度为COD、BOD</w:t>
      </w:r>
      <w:r>
        <w:rPr>
          <w:rFonts w:hint="eastAsia" w:ascii="Times New Roman" w:hAnsi="Times New Roman" w:eastAsia="宋体" w:cs="Times New Roman"/>
          <w:sz w:val="24"/>
          <w:szCs w:val="24"/>
          <w:vertAlign w:val="subscript"/>
          <w:lang w:val="en-US" w:eastAsia="zh-CN"/>
        </w:rPr>
        <w:t>5</w:t>
      </w:r>
      <w:r>
        <w:rPr>
          <w:rFonts w:hint="eastAsia" w:ascii="Times New Roman" w:hAnsi="Times New Roman" w:eastAsia="宋体" w:cs="Times New Roman"/>
          <w:sz w:val="24"/>
          <w:szCs w:val="24"/>
          <w:lang w:val="en-US" w:eastAsia="zh-CN"/>
        </w:rPr>
        <w:t>、氨氮、SS、动植物油。</w:t>
      </w:r>
    </w:p>
    <w:p w14:paraId="45DEEC14">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eastAsia="宋体" w:cs="Times New Roman"/>
          <w:b w:val="0"/>
          <w:bCs/>
          <w:color w:val="auto"/>
          <w:spacing w:val="10"/>
          <w:sz w:val="24"/>
          <w:szCs w:val="24"/>
          <w:u w:val="none" w:color="auto"/>
          <w:lang w:val="en-US" w:eastAsia="zh-CN"/>
        </w:rPr>
      </w:pPr>
      <w:bookmarkStart w:id="78" w:name="_Toc18283"/>
      <w:bookmarkStart w:id="79" w:name="_Toc20531"/>
      <w:r>
        <w:rPr>
          <w:rFonts w:hint="default" w:ascii="Times New Roman" w:hAnsi="Times New Roman" w:cs="Times New Roman"/>
          <w:b/>
          <w:bCs w:val="0"/>
          <w:color w:val="auto"/>
          <w:spacing w:val="10"/>
          <w:sz w:val="24"/>
          <w:szCs w:val="24"/>
          <w:u w:val="none" w:color="auto"/>
          <w:lang w:val="en-US" w:eastAsia="zh-CN"/>
        </w:rPr>
        <w:t>（2）生产用水及排水</w:t>
      </w:r>
    </w:p>
    <w:p w14:paraId="6C86C2BA">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cs="Times New Roman"/>
          <w:b w:val="0"/>
          <w:bCs/>
          <w:color w:val="auto"/>
          <w:spacing w:val="10"/>
          <w:sz w:val="24"/>
          <w:szCs w:val="24"/>
          <w:u w:val="none" w:color="auto"/>
          <w:lang w:val="en-US" w:eastAsia="zh-CN"/>
        </w:rPr>
      </w:pPr>
      <w:r>
        <w:rPr>
          <w:rFonts w:hint="default" w:ascii="Times New Roman" w:hAnsi="Times New Roman" w:cs="Times New Roman"/>
          <w:b w:val="0"/>
          <w:bCs/>
          <w:color w:val="auto"/>
          <w:spacing w:val="10"/>
          <w:sz w:val="24"/>
          <w:szCs w:val="24"/>
          <w:u w:val="none" w:color="auto"/>
          <w:lang w:val="en-US" w:eastAsia="zh-CN"/>
        </w:rPr>
        <w:t>生产用水包括槟榔洗籽/煮籽/发籽用水、卤水制备用水、锅炉用水、设备清洗用水、车间地面清洗用水。废水包括槟榔清洗/煮籽/发籽废水、纯水制备产生的浓水、锅炉废水、设备清洗废水、车间地面清洗废水。</w:t>
      </w:r>
    </w:p>
    <w:p w14:paraId="3FD4BD1D">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hint="default" w:ascii="Times New Roman" w:hAnsi="Times New Roman" w:eastAsia="宋体" w:cs="Times New Roman"/>
          <w:b/>
          <w:bCs/>
          <w:color w:val="auto"/>
          <w:kern w:val="0"/>
          <w:sz w:val="24"/>
          <w:szCs w:val="24"/>
          <w:highlight w:val="none"/>
          <w:u w:val="none" w:color="auto"/>
          <w:lang w:val="en-US" w:eastAsia="zh-CN"/>
        </w:rPr>
      </w:pPr>
      <w:r>
        <w:rPr>
          <w:rFonts w:hint="default" w:ascii="Times New Roman" w:hAnsi="Times New Roman" w:eastAsia="宋体" w:cs="Times New Roman"/>
          <w:b/>
          <w:bCs/>
          <w:color w:val="auto"/>
          <w:sz w:val="24"/>
          <w:szCs w:val="24"/>
          <w:highlight w:val="none"/>
          <w:u w:val="none" w:color="auto"/>
          <w:lang w:val="en-US" w:eastAsia="zh-CN"/>
        </w:rPr>
        <w:t>①</w:t>
      </w:r>
      <w:r>
        <w:rPr>
          <w:rFonts w:hint="default" w:ascii="Times New Roman" w:hAnsi="Times New Roman" w:cs="Times New Roman"/>
          <w:b/>
          <w:bCs/>
          <w:color w:val="auto"/>
          <w:spacing w:val="10"/>
          <w:sz w:val="24"/>
          <w:szCs w:val="24"/>
          <w:u w:val="none" w:color="auto"/>
          <w:lang w:val="en-US" w:eastAsia="zh-CN"/>
        </w:rPr>
        <w:t>洗籽/煮籽/发籽用水及排水</w:t>
      </w:r>
    </w:p>
    <w:p w14:paraId="694313E0">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cs="Times New Roman"/>
          <w:b w:val="0"/>
          <w:bCs/>
          <w:color w:val="auto"/>
          <w:spacing w:val="10"/>
          <w:sz w:val="24"/>
          <w:szCs w:val="24"/>
          <w:u w:val="none" w:color="auto"/>
          <w:lang w:val="en-US" w:eastAsia="zh-CN"/>
        </w:rPr>
      </w:pPr>
      <w:r>
        <w:rPr>
          <w:rFonts w:hint="default" w:ascii="Times New Roman" w:hAnsi="Times New Roman" w:cs="Times New Roman"/>
          <w:b w:val="0"/>
          <w:bCs/>
          <w:color w:val="auto"/>
          <w:spacing w:val="10"/>
          <w:sz w:val="24"/>
          <w:szCs w:val="24"/>
          <w:u w:val="none" w:color="auto"/>
          <w:lang w:val="en-US" w:eastAsia="zh-CN"/>
        </w:rPr>
        <w:t>项目生产1吨槟榔成品约使用4吨新鲜水，故洗籽/煮籽/发籽用水量为1000t/a。清洗/煮籽/发籽废水参照《排放源统计调查产排污核算方法和系数手册》公告2021年第24号中“137蔬菜、菌类、水果和坚果加工行业系数手册-槟榔-工艺名称：清洗－发泡－烘干－上胶-切片-点卤，工业废水产生量为3.5吨/吨.产品，项目产品年产能为250吨，则废水产生量为875t/a。</w:t>
      </w:r>
    </w:p>
    <w:p w14:paraId="0600E294">
      <w:pPr>
        <w:keepNext w:val="0"/>
        <w:keepLines w:val="0"/>
        <w:pageBreakBefore w:val="0"/>
        <w:widowControl w:val="0"/>
        <w:kinsoku/>
        <w:wordWrap/>
        <w:overflowPunct/>
        <w:topLinePunct w:val="0"/>
        <w:autoSpaceDE/>
        <w:autoSpaceDN/>
        <w:bidi w:val="0"/>
        <w:spacing w:line="360" w:lineRule="auto"/>
        <w:ind w:firstLine="520" w:firstLineChars="200"/>
        <w:textAlignment w:val="auto"/>
        <w:rPr>
          <w:rFonts w:hint="default" w:ascii="Times New Roman" w:hAnsi="Times New Roman" w:cs="Times New Roman"/>
          <w:b/>
          <w:bCs/>
          <w:color w:val="auto"/>
          <w:spacing w:val="10"/>
          <w:sz w:val="24"/>
          <w:szCs w:val="24"/>
          <w:u w:val="none" w:color="auto"/>
          <w:lang w:val="en-US" w:eastAsia="zh-CN"/>
        </w:rPr>
      </w:pPr>
      <w:r>
        <w:rPr>
          <w:rFonts w:hint="default" w:ascii="Times New Roman" w:hAnsi="Times New Roman" w:cs="Times New Roman"/>
          <w:b/>
          <w:bCs/>
          <w:color w:val="auto"/>
          <w:spacing w:val="10"/>
          <w:sz w:val="24"/>
          <w:szCs w:val="24"/>
          <w:u w:val="none" w:color="auto"/>
          <w:lang w:val="en-US" w:eastAsia="zh-CN"/>
        </w:rPr>
        <w:t>②卤水制备用水及排水</w:t>
      </w:r>
    </w:p>
    <w:p w14:paraId="553E1631">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cs="Times New Roman"/>
          <w:b w:val="0"/>
          <w:bCs/>
          <w:color w:val="auto"/>
          <w:spacing w:val="10"/>
          <w:sz w:val="24"/>
          <w:szCs w:val="24"/>
          <w:u w:val="none" w:color="auto"/>
          <w:lang w:val="en-US" w:eastAsia="zh-CN"/>
        </w:rPr>
      </w:pPr>
      <w:r>
        <w:rPr>
          <w:rFonts w:hint="default" w:ascii="Times New Roman" w:hAnsi="Times New Roman" w:cs="Times New Roman"/>
          <w:b w:val="0"/>
          <w:bCs/>
          <w:color w:val="auto"/>
          <w:spacing w:val="10"/>
          <w:sz w:val="24"/>
          <w:szCs w:val="24"/>
          <w:u w:val="none" w:color="auto"/>
          <w:lang w:val="en-US" w:eastAsia="zh-CN"/>
        </w:rPr>
        <w:t>项目在卤水制备时，需要加水将氢氧化钙浸泡形成乳状液体，1吨氢氧化钙需要2吨水进行浸泡，项目年氢氧化钙使用量为</w:t>
      </w:r>
      <w:r>
        <w:rPr>
          <w:rFonts w:hint="eastAsia" w:ascii="Times New Roman" w:hAnsi="Times New Roman" w:cs="Times New Roman"/>
          <w:b w:val="0"/>
          <w:bCs/>
          <w:color w:val="auto"/>
          <w:spacing w:val="10"/>
          <w:sz w:val="24"/>
          <w:szCs w:val="24"/>
          <w:u w:val="none" w:color="auto"/>
          <w:lang w:val="en-US" w:eastAsia="zh-CN"/>
        </w:rPr>
        <w:t>0.75</w:t>
      </w:r>
      <w:r>
        <w:rPr>
          <w:rFonts w:hint="default" w:ascii="Times New Roman" w:hAnsi="Times New Roman" w:cs="Times New Roman"/>
          <w:b w:val="0"/>
          <w:bCs/>
          <w:color w:val="auto"/>
          <w:spacing w:val="10"/>
          <w:sz w:val="24"/>
          <w:szCs w:val="24"/>
          <w:u w:val="none" w:color="auto"/>
          <w:lang w:val="en-US" w:eastAsia="zh-CN"/>
        </w:rPr>
        <w:t>吨，故需要加入</w:t>
      </w:r>
      <w:r>
        <w:rPr>
          <w:rFonts w:hint="eastAsia" w:ascii="Times New Roman" w:hAnsi="Times New Roman" w:cs="Times New Roman"/>
          <w:b w:val="0"/>
          <w:bCs/>
          <w:color w:val="auto"/>
          <w:spacing w:val="10"/>
          <w:sz w:val="24"/>
          <w:szCs w:val="24"/>
          <w:u w:val="none" w:color="auto"/>
          <w:lang w:val="en-US" w:eastAsia="zh-CN"/>
        </w:rPr>
        <w:t>1.5</w:t>
      </w:r>
      <w:r>
        <w:rPr>
          <w:rFonts w:hint="default" w:ascii="Times New Roman" w:hAnsi="Times New Roman" w:cs="Times New Roman"/>
          <w:b w:val="0"/>
          <w:bCs/>
          <w:color w:val="auto"/>
          <w:spacing w:val="10"/>
          <w:sz w:val="24"/>
          <w:szCs w:val="24"/>
          <w:u w:val="none" w:color="auto"/>
          <w:lang w:val="en-US" w:eastAsia="zh-CN"/>
        </w:rPr>
        <w:t>吨清水，形成乳状液体后直接加入辅料，加热搅拌成卤水，卤水直接用于点卤工序，其卤水制备和使用过程中无废水产生，其加入的废水部分蒸发，其余全部进入产品内。</w:t>
      </w:r>
    </w:p>
    <w:p w14:paraId="063ADADF">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cs="Times New Roman"/>
          <w:b/>
          <w:bCs/>
          <w:color w:val="auto"/>
          <w:spacing w:val="10"/>
          <w:sz w:val="24"/>
          <w:szCs w:val="24"/>
          <w:u w:val="none" w:color="auto"/>
          <w:lang w:val="en-US" w:eastAsia="zh-CN"/>
        </w:rPr>
      </w:pPr>
      <w:r>
        <w:rPr>
          <w:rFonts w:hint="default" w:ascii="Times New Roman" w:hAnsi="Times New Roman" w:cs="Times New Roman"/>
          <w:b/>
          <w:bCs/>
          <w:color w:val="auto"/>
          <w:spacing w:val="10"/>
          <w:sz w:val="24"/>
          <w:szCs w:val="24"/>
          <w:u w:val="none" w:color="auto"/>
          <w:lang w:val="en-US" w:eastAsia="zh-CN"/>
        </w:rPr>
        <w:t>③锅炉用水及排水</w:t>
      </w:r>
    </w:p>
    <w:p w14:paraId="4639D04F">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cs="Times New Roman"/>
          <w:b w:val="0"/>
          <w:bCs w:val="0"/>
          <w:color w:val="auto"/>
          <w:spacing w:val="10"/>
          <w:sz w:val="24"/>
          <w:szCs w:val="24"/>
          <w:u w:val="none" w:color="auto"/>
          <w:lang w:val="en-US" w:eastAsia="zh-CN"/>
        </w:rPr>
      </w:pPr>
      <w:r>
        <w:rPr>
          <w:rFonts w:hint="default" w:ascii="Times New Roman" w:hAnsi="Times New Roman" w:cs="Times New Roman"/>
          <w:b w:val="0"/>
          <w:bCs w:val="0"/>
          <w:color w:val="auto"/>
          <w:spacing w:val="10"/>
          <w:sz w:val="24"/>
          <w:szCs w:val="24"/>
          <w:u w:val="none" w:color="auto"/>
          <w:lang w:val="en-US" w:eastAsia="zh-CN"/>
        </w:rPr>
        <w:t>根据建设单位提供的资料可知，项目锅炉使用纯水，项目2.5t/h的锅炉年工作时间为1500h，则年产蒸汽量为3750t/a，本项目锅炉系统拟设置蒸汽冷凝水回收利用装置，蒸汽经换热后冷凝液返回锅炉给水，循环使用，产出的蒸汽可回收95%，则循环利用水量为3562.5t/a。锅炉由于汽水损耗和锅炉排污，需补充一定量的水，其中汽水损耗占蒸汽产生量的5%。因此损耗量为187.5t/a，故年补充水量为269.085t（汽水损耗损耗+锅炉排污量）。计算得出锅炉总用水量为3831.585t/a。</w:t>
      </w:r>
    </w:p>
    <w:p w14:paraId="5290C584">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cs="Times New Roman"/>
          <w:b w:val="0"/>
          <w:bCs w:val="0"/>
          <w:color w:val="auto"/>
          <w:spacing w:val="10"/>
          <w:sz w:val="24"/>
          <w:szCs w:val="24"/>
          <w:u w:val="none" w:color="auto"/>
          <w:lang w:val="en-US" w:eastAsia="zh-CN"/>
        </w:rPr>
      </w:pPr>
      <w:r>
        <w:rPr>
          <w:rFonts w:hint="default" w:ascii="Times New Roman" w:hAnsi="Times New Roman" w:cs="Times New Roman"/>
          <w:b w:val="0"/>
          <w:bCs w:val="0"/>
          <w:color w:val="auto"/>
          <w:spacing w:val="10"/>
          <w:sz w:val="24"/>
          <w:szCs w:val="24"/>
          <w:u w:val="none" w:color="auto"/>
          <w:lang w:val="en-US" w:eastAsia="zh-CN"/>
        </w:rPr>
        <w:t>项目锅炉运行过程中需定期排放污水。锅炉废水参照《排放源统计调查产排污核算方法和系数手册》（生态环境部2021年6月9日）-4430工业锅炉（热力供应）行业系数手册，生物质锅炉产生废水（锅内水处理）系数为0.259吨/吨-原料，技改后生物质颗粒年用量为315t，则锅炉排污水81.585t/a。查阅《排放源统计调查产排污核算方法和系数手册》（生态环境部2021年6月9日）-4430工业锅炉（热力供应）行业系数手册以及同类型项目，废水中主要污染因子为COD、SS。</w:t>
      </w:r>
    </w:p>
    <w:p w14:paraId="1F0A5E52">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cs="Times New Roman"/>
          <w:b/>
          <w:bCs/>
          <w:color w:val="auto"/>
          <w:spacing w:val="10"/>
          <w:sz w:val="24"/>
          <w:szCs w:val="24"/>
          <w:u w:val="none" w:color="auto"/>
          <w:lang w:val="en-US" w:eastAsia="zh-CN"/>
        </w:rPr>
      </w:pPr>
      <w:r>
        <w:rPr>
          <w:rFonts w:hint="default" w:ascii="Times New Roman" w:hAnsi="Times New Roman" w:cs="Times New Roman"/>
          <w:b/>
          <w:bCs/>
          <w:color w:val="auto"/>
          <w:spacing w:val="10"/>
          <w:sz w:val="24"/>
          <w:szCs w:val="24"/>
          <w:u w:val="none" w:color="auto"/>
          <w:lang w:val="en-US" w:eastAsia="zh-CN"/>
        </w:rPr>
        <w:t>④纯水制备产生的浓水</w:t>
      </w:r>
    </w:p>
    <w:p w14:paraId="4E0CF7FF">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cs="Times New Roman"/>
          <w:b w:val="0"/>
          <w:bCs w:val="0"/>
          <w:color w:val="auto"/>
          <w:spacing w:val="10"/>
          <w:sz w:val="24"/>
          <w:szCs w:val="24"/>
          <w:u w:val="none" w:color="auto"/>
          <w:lang w:val="en-US" w:eastAsia="zh-CN"/>
        </w:rPr>
      </w:pPr>
      <w:r>
        <w:rPr>
          <w:rFonts w:hint="default" w:ascii="Times New Roman" w:hAnsi="Times New Roman" w:cs="Times New Roman"/>
          <w:b w:val="0"/>
          <w:bCs w:val="0"/>
          <w:color w:val="auto"/>
          <w:spacing w:val="10"/>
          <w:sz w:val="24"/>
          <w:szCs w:val="24"/>
          <w:u w:val="none" w:color="auto"/>
          <w:lang w:val="en-US" w:eastAsia="zh-CN"/>
        </w:rPr>
        <w:t>本项目锅炉系统拟设置蒸汽冷凝水回收利用装置，蒸汽经换热后冷凝液返回锅炉给水，循环使用，需定期补充损耗水。根据上文可知，项目锅炉年补充纯水水量为269.085t/a（汽水损耗+锅炉排污量），纯水制备采用离子交换法，纯水制备效率为75%，故纯水制备新鲜用水量为358.78/a，产生的浓水为89.695t/a。纯水制备产生的浓水中主要污染因子为SS。</w:t>
      </w:r>
    </w:p>
    <w:p w14:paraId="10149D5D">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cs="Times New Roman"/>
          <w:b/>
          <w:bCs/>
          <w:color w:val="auto"/>
          <w:spacing w:val="10"/>
          <w:sz w:val="24"/>
          <w:szCs w:val="24"/>
          <w:u w:val="none" w:color="auto"/>
          <w:lang w:val="en-US" w:eastAsia="zh-CN"/>
        </w:rPr>
      </w:pPr>
      <w:r>
        <w:rPr>
          <w:rFonts w:hint="default" w:ascii="Times New Roman" w:hAnsi="Times New Roman" w:cs="Times New Roman"/>
          <w:b/>
          <w:bCs/>
          <w:color w:val="auto"/>
          <w:spacing w:val="10"/>
          <w:sz w:val="24"/>
          <w:szCs w:val="24"/>
          <w:u w:val="none" w:color="auto"/>
          <w:lang w:val="en-US" w:eastAsia="zh-CN"/>
        </w:rPr>
        <w:t>⑤设备用水及排水</w:t>
      </w:r>
    </w:p>
    <w:p w14:paraId="78433AF4">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cs="Times New Roman"/>
          <w:b w:val="0"/>
          <w:bCs w:val="0"/>
          <w:color w:val="auto"/>
          <w:spacing w:val="10"/>
          <w:sz w:val="24"/>
          <w:szCs w:val="24"/>
          <w:u w:val="none" w:color="auto"/>
          <w:lang w:val="en-US" w:eastAsia="zh-CN"/>
        </w:rPr>
      </w:pPr>
      <w:r>
        <w:rPr>
          <w:rFonts w:hint="default" w:ascii="Times New Roman" w:hAnsi="Times New Roman" w:cs="Times New Roman"/>
          <w:b w:val="0"/>
          <w:bCs w:val="0"/>
          <w:color w:val="auto"/>
          <w:spacing w:val="10"/>
          <w:sz w:val="24"/>
          <w:szCs w:val="24"/>
          <w:u w:val="none" w:color="auto"/>
          <w:lang w:val="en-US" w:eastAsia="zh-CN"/>
        </w:rPr>
        <w:t>根据建设单位提供的基础资料同时结合，项目需对发籽罐以及盛装槟榔的容器进行清洗，清洗用水量约1.2m</w:t>
      </w:r>
      <w:r>
        <w:rPr>
          <w:rFonts w:hint="default" w:ascii="Times New Roman" w:hAnsi="Times New Roman" w:cs="Times New Roman"/>
          <w:b w:val="0"/>
          <w:bCs w:val="0"/>
          <w:color w:val="auto"/>
          <w:spacing w:val="10"/>
          <w:sz w:val="24"/>
          <w:szCs w:val="24"/>
          <w:u w:val="none" w:color="auto"/>
          <w:vertAlign w:val="superscript"/>
          <w:lang w:val="en-US" w:eastAsia="zh-CN"/>
        </w:rPr>
        <w:t>3</w:t>
      </w:r>
      <w:r>
        <w:rPr>
          <w:rFonts w:hint="default" w:ascii="Times New Roman" w:hAnsi="Times New Roman" w:cs="Times New Roman"/>
          <w:b w:val="0"/>
          <w:bCs w:val="0"/>
          <w:color w:val="auto"/>
          <w:spacing w:val="10"/>
          <w:sz w:val="24"/>
          <w:szCs w:val="24"/>
          <w:u w:val="none" w:color="auto"/>
          <w:lang w:val="en-US" w:eastAsia="zh-CN"/>
        </w:rPr>
        <w:t>/d，360m</w:t>
      </w:r>
      <w:r>
        <w:rPr>
          <w:rFonts w:hint="default" w:ascii="Times New Roman" w:hAnsi="Times New Roman" w:cs="Times New Roman"/>
          <w:b w:val="0"/>
          <w:bCs w:val="0"/>
          <w:color w:val="auto"/>
          <w:spacing w:val="10"/>
          <w:sz w:val="24"/>
          <w:szCs w:val="24"/>
          <w:u w:val="none" w:color="auto"/>
          <w:vertAlign w:val="superscript"/>
          <w:lang w:val="en-US" w:eastAsia="zh-CN"/>
        </w:rPr>
        <w:t>3</w:t>
      </w:r>
      <w:r>
        <w:rPr>
          <w:rFonts w:hint="default" w:ascii="Times New Roman" w:hAnsi="Times New Roman" w:cs="Times New Roman"/>
          <w:b w:val="0"/>
          <w:bCs w:val="0"/>
          <w:color w:val="auto"/>
          <w:spacing w:val="10"/>
          <w:sz w:val="24"/>
          <w:szCs w:val="24"/>
          <w:u w:val="none" w:color="auto"/>
          <w:lang w:val="en-US" w:eastAsia="zh-CN"/>
        </w:rPr>
        <w:t>/a。废水产生系数按90%计，则设备清洗废水产生量为1.08m</w:t>
      </w:r>
      <w:r>
        <w:rPr>
          <w:rFonts w:hint="default" w:ascii="Times New Roman" w:hAnsi="Times New Roman" w:cs="Times New Roman"/>
          <w:b w:val="0"/>
          <w:bCs w:val="0"/>
          <w:color w:val="auto"/>
          <w:spacing w:val="10"/>
          <w:sz w:val="24"/>
          <w:szCs w:val="24"/>
          <w:u w:val="none" w:color="auto"/>
          <w:vertAlign w:val="superscript"/>
          <w:lang w:val="en-US" w:eastAsia="zh-CN"/>
        </w:rPr>
        <w:t>3</w:t>
      </w:r>
      <w:r>
        <w:rPr>
          <w:rFonts w:hint="default" w:ascii="Times New Roman" w:hAnsi="Times New Roman" w:cs="Times New Roman"/>
          <w:b w:val="0"/>
          <w:bCs w:val="0"/>
          <w:color w:val="auto"/>
          <w:spacing w:val="10"/>
          <w:sz w:val="24"/>
          <w:szCs w:val="24"/>
          <w:u w:val="none" w:color="auto"/>
          <w:lang w:val="en-US" w:eastAsia="zh-CN"/>
        </w:rPr>
        <w:t>/d，324m</w:t>
      </w:r>
      <w:r>
        <w:rPr>
          <w:rFonts w:hint="default" w:ascii="Times New Roman" w:hAnsi="Times New Roman" w:cs="Times New Roman"/>
          <w:b w:val="0"/>
          <w:bCs w:val="0"/>
          <w:color w:val="auto"/>
          <w:spacing w:val="10"/>
          <w:sz w:val="24"/>
          <w:szCs w:val="24"/>
          <w:u w:val="none" w:color="auto"/>
          <w:vertAlign w:val="superscript"/>
          <w:lang w:val="en-US" w:eastAsia="zh-CN"/>
        </w:rPr>
        <w:t>3</w:t>
      </w:r>
      <w:r>
        <w:rPr>
          <w:rFonts w:hint="default" w:ascii="Times New Roman" w:hAnsi="Times New Roman" w:cs="Times New Roman"/>
          <w:b w:val="0"/>
          <w:bCs w:val="0"/>
          <w:color w:val="auto"/>
          <w:spacing w:val="10"/>
          <w:sz w:val="24"/>
          <w:szCs w:val="24"/>
          <w:u w:val="none" w:color="auto"/>
          <w:lang w:val="en-US" w:eastAsia="zh-CN"/>
        </w:rPr>
        <w:t>/a。</w:t>
      </w:r>
    </w:p>
    <w:p w14:paraId="62B5F6FA">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cs="Times New Roman"/>
          <w:b/>
          <w:bCs/>
          <w:color w:val="auto"/>
          <w:spacing w:val="10"/>
          <w:sz w:val="24"/>
          <w:szCs w:val="24"/>
          <w:u w:val="none" w:color="auto"/>
          <w:lang w:val="en-US" w:eastAsia="zh-CN"/>
        </w:rPr>
      </w:pPr>
      <w:r>
        <w:rPr>
          <w:rFonts w:hint="default" w:ascii="Times New Roman" w:hAnsi="Times New Roman" w:cs="Times New Roman"/>
          <w:b/>
          <w:bCs/>
          <w:color w:val="auto"/>
          <w:spacing w:val="10"/>
          <w:sz w:val="24"/>
          <w:szCs w:val="24"/>
          <w:u w:val="none" w:color="auto"/>
          <w:lang w:val="en-US" w:eastAsia="zh-CN"/>
        </w:rPr>
        <w:t>⑥车间地面清洗用水及排水</w:t>
      </w:r>
    </w:p>
    <w:p w14:paraId="301EFA46">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cs="Times New Roman"/>
          <w:b w:val="0"/>
          <w:bCs w:val="0"/>
          <w:color w:val="auto"/>
          <w:spacing w:val="10"/>
          <w:sz w:val="24"/>
          <w:szCs w:val="24"/>
          <w:u w:val="none" w:color="auto"/>
          <w:lang w:val="en-US" w:eastAsia="zh-CN"/>
        </w:rPr>
      </w:pPr>
      <w:r>
        <w:rPr>
          <w:rFonts w:hint="default" w:ascii="Times New Roman" w:hAnsi="Times New Roman" w:cs="Times New Roman"/>
          <w:b w:val="0"/>
          <w:bCs w:val="0"/>
          <w:color w:val="auto"/>
          <w:spacing w:val="10"/>
          <w:sz w:val="24"/>
          <w:szCs w:val="24"/>
          <w:u w:val="none" w:color="auto"/>
          <w:lang w:val="en-US" w:eastAsia="zh-CN"/>
        </w:rPr>
        <w:t>项目煮籽、发籽区域生产车间的地面需进行清洁，采用拖把+水冲洗相结合的方式。用水量1L/m</w:t>
      </w:r>
      <w:r>
        <w:rPr>
          <w:rFonts w:hint="default" w:ascii="Times New Roman" w:hAnsi="Times New Roman" w:cs="Times New Roman"/>
          <w:b w:val="0"/>
          <w:bCs w:val="0"/>
          <w:color w:val="auto"/>
          <w:spacing w:val="10"/>
          <w:sz w:val="24"/>
          <w:szCs w:val="24"/>
          <w:u w:val="none" w:color="auto"/>
          <w:vertAlign w:val="superscript"/>
          <w:lang w:val="en-US" w:eastAsia="zh-CN"/>
        </w:rPr>
        <w:t>2</w:t>
      </w:r>
      <w:r>
        <w:rPr>
          <w:rFonts w:hint="default" w:ascii="Times New Roman" w:hAnsi="Times New Roman" w:cs="Times New Roman"/>
          <w:b w:val="0"/>
          <w:bCs w:val="0"/>
          <w:color w:val="auto"/>
          <w:spacing w:val="10"/>
          <w:sz w:val="24"/>
          <w:szCs w:val="24"/>
          <w:u w:val="none" w:color="auto"/>
          <w:lang w:val="en-US" w:eastAsia="zh-CN"/>
        </w:rPr>
        <w:t>·次计，项目车间清洁面积约为2000m</w:t>
      </w:r>
      <w:r>
        <w:rPr>
          <w:rFonts w:hint="default" w:ascii="Times New Roman" w:hAnsi="Times New Roman" w:cs="Times New Roman"/>
          <w:b w:val="0"/>
          <w:bCs w:val="0"/>
          <w:color w:val="auto"/>
          <w:spacing w:val="10"/>
          <w:sz w:val="24"/>
          <w:szCs w:val="24"/>
          <w:u w:val="none" w:color="auto"/>
          <w:vertAlign w:val="superscript"/>
          <w:lang w:val="en-US" w:eastAsia="zh-CN"/>
        </w:rPr>
        <w:t>2</w:t>
      </w:r>
      <w:r>
        <w:rPr>
          <w:rFonts w:hint="default" w:ascii="Times New Roman" w:hAnsi="Times New Roman" w:cs="Times New Roman"/>
          <w:b w:val="0"/>
          <w:bCs w:val="0"/>
          <w:color w:val="auto"/>
          <w:spacing w:val="10"/>
          <w:sz w:val="24"/>
          <w:szCs w:val="24"/>
          <w:u w:val="none" w:color="auto"/>
          <w:lang w:val="en-US" w:eastAsia="zh-CN"/>
        </w:rPr>
        <w:t>，则地面清洗用水量为2m</w:t>
      </w:r>
      <w:r>
        <w:rPr>
          <w:rFonts w:hint="default" w:ascii="Times New Roman" w:hAnsi="Times New Roman" w:cs="Times New Roman"/>
          <w:b w:val="0"/>
          <w:bCs w:val="0"/>
          <w:color w:val="auto"/>
          <w:spacing w:val="10"/>
          <w:sz w:val="24"/>
          <w:szCs w:val="24"/>
          <w:u w:val="none" w:color="auto"/>
          <w:vertAlign w:val="superscript"/>
          <w:lang w:val="en-US" w:eastAsia="zh-CN"/>
        </w:rPr>
        <w:t>3</w:t>
      </w:r>
      <w:r>
        <w:rPr>
          <w:rFonts w:hint="default" w:ascii="Times New Roman" w:hAnsi="Times New Roman" w:cs="Times New Roman"/>
          <w:b w:val="0"/>
          <w:bCs w:val="0"/>
          <w:color w:val="auto"/>
          <w:spacing w:val="10"/>
          <w:sz w:val="24"/>
          <w:szCs w:val="24"/>
          <w:u w:val="none" w:color="auto"/>
          <w:lang w:val="en-US" w:eastAsia="zh-CN"/>
        </w:rPr>
        <w:t>/d，600m</w:t>
      </w:r>
      <w:r>
        <w:rPr>
          <w:rFonts w:hint="default" w:ascii="Times New Roman" w:hAnsi="Times New Roman" w:cs="Times New Roman"/>
          <w:b w:val="0"/>
          <w:bCs w:val="0"/>
          <w:color w:val="auto"/>
          <w:spacing w:val="10"/>
          <w:sz w:val="24"/>
          <w:szCs w:val="24"/>
          <w:u w:val="none" w:color="auto"/>
          <w:vertAlign w:val="superscript"/>
          <w:lang w:val="en-US" w:eastAsia="zh-CN"/>
        </w:rPr>
        <w:t>3</w:t>
      </w:r>
      <w:r>
        <w:rPr>
          <w:rFonts w:hint="default" w:ascii="Times New Roman" w:hAnsi="Times New Roman" w:cs="Times New Roman"/>
          <w:b w:val="0"/>
          <w:bCs w:val="0"/>
          <w:color w:val="auto"/>
          <w:spacing w:val="10"/>
          <w:sz w:val="24"/>
          <w:szCs w:val="24"/>
          <w:u w:val="none" w:color="auto"/>
          <w:lang w:val="en-US" w:eastAsia="zh-CN"/>
        </w:rPr>
        <w:t>/a。废水产生系数按90%计，则地面清洁废水产生量为1.8m</w:t>
      </w:r>
      <w:r>
        <w:rPr>
          <w:rFonts w:hint="default" w:ascii="Times New Roman" w:hAnsi="Times New Roman" w:cs="Times New Roman"/>
          <w:b w:val="0"/>
          <w:bCs w:val="0"/>
          <w:color w:val="auto"/>
          <w:spacing w:val="10"/>
          <w:sz w:val="24"/>
          <w:szCs w:val="24"/>
          <w:u w:val="none" w:color="auto"/>
          <w:vertAlign w:val="superscript"/>
          <w:lang w:val="en-US" w:eastAsia="zh-CN"/>
        </w:rPr>
        <w:t>3</w:t>
      </w:r>
      <w:r>
        <w:rPr>
          <w:rFonts w:hint="default" w:ascii="Times New Roman" w:hAnsi="Times New Roman" w:cs="Times New Roman"/>
          <w:b w:val="0"/>
          <w:bCs w:val="0"/>
          <w:color w:val="auto"/>
          <w:spacing w:val="10"/>
          <w:sz w:val="24"/>
          <w:szCs w:val="24"/>
          <w:u w:val="none" w:color="auto"/>
          <w:lang w:val="en-US" w:eastAsia="zh-CN"/>
        </w:rPr>
        <w:t>/d，540m</w:t>
      </w:r>
      <w:r>
        <w:rPr>
          <w:rFonts w:hint="default" w:ascii="Times New Roman" w:hAnsi="Times New Roman" w:cs="Times New Roman"/>
          <w:b w:val="0"/>
          <w:bCs w:val="0"/>
          <w:color w:val="auto"/>
          <w:spacing w:val="10"/>
          <w:sz w:val="24"/>
          <w:szCs w:val="24"/>
          <w:u w:val="none" w:color="auto"/>
          <w:vertAlign w:val="superscript"/>
          <w:lang w:val="en-US" w:eastAsia="zh-CN"/>
        </w:rPr>
        <w:t>3</w:t>
      </w:r>
      <w:r>
        <w:rPr>
          <w:rFonts w:hint="default" w:ascii="Times New Roman" w:hAnsi="Times New Roman" w:cs="Times New Roman"/>
          <w:b w:val="0"/>
          <w:bCs w:val="0"/>
          <w:color w:val="auto"/>
          <w:spacing w:val="10"/>
          <w:sz w:val="24"/>
          <w:szCs w:val="24"/>
          <w:u w:val="none" w:color="auto"/>
          <w:lang w:val="en-US" w:eastAsia="zh-CN"/>
        </w:rPr>
        <w:t>/a。</w:t>
      </w:r>
    </w:p>
    <w:p w14:paraId="1E3F09F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24"/>
          <w:highlight w:val="none"/>
          <w:u w:val="none" w:color="auto"/>
          <w:lang w:val="en-US" w:eastAsia="zh-CN"/>
        </w:rPr>
      </w:pPr>
      <w:r>
        <w:rPr>
          <w:rFonts w:hint="default" w:ascii="Times New Roman" w:hAnsi="Times New Roman" w:cs="Times New Roman"/>
          <w:color w:val="auto"/>
          <w:sz w:val="24"/>
          <w:szCs w:val="24"/>
          <w:highlight w:val="none"/>
          <w:u w:val="none" w:color="auto"/>
          <w:lang w:val="en-US" w:eastAsia="zh-CN"/>
        </w:rPr>
        <w:t>项目水平衡见下图：</w:t>
      </w:r>
    </w:p>
    <w:p w14:paraId="3F2A5166">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sz w:val="24"/>
          <w:lang w:val="en-US" w:eastAsia="zh-CN"/>
        </w:rPr>
      </w:pPr>
      <w:r>
        <w:drawing>
          <wp:inline distT="0" distB="0" distL="114300" distR="114300">
            <wp:extent cx="5262880" cy="3975100"/>
            <wp:effectExtent l="0" t="0" r="13970" b="635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0"/>
                    <a:stretch>
                      <a:fillRect/>
                    </a:stretch>
                  </pic:blipFill>
                  <pic:spPr>
                    <a:xfrm>
                      <a:off x="0" y="0"/>
                      <a:ext cx="5262880" cy="3975100"/>
                    </a:xfrm>
                    <a:prstGeom prst="rect">
                      <a:avLst/>
                    </a:prstGeom>
                    <a:noFill/>
                    <a:ln>
                      <a:noFill/>
                    </a:ln>
                  </pic:spPr>
                </pic:pic>
              </a:graphicData>
            </a:graphic>
          </wp:inline>
        </w:drawing>
      </w:r>
    </w:p>
    <w:p w14:paraId="58E80F24">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textAlignment w:val="auto"/>
        <w:outlineLvl w:val="9"/>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b/>
          <w:bCs/>
          <w:color w:val="auto"/>
          <w:sz w:val="21"/>
          <w:szCs w:val="21"/>
          <w:highlight w:val="none"/>
          <w:u w:val="none" w:color="auto"/>
          <w:vertAlign w:val="baseline"/>
          <w:lang w:val="en-US" w:eastAsia="zh-CN"/>
        </w:rPr>
        <w:t>图2-1水平衡一览表 单位：t/a</w:t>
      </w:r>
    </w:p>
    <w:p w14:paraId="19D6785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cs="Times New Roman"/>
          <w:color w:val="000000" w:themeColor="text1"/>
          <w:sz w:val="24"/>
          <w:szCs w:val="24"/>
          <w:highlight w:val="none"/>
          <w:u w:val="none" w:color="auto"/>
          <w:lang w:val="en-US" w:eastAsia="zh-CN"/>
          <w14:textFill>
            <w14:solidFill>
              <w14:schemeClr w14:val="tx1"/>
            </w14:solidFill>
          </w14:textFill>
        </w:rPr>
        <w:t>综上项目生活用水量为1080t/a，生产用水量为2320.28t/a，总废水产生量为2774.28t/a（包括生活污水864t/a，生产废水1910.28t/a）。</w:t>
      </w:r>
      <w:r>
        <w:rPr>
          <w:rFonts w:hint="default" w:ascii="Times New Roman" w:hAnsi="Times New Roman" w:eastAsia="宋体" w:cs="Times New Roman"/>
          <w:color w:val="auto"/>
          <w:sz w:val="24"/>
          <w:szCs w:val="24"/>
          <w:highlight w:val="none"/>
          <w:u w:val="none" w:color="auto"/>
          <w:lang w:val="en-US" w:eastAsia="zh-CN"/>
        </w:rPr>
        <w:t>项目生产废水的基本特征如下：</w:t>
      </w:r>
    </w:p>
    <w:p w14:paraId="7F7A831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a、</w:t>
      </w:r>
      <w:r>
        <w:rPr>
          <w:rFonts w:hint="default" w:ascii="Times New Roman" w:hAnsi="Times New Roman" w:cs="Times New Roman"/>
          <w:color w:val="auto"/>
          <w:sz w:val="24"/>
          <w:szCs w:val="24"/>
          <w:highlight w:val="none"/>
          <w:u w:val="none" w:color="auto"/>
          <w:lang w:val="en-US" w:eastAsia="zh-CN"/>
        </w:rPr>
        <w:t>煮籽</w:t>
      </w:r>
      <w:r>
        <w:rPr>
          <w:rFonts w:hint="default" w:ascii="Times New Roman" w:hAnsi="Times New Roman" w:eastAsia="宋体" w:cs="Times New Roman"/>
          <w:color w:val="auto"/>
          <w:sz w:val="24"/>
          <w:szCs w:val="24"/>
          <w:highlight w:val="none"/>
          <w:u w:val="none" w:color="auto"/>
          <w:lang w:val="en-US" w:eastAsia="zh-CN"/>
        </w:rPr>
        <w:t>、发籽等工序废水出水温度较高，微生物含量低，原水中，槟榔内的微生物基本处于失活和芽孢状态，可生化性差。</w:t>
      </w:r>
    </w:p>
    <w:p w14:paraId="5F59EA6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b、组分复杂、污染物浓度高、水质波动大，间歇性的排放也造成水量的波动很大。</w:t>
      </w:r>
    </w:p>
    <w:p w14:paraId="604A40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c、色度大。</w:t>
      </w:r>
    </w:p>
    <w:p w14:paraId="0131792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d、</w:t>
      </w:r>
      <w:r>
        <w:rPr>
          <w:rFonts w:hint="default" w:ascii="Times New Roman" w:hAnsi="Times New Roman" w:cs="Times New Roman"/>
          <w:color w:val="auto"/>
          <w:sz w:val="24"/>
          <w:szCs w:val="24"/>
          <w:highlight w:val="none"/>
          <w:u w:val="none" w:color="auto"/>
          <w:lang w:val="en-US" w:eastAsia="zh-CN"/>
        </w:rPr>
        <w:t>其他如</w:t>
      </w:r>
      <w:r>
        <w:rPr>
          <w:rFonts w:hint="default" w:ascii="Times New Roman" w:hAnsi="Times New Roman" w:eastAsia="宋体" w:cs="Times New Roman"/>
          <w:color w:val="auto"/>
          <w:sz w:val="24"/>
          <w:szCs w:val="24"/>
          <w:highlight w:val="none"/>
          <w:u w:val="none" w:color="auto"/>
          <w:lang w:val="en-US" w:eastAsia="zh-CN"/>
        </w:rPr>
        <w:t>设备清洗废水、车间地面清洁废水、浓水及经预处理后的生活污水等废水COD、NH</w:t>
      </w:r>
      <w:r>
        <w:rPr>
          <w:rFonts w:hint="default" w:ascii="Times New Roman" w:hAnsi="Times New Roman" w:eastAsia="宋体" w:cs="Times New Roman"/>
          <w:color w:val="auto"/>
          <w:sz w:val="24"/>
          <w:szCs w:val="24"/>
          <w:highlight w:val="none"/>
          <w:u w:val="none" w:color="auto"/>
          <w:vertAlign w:val="subscript"/>
          <w:lang w:val="en-US" w:eastAsia="zh-CN"/>
        </w:rPr>
        <w:t>3</w:t>
      </w:r>
      <w:r>
        <w:rPr>
          <w:rFonts w:hint="default" w:ascii="Times New Roman" w:hAnsi="Times New Roman" w:eastAsia="宋体" w:cs="Times New Roman"/>
          <w:color w:val="auto"/>
          <w:sz w:val="24"/>
          <w:szCs w:val="24"/>
          <w:highlight w:val="none"/>
          <w:u w:val="none" w:color="auto"/>
          <w:lang w:val="en-US" w:eastAsia="zh-CN"/>
        </w:rPr>
        <w:t>-N不高，和生产工艺废水混合在一起，在一定程度上稀释了生产工艺废水的COD、NH</w:t>
      </w:r>
      <w:r>
        <w:rPr>
          <w:rFonts w:hint="default" w:ascii="Times New Roman" w:hAnsi="Times New Roman" w:eastAsia="宋体" w:cs="Times New Roman"/>
          <w:color w:val="auto"/>
          <w:sz w:val="24"/>
          <w:szCs w:val="24"/>
          <w:highlight w:val="none"/>
          <w:u w:val="none" w:color="auto"/>
          <w:vertAlign w:val="subscript"/>
          <w:lang w:val="en-US" w:eastAsia="zh-CN"/>
        </w:rPr>
        <w:t>3</w:t>
      </w:r>
      <w:r>
        <w:rPr>
          <w:rFonts w:hint="default" w:ascii="Times New Roman" w:hAnsi="Times New Roman" w:eastAsia="宋体" w:cs="Times New Roman"/>
          <w:color w:val="auto"/>
          <w:sz w:val="24"/>
          <w:szCs w:val="24"/>
          <w:highlight w:val="none"/>
          <w:u w:val="none" w:color="auto"/>
          <w:lang w:val="en-US" w:eastAsia="zh-CN"/>
        </w:rPr>
        <w:t>-N浓度，但没改变废水的可生化性。</w:t>
      </w:r>
    </w:p>
    <w:p w14:paraId="685D0A5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b w:val="0"/>
          <w:bCs w:val="0"/>
          <w:color w:val="auto"/>
          <w:sz w:val="24"/>
          <w:szCs w:val="24"/>
          <w:highlight w:val="none"/>
          <w:u w:val="non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项目生产废水主要包括槟榔清洗/煮籽/发制废水、纯水制备产生的浓水、锅炉废水、设备清洗废水、车间地面清洗废水，综合废水总量为</w:t>
      </w:r>
      <w:r>
        <w:rPr>
          <w:rFonts w:hint="eastAsia" w:ascii="Times New Roman" w:hAnsi="Times New Roman" w:eastAsia="宋体" w:cs="Times New Roman"/>
          <w:b w:val="0"/>
          <w:bCs w:val="0"/>
          <w:color w:val="auto"/>
          <w:sz w:val="24"/>
          <w:szCs w:val="24"/>
          <w:highlight w:val="none"/>
          <w:u w:val="none" w:color="auto"/>
          <w:lang w:val="en-US" w:eastAsia="zh-CN"/>
        </w:rPr>
        <w:t>2774.28</w:t>
      </w:r>
      <w:r>
        <w:rPr>
          <w:rFonts w:hint="default" w:ascii="Times New Roman" w:hAnsi="Times New Roman" w:eastAsia="宋体" w:cs="Times New Roman"/>
          <w:b w:val="0"/>
          <w:bCs w:val="0"/>
          <w:color w:val="auto"/>
          <w:sz w:val="24"/>
          <w:szCs w:val="24"/>
          <w:highlight w:val="none"/>
          <w:u w:val="none" w:color="auto"/>
          <w:lang w:val="en-US" w:eastAsia="zh-CN"/>
        </w:rPr>
        <w:t>t/a。项目设备及地面清洗过程中不使用清洁剂，结合湖南各地同类型槟榔企业，生产废水中主要污染因子为pH值、COD、BOD</w:t>
      </w:r>
      <w:r>
        <w:rPr>
          <w:rFonts w:hint="default" w:ascii="Times New Roman" w:hAnsi="Times New Roman" w:eastAsia="宋体" w:cs="Times New Roman"/>
          <w:b w:val="0"/>
          <w:bCs w:val="0"/>
          <w:color w:val="auto"/>
          <w:sz w:val="24"/>
          <w:szCs w:val="24"/>
          <w:highlight w:val="none"/>
          <w:u w:val="none" w:color="auto"/>
          <w:vertAlign w:val="subscript"/>
          <w:lang w:val="en-US" w:eastAsia="zh-CN"/>
        </w:rPr>
        <w:t>5</w:t>
      </w:r>
      <w:r>
        <w:rPr>
          <w:rFonts w:hint="default" w:ascii="Times New Roman" w:hAnsi="Times New Roman" w:eastAsia="宋体" w:cs="Times New Roman"/>
          <w:b w:val="0"/>
          <w:bCs w:val="0"/>
          <w:color w:val="auto"/>
          <w:sz w:val="24"/>
          <w:szCs w:val="24"/>
          <w:highlight w:val="none"/>
          <w:u w:val="none" w:color="auto"/>
          <w:lang w:val="en-US" w:eastAsia="zh-CN"/>
        </w:rPr>
        <w:t>、氨氮、SS、色度、总磷、动植物油。</w:t>
      </w:r>
    </w:p>
    <w:p w14:paraId="301E4A9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b/>
          <w:bCs/>
          <w:color w:val="auto"/>
          <w:kern w:val="0"/>
          <w:sz w:val="21"/>
          <w:szCs w:val="21"/>
          <w:highlight w:val="none"/>
          <w:u w:val="single" w:color="auto"/>
          <w:lang w:val="en-US" w:eastAsia="zh-CN"/>
        </w:rPr>
      </w:pPr>
      <w:r>
        <w:rPr>
          <w:rFonts w:hint="default" w:ascii="Times New Roman" w:hAnsi="Times New Roman" w:cs="Times New Roman"/>
          <w:color w:val="auto"/>
          <w:sz w:val="24"/>
          <w:szCs w:val="24"/>
          <w:highlight w:val="none"/>
          <w:u w:val="single" w:color="auto"/>
          <w:lang w:val="en-US" w:eastAsia="zh-CN"/>
        </w:rPr>
        <w:t>本次综合废水中污染因子产生浓度参考多个同类型槟榔企业污水处理设施进口监测结果，参考《湘潭榔人帮食品有限公司年加工300吨槟榔建设项目竣工环境保护验收监测报告》（监测单位：湖南中额环保科技有限公司，检测报告编号：ZEHB202311115；污水处理设施规模：8t/d；生产工艺：分选、洗籽、蒸籽、发籽、烘烤、上表、切片、去核、点卤、晾片等），《湖南智进科技发展有限公司年产1500 吨食用槟榔技术改造项目竣工环保验收报告》（监测单位：湖南中额环保科技有限公司，检测报告编号：ZEHB202405020；污水处理设施规模：100m3/d；生产工艺：选籽、洗籽、煮籽、发籽、气爆、烘烤、闷香、压籽等），《湘潭韶湖生物科技有限公司年产450吨槟榔建设项目竣工环保验收报告》（湖南聚鸿环保科技有限公司，检测报告编号：HJ2506090901；污水处理规模：10m3/d；生产工艺：分选、洗籽、蒸籽、发籽、烘烤、上表、切片、去核、点卤、晾片等）。上述槟榔厂生产工艺和本项目基本一致，槟榔加工规模与本项目规模接近或大于本项目，废水类别性质与本项目类似。根据检测报告可知，：采样数据统计如表</w:t>
      </w:r>
      <w:r>
        <w:rPr>
          <w:rFonts w:hint="eastAsia" w:ascii="Times New Roman" w:hAnsi="Times New Roman" w:cs="Times New Roman"/>
          <w:color w:val="auto"/>
          <w:sz w:val="24"/>
          <w:szCs w:val="24"/>
          <w:highlight w:val="none"/>
          <w:u w:val="single" w:color="auto"/>
          <w:lang w:val="en-US" w:eastAsia="zh-CN"/>
        </w:rPr>
        <w:t>3.3-1</w:t>
      </w:r>
      <w:r>
        <w:rPr>
          <w:rFonts w:hint="default" w:ascii="Times New Roman" w:hAnsi="Times New Roman" w:cs="Times New Roman"/>
          <w:color w:val="auto"/>
          <w:sz w:val="24"/>
          <w:szCs w:val="24"/>
          <w:highlight w:val="none"/>
          <w:u w:val="single" w:color="auto"/>
          <w:lang w:val="en-US" w:eastAsia="zh-CN"/>
        </w:rPr>
        <w:t>：</w:t>
      </w:r>
    </w:p>
    <w:p w14:paraId="677A83E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kern w:val="0"/>
          <w:sz w:val="21"/>
          <w:szCs w:val="21"/>
          <w:highlight w:val="none"/>
          <w:u w:val="single" w:color="auto"/>
          <w:lang w:val="en-US" w:eastAsia="zh-CN"/>
        </w:rPr>
      </w:pPr>
      <w:r>
        <w:rPr>
          <w:rFonts w:hint="default" w:ascii="Times New Roman" w:hAnsi="Times New Roman" w:eastAsia="宋体" w:cs="Times New Roman"/>
          <w:b/>
          <w:bCs/>
          <w:color w:val="auto"/>
          <w:kern w:val="0"/>
          <w:sz w:val="21"/>
          <w:szCs w:val="21"/>
          <w:highlight w:val="none"/>
          <w:u w:val="single" w:color="auto"/>
          <w:lang w:val="en-US" w:eastAsia="zh-CN"/>
        </w:rPr>
        <w:t>表</w:t>
      </w:r>
      <w:r>
        <w:rPr>
          <w:rFonts w:hint="eastAsia" w:ascii="Times New Roman" w:hAnsi="Times New Roman" w:eastAsia="宋体" w:cs="Times New Roman"/>
          <w:b/>
          <w:bCs/>
          <w:color w:val="auto"/>
          <w:kern w:val="0"/>
          <w:sz w:val="21"/>
          <w:szCs w:val="21"/>
          <w:highlight w:val="none"/>
          <w:u w:val="single" w:color="auto"/>
          <w:lang w:val="en-US" w:eastAsia="zh-CN"/>
        </w:rPr>
        <w:t>3.3-1各</w:t>
      </w:r>
      <w:r>
        <w:rPr>
          <w:rFonts w:hint="default" w:ascii="Times New Roman" w:hAnsi="Times New Roman" w:eastAsia="宋体" w:cs="Times New Roman"/>
          <w:b/>
          <w:bCs/>
          <w:color w:val="auto"/>
          <w:sz w:val="21"/>
          <w:szCs w:val="21"/>
          <w:highlight w:val="none"/>
          <w:u w:val="single" w:color="auto"/>
          <w:lang w:val="en-US" w:eastAsia="zh-CN"/>
        </w:rPr>
        <w:t>污水处理站进水水质</w:t>
      </w:r>
      <w:r>
        <w:rPr>
          <w:rFonts w:hint="default" w:ascii="Times New Roman" w:hAnsi="Times New Roman" w:cs="Times New Roman"/>
          <w:b/>
          <w:bCs/>
          <w:color w:val="auto"/>
          <w:sz w:val="21"/>
          <w:szCs w:val="21"/>
          <w:highlight w:val="none"/>
          <w:u w:val="single" w:color="auto"/>
          <w:lang w:val="en-US" w:eastAsia="zh-CN"/>
        </w:rPr>
        <w:t>监测</w:t>
      </w:r>
      <w:r>
        <w:rPr>
          <w:rFonts w:hint="default" w:ascii="Times New Roman" w:hAnsi="Times New Roman" w:eastAsia="宋体" w:cs="Times New Roman"/>
          <w:b/>
          <w:bCs/>
          <w:color w:val="auto"/>
          <w:sz w:val="21"/>
          <w:szCs w:val="21"/>
          <w:highlight w:val="none"/>
          <w:u w:val="single" w:color="auto"/>
          <w:lang w:val="en-US" w:eastAsia="zh-CN"/>
        </w:rPr>
        <w:t>数据</w:t>
      </w:r>
      <w:r>
        <w:rPr>
          <w:rFonts w:hint="default" w:ascii="Times New Roman" w:hAnsi="Times New Roman" w:cs="Times New Roman"/>
          <w:b/>
          <w:bCs/>
          <w:color w:val="auto"/>
          <w:sz w:val="21"/>
          <w:szCs w:val="21"/>
          <w:highlight w:val="none"/>
          <w:u w:val="single" w:color="auto"/>
          <w:lang w:val="en-US" w:eastAsia="zh-CN"/>
        </w:rPr>
        <w:t xml:space="preserve"> 单位：mg/L，pH值无量纲</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2"/>
        <w:gridCol w:w="2675"/>
        <w:gridCol w:w="2241"/>
        <w:gridCol w:w="2094"/>
      </w:tblGrid>
      <w:tr w14:paraId="0F156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882" w:type="pct"/>
            <w:vMerge w:val="restart"/>
            <w:noWrap w:val="0"/>
            <w:vAlign w:val="center"/>
          </w:tcPr>
          <w:p w14:paraId="47BF49D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eastAsia="宋体" w:cs="Times New Roman"/>
                <w:color w:val="auto"/>
                <w:kern w:val="0"/>
                <w:sz w:val="21"/>
                <w:szCs w:val="21"/>
                <w:highlight w:val="none"/>
                <w:u w:val="single" w:color="auto"/>
                <w:vertAlign w:val="baseline"/>
                <w:lang w:val="en-US" w:eastAsia="zh-CN"/>
              </w:rPr>
              <w:t>污染物</w:t>
            </w:r>
          </w:p>
        </w:tc>
        <w:tc>
          <w:tcPr>
            <w:tcW w:w="1571" w:type="pct"/>
            <w:noWrap w:val="0"/>
            <w:vAlign w:val="center"/>
          </w:tcPr>
          <w:p w14:paraId="68E6030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eastAsia="宋体" w:cs="Times New Roman"/>
                <w:color w:val="auto"/>
                <w:kern w:val="0"/>
                <w:sz w:val="21"/>
                <w:szCs w:val="21"/>
                <w:highlight w:val="none"/>
                <w:u w:val="single" w:color="auto"/>
                <w:vertAlign w:val="baseline"/>
                <w:lang w:val="en-US" w:eastAsia="zh-CN"/>
              </w:rPr>
              <w:t>湘潭榔人帮食品有限公司</w:t>
            </w:r>
            <w:r>
              <w:rPr>
                <w:rFonts w:hint="eastAsia" w:ascii="Times New Roman" w:hAnsi="Times New Roman" w:eastAsia="宋体" w:cs="Times New Roman"/>
                <w:color w:val="auto"/>
                <w:kern w:val="0"/>
                <w:sz w:val="21"/>
                <w:szCs w:val="21"/>
                <w:highlight w:val="none"/>
                <w:u w:val="single" w:color="auto"/>
                <w:vertAlign w:val="baseline"/>
                <w:lang w:val="en-US" w:eastAsia="zh-CN"/>
              </w:rPr>
              <w:t>污水处理站水质数据</w:t>
            </w:r>
          </w:p>
        </w:tc>
        <w:tc>
          <w:tcPr>
            <w:tcW w:w="1316" w:type="pct"/>
            <w:noWrap w:val="0"/>
            <w:vAlign w:val="center"/>
          </w:tcPr>
          <w:p w14:paraId="0B04E1FB">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eastAsia="宋体" w:cs="Times New Roman"/>
                <w:color w:val="auto"/>
                <w:kern w:val="0"/>
                <w:sz w:val="21"/>
                <w:szCs w:val="21"/>
                <w:highlight w:val="none"/>
                <w:u w:val="single" w:color="auto"/>
                <w:vertAlign w:val="baseline"/>
                <w:lang w:val="en-US" w:eastAsia="zh-CN"/>
              </w:rPr>
              <w:t>湖南智进科技发展有限公司</w:t>
            </w:r>
            <w:r>
              <w:rPr>
                <w:rFonts w:hint="eastAsia" w:ascii="Times New Roman" w:hAnsi="Times New Roman" w:eastAsia="宋体" w:cs="Times New Roman"/>
                <w:color w:val="auto"/>
                <w:kern w:val="0"/>
                <w:sz w:val="21"/>
                <w:szCs w:val="21"/>
                <w:highlight w:val="none"/>
                <w:u w:val="single" w:color="auto"/>
                <w:vertAlign w:val="baseline"/>
                <w:lang w:val="en-US" w:eastAsia="zh-CN"/>
              </w:rPr>
              <w:t>污水处理站水质数据</w:t>
            </w:r>
          </w:p>
        </w:tc>
        <w:tc>
          <w:tcPr>
            <w:tcW w:w="1230" w:type="pct"/>
            <w:noWrap w:val="0"/>
            <w:vAlign w:val="center"/>
          </w:tcPr>
          <w:p w14:paraId="226ED37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eastAsia="宋体" w:cs="Times New Roman"/>
                <w:color w:val="auto"/>
                <w:kern w:val="0"/>
                <w:sz w:val="21"/>
                <w:szCs w:val="21"/>
                <w:highlight w:val="none"/>
                <w:u w:val="single" w:color="auto"/>
                <w:vertAlign w:val="baseline"/>
                <w:lang w:val="en-US" w:eastAsia="zh-CN"/>
              </w:rPr>
              <w:t>湘潭韶湖生物科技有限公司</w:t>
            </w:r>
            <w:r>
              <w:rPr>
                <w:rFonts w:hint="eastAsia" w:ascii="Times New Roman" w:hAnsi="Times New Roman" w:eastAsia="宋体" w:cs="Times New Roman"/>
                <w:color w:val="auto"/>
                <w:kern w:val="0"/>
                <w:sz w:val="21"/>
                <w:szCs w:val="21"/>
                <w:highlight w:val="none"/>
                <w:u w:val="single" w:color="auto"/>
                <w:vertAlign w:val="baseline"/>
                <w:lang w:val="en-US" w:eastAsia="zh-CN"/>
              </w:rPr>
              <w:t>污水处理站</w:t>
            </w:r>
            <w:r>
              <w:rPr>
                <w:rFonts w:hint="default" w:ascii="Times New Roman" w:hAnsi="Times New Roman" w:eastAsia="宋体" w:cs="Times New Roman"/>
                <w:color w:val="auto"/>
                <w:kern w:val="0"/>
                <w:sz w:val="21"/>
                <w:szCs w:val="21"/>
                <w:highlight w:val="none"/>
                <w:u w:val="single" w:color="auto"/>
                <w:vertAlign w:val="baseline"/>
                <w:lang w:val="en-US" w:eastAsia="zh-CN"/>
              </w:rPr>
              <w:t>进</w:t>
            </w:r>
            <w:r>
              <w:rPr>
                <w:rFonts w:hint="eastAsia" w:ascii="Times New Roman" w:hAnsi="Times New Roman" w:eastAsia="宋体" w:cs="Times New Roman"/>
                <w:color w:val="auto"/>
                <w:kern w:val="0"/>
                <w:sz w:val="21"/>
                <w:szCs w:val="21"/>
                <w:highlight w:val="none"/>
                <w:u w:val="single" w:color="auto"/>
                <w:vertAlign w:val="baseline"/>
                <w:lang w:val="en-US" w:eastAsia="zh-CN"/>
              </w:rPr>
              <w:t>水质数据</w:t>
            </w:r>
          </w:p>
        </w:tc>
      </w:tr>
      <w:tr w14:paraId="62E28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exact"/>
        </w:trPr>
        <w:tc>
          <w:tcPr>
            <w:tcW w:w="882" w:type="pct"/>
            <w:vMerge w:val="continue"/>
            <w:noWrap w:val="0"/>
            <w:vAlign w:val="center"/>
          </w:tcPr>
          <w:p w14:paraId="32ACCAAA">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p>
        </w:tc>
        <w:tc>
          <w:tcPr>
            <w:tcW w:w="1571" w:type="pct"/>
            <w:noWrap w:val="0"/>
            <w:vAlign w:val="center"/>
          </w:tcPr>
          <w:p w14:paraId="47CDCBCB">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eastAsia" w:ascii="Times New Roman" w:hAnsi="Times New Roman" w:eastAsia="宋体" w:cs="Times New Roman"/>
                <w:color w:val="auto"/>
                <w:kern w:val="0"/>
                <w:sz w:val="21"/>
                <w:szCs w:val="21"/>
                <w:highlight w:val="none"/>
                <w:u w:val="single" w:color="auto"/>
                <w:vertAlign w:val="baseline"/>
                <w:lang w:val="en-US" w:eastAsia="zh-CN"/>
              </w:rPr>
              <w:t>进口浓度</w:t>
            </w:r>
          </w:p>
        </w:tc>
        <w:tc>
          <w:tcPr>
            <w:tcW w:w="1316" w:type="pct"/>
            <w:noWrap w:val="0"/>
            <w:vAlign w:val="center"/>
          </w:tcPr>
          <w:p w14:paraId="30A34D0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eastAsia" w:ascii="Times New Roman" w:hAnsi="Times New Roman" w:eastAsia="宋体" w:cs="Times New Roman"/>
                <w:color w:val="auto"/>
                <w:kern w:val="0"/>
                <w:sz w:val="21"/>
                <w:szCs w:val="21"/>
                <w:highlight w:val="none"/>
                <w:u w:val="single" w:color="auto"/>
                <w:vertAlign w:val="baseline"/>
                <w:lang w:val="en-US" w:eastAsia="zh-CN"/>
              </w:rPr>
              <w:t>进口浓度</w:t>
            </w:r>
          </w:p>
        </w:tc>
        <w:tc>
          <w:tcPr>
            <w:tcW w:w="1230" w:type="pct"/>
            <w:noWrap w:val="0"/>
            <w:vAlign w:val="center"/>
          </w:tcPr>
          <w:p w14:paraId="522C732E">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eastAsia" w:ascii="Times New Roman" w:hAnsi="Times New Roman" w:eastAsia="宋体" w:cs="Times New Roman"/>
                <w:color w:val="auto"/>
                <w:kern w:val="0"/>
                <w:sz w:val="21"/>
                <w:szCs w:val="21"/>
                <w:highlight w:val="none"/>
                <w:u w:val="single" w:color="auto"/>
                <w:vertAlign w:val="baseline"/>
                <w:lang w:val="en-US" w:eastAsia="zh-CN"/>
              </w:rPr>
              <w:t>进口浓度</w:t>
            </w:r>
          </w:p>
        </w:tc>
      </w:tr>
      <w:tr w14:paraId="242E3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exact"/>
        </w:trPr>
        <w:tc>
          <w:tcPr>
            <w:tcW w:w="882" w:type="pct"/>
            <w:noWrap w:val="0"/>
            <w:vAlign w:val="center"/>
          </w:tcPr>
          <w:p w14:paraId="3505FE3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cs="Times New Roman"/>
                <w:color w:val="auto"/>
                <w:kern w:val="0"/>
                <w:sz w:val="21"/>
                <w:szCs w:val="21"/>
                <w:highlight w:val="none"/>
                <w:u w:val="single" w:color="auto"/>
                <w:vertAlign w:val="baseline"/>
                <w:lang w:val="en-US" w:eastAsia="zh-CN"/>
              </w:rPr>
              <w:t>pH值</w:t>
            </w:r>
          </w:p>
        </w:tc>
        <w:tc>
          <w:tcPr>
            <w:tcW w:w="1571" w:type="pct"/>
            <w:noWrap w:val="0"/>
            <w:vAlign w:val="center"/>
          </w:tcPr>
          <w:p w14:paraId="18AC9956">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cs="Times New Roman"/>
                <w:color w:val="auto"/>
                <w:kern w:val="0"/>
                <w:sz w:val="21"/>
                <w:szCs w:val="21"/>
                <w:highlight w:val="none"/>
                <w:u w:val="single" w:color="auto"/>
                <w:vertAlign w:val="baseline"/>
                <w:lang w:val="en-US" w:eastAsia="zh-CN"/>
              </w:rPr>
              <w:t>7.6-7.8</w:t>
            </w:r>
          </w:p>
        </w:tc>
        <w:tc>
          <w:tcPr>
            <w:tcW w:w="1316" w:type="pct"/>
            <w:noWrap w:val="0"/>
            <w:vAlign w:val="center"/>
          </w:tcPr>
          <w:p w14:paraId="382B3AD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eastAsia" w:ascii="Times New Roman" w:hAnsi="Times New Roman" w:cs="Times New Roman"/>
                <w:color w:val="auto"/>
                <w:kern w:val="0"/>
                <w:sz w:val="21"/>
                <w:szCs w:val="21"/>
                <w:highlight w:val="none"/>
                <w:u w:val="single" w:color="auto"/>
                <w:vertAlign w:val="baseline"/>
                <w:lang w:val="en-US" w:eastAsia="zh-CN"/>
              </w:rPr>
              <w:t>/</w:t>
            </w:r>
          </w:p>
        </w:tc>
        <w:tc>
          <w:tcPr>
            <w:tcW w:w="1230" w:type="pct"/>
            <w:noWrap w:val="0"/>
            <w:vAlign w:val="center"/>
          </w:tcPr>
          <w:p w14:paraId="7FD7651E">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eastAsia" w:ascii="Times New Roman" w:hAnsi="Times New Roman" w:cs="Times New Roman"/>
                <w:color w:val="auto"/>
                <w:kern w:val="0"/>
                <w:sz w:val="21"/>
                <w:szCs w:val="21"/>
                <w:highlight w:val="none"/>
                <w:u w:val="single" w:color="auto"/>
                <w:vertAlign w:val="baseline"/>
                <w:lang w:val="en-US" w:eastAsia="zh-CN"/>
              </w:rPr>
              <w:t>6.5-6.7</w:t>
            </w:r>
          </w:p>
        </w:tc>
      </w:tr>
      <w:tr w14:paraId="071F8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exact"/>
        </w:trPr>
        <w:tc>
          <w:tcPr>
            <w:tcW w:w="882" w:type="pct"/>
            <w:noWrap w:val="0"/>
            <w:vAlign w:val="center"/>
          </w:tcPr>
          <w:p w14:paraId="7B53971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eastAsia="宋体" w:cs="Times New Roman"/>
                <w:color w:val="auto"/>
                <w:kern w:val="0"/>
                <w:sz w:val="21"/>
                <w:szCs w:val="21"/>
                <w:highlight w:val="none"/>
                <w:u w:val="single" w:color="auto"/>
                <w:vertAlign w:val="baseline"/>
                <w:lang w:val="en-US" w:eastAsia="zh-CN"/>
              </w:rPr>
              <w:t>COD</w:t>
            </w:r>
            <w:r>
              <w:rPr>
                <w:rFonts w:hint="default" w:ascii="Times New Roman" w:hAnsi="Times New Roman" w:eastAsia="宋体" w:cs="Times New Roman"/>
                <w:color w:val="auto"/>
                <w:kern w:val="0"/>
                <w:sz w:val="21"/>
                <w:szCs w:val="21"/>
                <w:highlight w:val="none"/>
                <w:u w:val="single" w:color="auto"/>
                <w:vertAlign w:val="subscript"/>
                <w:lang w:val="en-US" w:eastAsia="zh-CN"/>
              </w:rPr>
              <w:t>cr</w:t>
            </w:r>
          </w:p>
        </w:tc>
        <w:tc>
          <w:tcPr>
            <w:tcW w:w="1571" w:type="pct"/>
            <w:noWrap w:val="0"/>
            <w:vAlign w:val="center"/>
          </w:tcPr>
          <w:p w14:paraId="1201A565">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cs="Times New Roman"/>
                <w:color w:val="auto"/>
                <w:kern w:val="0"/>
                <w:sz w:val="21"/>
                <w:szCs w:val="21"/>
                <w:highlight w:val="none"/>
                <w:u w:val="single" w:color="auto"/>
                <w:vertAlign w:val="baseline"/>
                <w:lang w:val="en-US" w:eastAsia="zh-CN"/>
              </w:rPr>
              <w:t>1306-1342</w:t>
            </w:r>
          </w:p>
        </w:tc>
        <w:tc>
          <w:tcPr>
            <w:tcW w:w="1316" w:type="pct"/>
            <w:noWrap w:val="0"/>
            <w:vAlign w:val="center"/>
          </w:tcPr>
          <w:p w14:paraId="3B2C8154">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default" w:ascii="Times New Roman" w:hAnsi="Times New Roman" w:cs="Times New Roman"/>
                <w:color w:val="auto"/>
                <w:kern w:val="0"/>
                <w:sz w:val="21"/>
                <w:szCs w:val="21"/>
                <w:highlight w:val="none"/>
                <w:u w:val="single" w:color="auto"/>
                <w:vertAlign w:val="baseline"/>
                <w:lang w:val="en-US" w:eastAsia="zh-CN"/>
              </w:rPr>
              <w:t>1420-1438</w:t>
            </w:r>
          </w:p>
        </w:tc>
        <w:tc>
          <w:tcPr>
            <w:tcW w:w="1230" w:type="pct"/>
            <w:noWrap w:val="0"/>
            <w:vAlign w:val="center"/>
          </w:tcPr>
          <w:p w14:paraId="1765C44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eastAsia" w:ascii="Times New Roman" w:hAnsi="Times New Roman" w:cs="Times New Roman"/>
                <w:color w:val="auto"/>
                <w:kern w:val="0"/>
                <w:sz w:val="21"/>
                <w:szCs w:val="21"/>
                <w:highlight w:val="none"/>
                <w:u w:val="single" w:color="auto"/>
                <w:vertAlign w:val="baseline"/>
                <w:lang w:val="en-US" w:eastAsia="zh-CN"/>
              </w:rPr>
              <w:t>702-799</w:t>
            </w:r>
          </w:p>
        </w:tc>
      </w:tr>
      <w:tr w14:paraId="0D53B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exact"/>
        </w:trPr>
        <w:tc>
          <w:tcPr>
            <w:tcW w:w="882" w:type="pct"/>
            <w:noWrap w:val="0"/>
            <w:vAlign w:val="center"/>
          </w:tcPr>
          <w:p w14:paraId="308D302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eastAsia="宋体" w:cs="Times New Roman"/>
                <w:color w:val="auto"/>
                <w:kern w:val="0"/>
                <w:sz w:val="21"/>
                <w:szCs w:val="21"/>
                <w:highlight w:val="none"/>
                <w:u w:val="single" w:color="auto"/>
                <w:vertAlign w:val="baseline"/>
                <w:lang w:val="en-US" w:eastAsia="zh-CN"/>
              </w:rPr>
              <w:t>BOD</w:t>
            </w:r>
            <w:r>
              <w:rPr>
                <w:rFonts w:hint="default" w:ascii="Times New Roman" w:hAnsi="Times New Roman" w:eastAsia="宋体" w:cs="Times New Roman"/>
                <w:color w:val="auto"/>
                <w:kern w:val="0"/>
                <w:sz w:val="21"/>
                <w:szCs w:val="21"/>
                <w:highlight w:val="none"/>
                <w:u w:val="single" w:color="auto"/>
                <w:vertAlign w:val="subscript"/>
                <w:lang w:val="en-US" w:eastAsia="zh-CN"/>
              </w:rPr>
              <w:t>5</w:t>
            </w:r>
          </w:p>
        </w:tc>
        <w:tc>
          <w:tcPr>
            <w:tcW w:w="1571" w:type="pct"/>
            <w:noWrap w:val="0"/>
            <w:vAlign w:val="center"/>
          </w:tcPr>
          <w:p w14:paraId="3DF46F04">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cs="Times New Roman"/>
                <w:color w:val="auto"/>
                <w:kern w:val="0"/>
                <w:sz w:val="21"/>
                <w:szCs w:val="21"/>
                <w:highlight w:val="none"/>
                <w:u w:val="single" w:color="auto"/>
                <w:vertAlign w:val="baseline"/>
                <w:lang w:val="en-US" w:eastAsia="zh-CN"/>
              </w:rPr>
              <w:t>912-948</w:t>
            </w:r>
          </w:p>
        </w:tc>
        <w:tc>
          <w:tcPr>
            <w:tcW w:w="1316" w:type="pct"/>
            <w:noWrap w:val="0"/>
            <w:vAlign w:val="center"/>
          </w:tcPr>
          <w:p w14:paraId="0B58F1A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default" w:ascii="Times New Roman" w:hAnsi="Times New Roman" w:cs="Times New Roman"/>
                <w:color w:val="auto"/>
                <w:kern w:val="0"/>
                <w:sz w:val="21"/>
                <w:szCs w:val="21"/>
                <w:highlight w:val="none"/>
                <w:u w:val="single" w:color="auto"/>
                <w:vertAlign w:val="baseline"/>
                <w:lang w:val="en-US" w:eastAsia="zh-CN"/>
              </w:rPr>
              <w:t>283-294</w:t>
            </w:r>
          </w:p>
        </w:tc>
        <w:tc>
          <w:tcPr>
            <w:tcW w:w="1230" w:type="pct"/>
            <w:noWrap w:val="0"/>
            <w:vAlign w:val="center"/>
          </w:tcPr>
          <w:p w14:paraId="15BD394C">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eastAsia" w:ascii="Times New Roman" w:hAnsi="Times New Roman" w:cs="Times New Roman"/>
                <w:color w:val="auto"/>
                <w:kern w:val="0"/>
                <w:sz w:val="21"/>
                <w:szCs w:val="21"/>
                <w:highlight w:val="none"/>
                <w:u w:val="single" w:color="auto"/>
                <w:vertAlign w:val="baseline"/>
                <w:lang w:val="en-US" w:eastAsia="zh-CN"/>
              </w:rPr>
              <w:t>292-321</w:t>
            </w:r>
          </w:p>
        </w:tc>
      </w:tr>
      <w:tr w14:paraId="641D3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exact"/>
        </w:trPr>
        <w:tc>
          <w:tcPr>
            <w:tcW w:w="882" w:type="pct"/>
            <w:noWrap w:val="0"/>
            <w:vAlign w:val="center"/>
          </w:tcPr>
          <w:p w14:paraId="65EDB14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eastAsia="宋体" w:cs="Times New Roman"/>
                <w:color w:val="auto"/>
                <w:kern w:val="0"/>
                <w:sz w:val="21"/>
                <w:szCs w:val="21"/>
                <w:highlight w:val="none"/>
                <w:u w:val="single" w:color="auto"/>
                <w:vertAlign w:val="baseline"/>
                <w:lang w:val="en-US" w:eastAsia="zh-CN"/>
              </w:rPr>
              <w:t>色度</w:t>
            </w:r>
          </w:p>
        </w:tc>
        <w:tc>
          <w:tcPr>
            <w:tcW w:w="1571" w:type="pct"/>
            <w:noWrap w:val="0"/>
            <w:vAlign w:val="center"/>
          </w:tcPr>
          <w:p w14:paraId="3F7668F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cs="Times New Roman"/>
                <w:color w:val="auto"/>
                <w:kern w:val="0"/>
                <w:sz w:val="21"/>
                <w:szCs w:val="21"/>
                <w:highlight w:val="none"/>
                <w:u w:val="single" w:color="auto"/>
                <w:vertAlign w:val="baseline"/>
                <w:lang w:val="en-US" w:eastAsia="zh-CN"/>
              </w:rPr>
              <w:t>256倍</w:t>
            </w:r>
          </w:p>
        </w:tc>
        <w:tc>
          <w:tcPr>
            <w:tcW w:w="1316" w:type="pct"/>
            <w:noWrap w:val="0"/>
            <w:vAlign w:val="center"/>
          </w:tcPr>
          <w:p w14:paraId="792173C6">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eastAsia" w:ascii="Times New Roman" w:hAnsi="Times New Roman" w:cs="Times New Roman"/>
                <w:color w:val="auto"/>
                <w:kern w:val="0"/>
                <w:sz w:val="21"/>
                <w:szCs w:val="21"/>
                <w:highlight w:val="none"/>
                <w:u w:val="single" w:color="auto"/>
                <w:vertAlign w:val="baseline"/>
                <w:lang w:val="en-US" w:eastAsia="zh-CN"/>
              </w:rPr>
              <w:t>15</w:t>
            </w:r>
            <w:r>
              <w:rPr>
                <w:rFonts w:hint="default" w:ascii="Times New Roman" w:hAnsi="Times New Roman" w:cs="Times New Roman"/>
                <w:color w:val="auto"/>
                <w:kern w:val="0"/>
                <w:sz w:val="21"/>
                <w:szCs w:val="21"/>
                <w:highlight w:val="none"/>
                <w:u w:val="single" w:color="auto"/>
                <w:vertAlign w:val="baseline"/>
                <w:lang w:val="en-US" w:eastAsia="zh-CN"/>
              </w:rPr>
              <w:t>倍</w:t>
            </w:r>
          </w:p>
        </w:tc>
        <w:tc>
          <w:tcPr>
            <w:tcW w:w="1230" w:type="pct"/>
            <w:noWrap w:val="0"/>
            <w:vAlign w:val="center"/>
          </w:tcPr>
          <w:p w14:paraId="24C57B7A">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eastAsia" w:ascii="Times New Roman" w:hAnsi="Times New Roman" w:cs="Times New Roman"/>
                <w:color w:val="auto"/>
                <w:kern w:val="0"/>
                <w:sz w:val="21"/>
                <w:szCs w:val="21"/>
                <w:highlight w:val="none"/>
                <w:u w:val="single" w:color="auto"/>
                <w:vertAlign w:val="baseline"/>
                <w:lang w:val="en-US" w:eastAsia="zh-CN"/>
              </w:rPr>
              <w:t>/</w:t>
            </w:r>
          </w:p>
        </w:tc>
      </w:tr>
      <w:tr w14:paraId="20B25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trPr>
        <w:tc>
          <w:tcPr>
            <w:tcW w:w="882" w:type="pct"/>
            <w:noWrap w:val="0"/>
            <w:vAlign w:val="center"/>
          </w:tcPr>
          <w:p w14:paraId="6107AC8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cs="Times New Roman"/>
                <w:color w:val="auto"/>
                <w:kern w:val="0"/>
                <w:sz w:val="21"/>
                <w:szCs w:val="21"/>
                <w:highlight w:val="none"/>
                <w:u w:val="single" w:color="auto"/>
                <w:vertAlign w:val="baseline"/>
                <w:lang w:val="en-US" w:eastAsia="zh-CN"/>
              </w:rPr>
              <w:t>动植物油</w:t>
            </w:r>
          </w:p>
        </w:tc>
        <w:tc>
          <w:tcPr>
            <w:tcW w:w="1571" w:type="pct"/>
            <w:noWrap w:val="0"/>
            <w:vAlign w:val="center"/>
          </w:tcPr>
          <w:p w14:paraId="60303E1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cs="Times New Roman"/>
                <w:color w:val="auto"/>
                <w:kern w:val="0"/>
                <w:sz w:val="21"/>
                <w:szCs w:val="21"/>
                <w:highlight w:val="none"/>
                <w:u w:val="single" w:color="auto"/>
                <w:vertAlign w:val="baseline"/>
                <w:lang w:val="en-US" w:eastAsia="zh-CN"/>
              </w:rPr>
              <w:t>41.9-47.8</w:t>
            </w:r>
          </w:p>
        </w:tc>
        <w:tc>
          <w:tcPr>
            <w:tcW w:w="1316" w:type="pct"/>
            <w:noWrap w:val="0"/>
            <w:vAlign w:val="center"/>
          </w:tcPr>
          <w:p w14:paraId="181B3EC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eastAsia" w:ascii="Times New Roman" w:hAnsi="Times New Roman" w:cs="Times New Roman"/>
                <w:color w:val="auto"/>
                <w:kern w:val="0"/>
                <w:sz w:val="21"/>
                <w:szCs w:val="21"/>
                <w:highlight w:val="none"/>
                <w:u w:val="single" w:color="auto"/>
                <w:vertAlign w:val="baseline"/>
                <w:lang w:val="en-US" w:eastAsia="zh-CN"/>
              </w:rPr>
              <w:t>12-14</w:t>
            </w:r>
          </w:p>
        </w:tc>
        <w:tc>
          <w:tcPr>
            <w:tcW w:w="1230" w:type="pct"/>
            <w:noWrap w:val="0"/>
            <w:vAlign w:val="center"/>
          </w:tcPr>
          <w:p w14:paraId="469EBEB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eastAsia" w:ascii="Times New Roman" w:hAnsi="Times New Roman" w:cs="Times New Roman"/>
                <w:color w:val="auto"/>
                <w:kern w:val="0"/>
                <w:sz w:val="21"/>
                <w:szCs w:val="21"/>
                <w:highlight w:val="none"/>
                <w:u w:val="single" w:color="auto"/>
                <w:vertAlign w:val="baseline"/>
                <w:lang w:val="en-US" w:eastAsia="zh-CN"/>
              </w:rPr>
              <w:t>14.0-14.6</w:t>
            </w:r>
          </w:p>
        </w:tc>
      </w:tr>
      <w:tr w14:paraId="2AEB0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exact"/>
        </w:trPr>
        <w:tc>
          <w:tcPr>
            <w:tcW w:w="882" w:type="pct"/>
            <w:noWrap w:val="0"/>
            <w:vAlign w:val="center"/>
          </w:tcPr>
          <w:p w14:paraId="34490FB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cs="Times New Roman"/>
                <w:color w:val="auto"/>
                <w:kern w:val="0"/>
                <w:sz w:val="21"/>
                <w:szCs w:val="21"/>
                <w:highlight w:val="none"/>
                <w:u w:val="single" w:color="auto"/>
                <w:vertAlign w:val="baseline"/>
                <w:lang w:val="en-US" w:eastAsia="zh-CN"/>
              </w:rPr>
              <w:t>SS</w:t>
            </w:r>
          </w:p>
        </w:tc>
        <w:tc>
          <w:tcPr>
            <w:tcW w:w="1571" w:type="pct"/>
            <w:noWrap w:val="0"/>
            <w:vAlign w:val="center"/>
          </w:tcPr>
          <w:p w14:paraId="6936A8AE">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cs="Times New Roman"/>
                <w:color w:val="auto"/>
                <w:kern w:val="0"/>
                <w:sz w:val="21"/>
                <w:szCs w:val="21"/>
                <w:highlight w:val="none"/>
                <w:u w:val="single" w:color="auto"/>
                <w:vertAlign w:val="baseline"/>
                <w:lang w:val="en-US" w:eastAsia="zh-CN"/>
              </w:rPr>
              <w:t>552-581</w:t>
            </w:r>
          </w:p>
        </w:tc>
        <w:tc>
          <w:tcPr>
            <w:tcW w:w="1316" w:type="pct"/>
            <w:noWrap w:val="0"/>
            <w:vAlign w:val="center"/>
          </w:tcPr>
          <w:p w14:paraId="77B8406D">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eastAsia" w:ascii="Times New Roman" w:hAnsi="Times New Roman" w:cs="Times New Roman"/>
                <w:color w:val="auto"/>
                <w:kern w:val="0"/>
                <w:sz w:val="21"/>
                <w:szCs w:val="21"/>
                <w:highlight w:val="none"/>
                <w:u w:val="single" w:color="auto"/>
                <w:vertAlign w:val="baseline"/>
                <w:lang w:val="en-US" w:eastAsia="zh-CN"/>
              </w:rPr>
              <w:t>125-137</w:t>
            </w:r>
          </w:p>
        </w:tc>
        <w:tc>
          <w:tcPr>
            <w:tcW w:w="1230" w:type="pct"/>
            <w:noWrap w:val="0"/>
            <w:vAlign w:val="center"/>
          </w:tcPr>
          <w:p w14:paraId="1DD753C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eastAsia" w:ascii="Times New Roman" w:hAnsi="Times New Roman" w:cs="Times New Roman"/>
                <w:color w:val="auto"/>
                <w:kern w:val="0"/>
                <w:sz w:val="21"/>
                <w:szCs w:val="21"/>
                <w:highlight w:val="none"/>
                <w:u w:val="single" w:color="auto"/>
                <w:vertAlign w:val="baseline"/>
                <w:lang w:val="en-US" w:eastAsia="zh-CN"/>
              </w:rPr>
              <w:t>958-1200</w:t>
            </w:r>
          </w:p>
        </w:tc>
      </w:tr>
      <w:tr w14:paraId="58848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exact"/>
        </w:trPr>
        <w:tc>
          <w:tcPr>
            <w:tcW w:w="882" w:type="pct"/>
            <w:noWrap w:val="0"/>
            <w:vAlign w:val="center"/>
          </w:tcPr>
          <w:p w14:paraId="79F7BD9A">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bidi="ar-SA"/>
              </w:rPr>
            </w:pPr>
            <w:r>
              <w:rPr>
                <w:rFonts w:hint="default" w:ascii="Times New Roman" w:hAnsi="Times New Roman" w:cs="Times New Roman"/>
                <w:color w:val="auto"/>
                <w:kern w:val="0"/>
                <w:sz w:val="21"/>
                <w:szCs w:val="21"/>
                <w:highlight w:val="none"/>
                <w:u w:val="single" w:color="auto"/>
                <w:vertAlign w:val="baseline"/>
                <w:lang w:val="en-US" w:eastAsia="zh-CN" w:bidi="ar-SA"/>
              </w:rPr>
              <w:t>氨氮</w:t>
            </w:r>
          </w:p>
        </w:tc>
        <w:tc>
          <w:tcPr>
            <w:tcW w:w="1571" w:type="pct"/>
            <w:noWrap w:val="0"/>
            <w:vAlign w:val="center"/>
          </w:tcPr>
          <w:p w14:paraId="46A271E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cs="Times New Roman"/>
                <w:color w:val="auto"/>
                <w:kern w:val="0"/>
                <w:sz w:val="21"/>
                <w:szCs w:val="21"/>
                <w:highlight w:val="none"/>
                <w:u w:val="single" w:color="auto"/>
                <w:vertAlign w:val="baseline"/>
                <w:lang w:val="en-US" w:eastAsia="zh-CN"/>
              </w:rPr>
              <w:t>32.6-37.2</w:t>
            </w:r>
          </w:p>
        </w:tc>
        <w:tc>
          <w:tcPr>
            <w:tcW w:w="1316" w:type="pct"/>
            <w:noWrap w:val="0"/>
            <w:vAlign w:val="center"/>
          </w:tcPr>
          <w:p w14:paraId="69B1DDD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eastAsia" w:ascii="Times New Roman" w:hAnsi="Times New Roman" w:cs="Times New Roman"/>
                <w:color w:val="auto"/>
                <w:kern w:val="0"/>
                <w:sz w:val="21"/>
                <w:szCs w:val="21"/>
                <w:highlight w:val="none"/>
                <w:u w:val="single" w:color="auto"/>
                <w:vertAlign w:val="baseline"/>
                <w:lang w:val="en-US" w:eastAsia="zh-CN"/>
              </w:rPr>
              <w:t>17-20</w:t>
            </w:r>
          </w:p>
        </w:tc>
        <w:tc>
          <w:tcPr>
            <w:tcW w:w="1230" w:type="pct"/>
            <w:noWrap w:val="0"/>
            <w:vAlign w:val="center"/>
          </w:tcPr>
          <w:p w14:paraId="3676BA1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eastAsia" w:ascii="Times New Roman" w:hAnsi="Times New Roman" w:cs="Times New Roman"/>
                <w:color w:val="auto"/>
                <w:kern w:val="0"/>
                <w:sz w:val="21"/>
                <w:szCs w:val="21"/>
                <w:highlight w:val="none"/>
                <w:u w:val="single" w:color="auto"/>
                <w:vertAlign w:val="baseline"/>
                <w:lang w:val="en-US" w:eastAsia="zh-CN"/>
              </w:rPr>
              <w:t>32.1-39.9</w:t>
            </w:r>
          </w:p>
        </w:tc>
      </w:tr>
      <w:tr w14:paraId="6BACE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trPr>
        <w:tc>
          <w:tcPr>
            <w:tcW w:w="882" w:type="pct"/>
            <w:noWrap w:val="0"/>
            <w:vAlign w:val="center"/>
          </w:tcPr>
          <w:p w14:paraId="6CAA573E">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bidi="ar-SA"/>
              </w:rPr>
            </w:pPr>
            <w:r>
              <w:rPr>
                <w:rFonts w:hint="default" w:ascii="Times New Roman" w:hAnsi="Times New Roman" w:cs="Times New Roman"/>
                <w:color w:val="auto"/>
                <w:kern w:val="0"/>
                <w:sz w:val="21"/>
                <w:szCs w:val="21"/>
                <w:highlight w:val="none"/>
                <w:u w:val="single" w:color="auto"/>
                <w:vertAlign w:val="baseline"/>
                <w:lang w:val="en-US" w:eastAsia="zh-CN" w:bidi="ar-SA"/>
              </w:rPr>
              <w:t>总磷</w:t>
            </w:r>
          </w:p>
        </w:tc>
        <w:tc>
          <w:tcPr>
            <w:tcW w:w="1571" w:type="pct"/>
            <w:noWrap w:val="0"/>
            <w:vAlign w:val="center"/>
          </w:tcPr>
          <w:p w14:paraId="51BAA5B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0"/>
                <w:sz w:val="21"/>
                <w:szCs w:val="21"/>
                <w:highlight w:val="none"/>
                <w:u w:val="single" w:color="auto"/>
                <w:vertAlign w:val="baseline"/>
                <w:lang w:val="en-US" w:eastAsia="zh-CN"/>
              </w:rPr>
            </w:pPr>
            <w:r>
              <w:rPr>
                <w:rFonts w:hint="default" w:ascii="Times New Roman" w:hAnsi="Times New Roman" w:cs="Times New Roman"/>
                <w:color w:val="auto"/>
                <w:kern w:val="0"/>
                <w:sz w:val="21"/>
                <w:szCs w:val="21"/>
                <w:highlight w:val="none"/>
                <w:u w:val="single" w:color="auto"/>
                <w:vertAlign w:val="baseline"/>
                <w:lang w:val="en-US" w:eastAsia="zh-CN"/>
              </w:rPr>
              <w:t>3.02-3.68</w:t>
            </w:r>
          </w:p>
        </w:tc>
        <w:tc>
          <w:tcPr>
            <w:tcW w:w="1316" w:type="pct"/>
            <w:noWrap w:val="0"/>
            <w:vAlign w:val="center"/>
          </w:tcPr>
          <w:p w14:paraId="038790C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eastAsia" w:ascii="Times New Roman" w:hAnsi="Times New Roman" w:cs="Times New Roman"/>
                <w:color w:val="auto"/>
                <w:kern w:val="0"/>
                <w:sz w:val="21"/>
                <w:szCs w:val="21"/>
                <w:highlight w:val="none"/>
                <w:u w:val="single" w:color="auto"/>
                <w:vertAlign w:val="baseline"/>
                <w:lang w:val="en-US" w:eastAsia="zh-CN"/>
              </w:rPr>
              <w:t>1.88-2.05</w:t>
            </w:r>
          </w:p>
        </w:tc>
        <w:tc>
          <w:tcPr>
            <w:tcW w:w="1230" w:type="pct"/>
            <w:noWrap w:val="0"/>
            <w:vAlign w:val="center"/>
          </w:tcPr>
          <w:p w14:paraId="1F0C9A3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kern w:val="0"/>
                <w:sz w:val="21"/>
                <w:szCs w:val="21"/>
                <w:highlight w:val="none"/>
                <w:u w:val="single" w:color="auto"/>
                <w:vertAlign w:val="baseline"/>
                <w:lang w:val="en-US" w:eastAsia="zh-CN"/>
              </w:rPr>
            </w:pPr>
            <w:r>
              <w:rPr>
                <w:rFonts w:hint="eastAsia" w:ascii="Times New Roman" w:hAnsi="Times New Roman" w:cs="Times New Roman"/>
                <w:color w:val="auto"/>
                <w:kern w:val="0"/>
                <w:sz w:val="21"/>
                <w:szCs w:val="21"/>
                <w:highlight w:val="none"/>
                <w:u w:val="single" w:color="auto"/>
                <w:vertAlign w:val="baseline"/>
                <w:lang w:val="en-US" w:eastAsia="zh-CN"/>
              </w:rPr>
              <w:t>/</w:t>
            </w:r>
          </w:p>
        </w:tc>
      </w:tr>
    </w:tbl>
    <w:p w14:paraId="661DEA8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highlight w:val="none"/>
          <w:u w:val="single" w:color="auto"/>
          <w:lang w:val="en-US" w:eastAsia="zh-CN"/>
        </w:rPr>
      </w:pPr>
      <w:r>
        <w:rPr>
          <w:rFonts w:hint="eastAsia" w:ascii="Times New Roman" w:hAnsi="Times New Roman" w:cs="Times New Roman"/>
          <w:color w:val="auto"/>
          <w:sz w:val="24"/>
          <w:highlight w:val="none"/>
          <w:u w:val="single" w:color="auto"/>
          <w:lang w:val="en-US" w:eastAsia="zh-CN"/>
        </w:rPr>
        <w:t>结合上述情况，本项目综合废水中污染因子产生浓度参考与本项目生产规模接近，生产工艺一致，废水量、水质接近的《湘潭榔人帮食品有限公司年加工300吨槟榔建设项目竣工环境保护验收监测报告》和《湘潭韶湖生物科技有限公司年产450吨槟榔建设项目竣工环保验收报告》中的监测数据，按照前述两个验收监测数据中的较大值取值，则本项目水质情况为CODcr1342mg/L、BOD5948mg/L、色度256倍、动植物油47.8mg/L、SS1200mg/L、氨氮39.9mg/L、总磷3.68mg/L。</w:t>
      </w:r>
    </w:p>
    <w:p w14:paraId="6369C2E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szCs w:val="24"/>
          <w:highlight w:val="none"/>
          <w:u w:val="single" w:color="auto"/>
          <w:lang w:val="en-US" w:eastAsia="zh-CN"/>
        </w:rPr>
      </w:pPr>
      <w:r>
        <w:rPr>
          <w:rFonts w:hint="eastAsia" w:ascii="Times New Roman" w:hAnsi="Times New Roman" w:cs="Times New Roman"/>
          <w:color w:val="auto"/>
          <w:sz w:val="24"/>
          <w:szCs w:val="24"/>
          <w:highlight w:val="none"/>
          <w:u w:val="single" w:color="auto"/>
          <w:lang w:val="en-US" w:eastAsia="zh-CN"/>
        </w:rPr>
        <w:t>本项目生活污水经隔油、化粪池处理后和生产废水一起经厂区内污水处理设施处理达标后经自建排水管（310m）排入青山河。项目废水总产生量为2774.28t/a（包括生活污水864t/a，生产废水1910.28t/a）。本次评价污水处理设施处理效率参考项目污水处理设计方案同时结合</w:t>
      </w:r>
      <w:r>
        <w:rPr>
          <w:rFonts w:hint="default" w:ascii="Times New Roman" w:hAnsi="Times New Roman" w:cs="Times New Roman"/>
          <w:color w:val="auto"/>
          <w:sz w:val="24"/>
          <w:szCs w:val="24"/>
          <w:highlight w:val="none"/>
          <w:u w:val="single" w:color="auto"/>
          <w:lang w:val="en-US" w:eastAsia="zh-CN"/>
        </w:rPr>
        <w:t>《厌氧-缺氧-好氧活性污泥法污水处理工程技术规范》HJ576-2010</w:t>
      </w:r>
      <w:r>
        <w:rPr>
          <w:rFonts w:hint="eastAsia" w:ascii="Times New Roman" w:hAnsi="Times New Roman" w:cs="Times New Roman"/>
          <w:color w:val="auto"/>
          <w:sz w:val="24"/>
          <w:szCs w:val="24"/>
          <w:highlight w:val="none"/>
          <w:u w:val="single" w:color="auto"/>
          <w:lang w:val="en-US" w:eastAsia="zh-CN"/>
        </w:rPr>
        <w:t>（COD取值90%、悬浮物80%、BOD595%、氨氮85%、总磷70%）、《人工湿地污水处理工程技术规范》</w:t>
      </w:r>
      <w:r>
        <w:rPr>
          <w:rFonts w:hint="default" w:ascii="Times New Roman" w:hAnsi="Times New Roman" w:cs="Times New Roman"/>
          <w:color w:val="auto"/>
          <w:sz w:val="24"/>
          <w:szCs w:val="24"/>
          <w:highlight w:val="none"/>
          <w:u w:val="single" w:color="auto"/>
          <w:lang w:val="en-US" w:eastAsia="zh-CN"/>
        </w:rPr>
        <w:t>HJ</w:t>
      </w:r>
      <w:r>
        <w:rPr>
          <w:rFonts w:hint="eastAsia" w:ascii="Times New Roman" w:hAnsi="Times New Roman" w:cs="Times New Roman"/>
          <w:color w:val="auto"/>
          <w:sz w:val="24"/>
          <w:szCs w:val="24"/>
          <w:highlight w:val="none"/>
          <w:u w:val="single" w:color="auto"/>
          <w:lang w:val="en-US" w:eastAsia="zh-CN"/>
        </w:rPr>
        <w:t>2005</w:t>
      </w:r>
      <w:r>
        <w:rPr>
          <w:rFonts w:hint="default" w:ascii="Times New Roman" w:hAnsi="Times New Roman" w:cs="Times New Roman"/>
          <w:color w:val="auto"/>
          <w:sz w:val="24"/>
          <w:szCs w:val="24"/>
          <w:highlight w:val="none"/>
          <w:u w:val="single" w:color="auto"/>
          <w:lang w:val="en-US" w:eastAsia="zh-CN"/>
        </w:rPr>
        <w:t>-2010</w:t>
      </w:r>
      <w:r>
        <w:rPr>
          <w:rFonts w:hint="eastAsia" w:ascii="Times New Roman" w:hAnsi="Times New Roman" w:cs="Times New Roman"/>
          <w:color w:val="auto"/>
          <w:sz w:val="24"/>
          <w:szCs w:val="24"/>
          <w:highlight w:val="none"/>
          <w:u w:val="single" w:color="auto"/>
          <w:lang w:val="en-US" w:eastAsia="zh-CN"/>
        </w:rPr>
        <w:t>垂直潜流人工湿地最低去除效率（</w:t>
      </w:r>
      <w:r>
        <w:rPr>
          <w:rFonts w:hint="default" w:ascii="Times New Roman" w:hAnsi="Times New Roman" w:cs="Times New Roman"/>
          <w:color w:val="auto"/>
          <w:sz w:val="24"/>
          <w:szCs w:val="24"/>
          <w:highlight w:val="none"/>
          <w:u w:val="single" w:color="auto"/>
          <w:lang w:val="en-US" w:eastAsia="zh-CN"/>
        </w:rPr>
        <w:t>BOD5</w:t>
      </w:r>
      <w:r>
        <w:rPr>
          <w:rFonts w:hint="eastAsia" w:ascii="Times New Roman" w:hAnsi="Times New Roman" w:cs="Times New Roman"/>
          <w:color w:val="auto"/>
          <w:sz w:val="24"/>
          <w:szCs w:val="24"/>
          <w:highlight w:val="none"/>
          <w:u w:val="single" w:color="auto"/>
          <w:lang w:val="en-US" w:eastAsia="zh-CN"/>
        </w:rPr>
        <w:t>50%、COD60%、SS50%、氨氮50%、总磷60%）取值，，污水处理处理设施污染物总去除效率</w:t>
      </w:r>
      <w:r>
        <w:rPr>
          <w:rFonts w:hint="default" w:ascii="Times New Roman" w:hAnsi="Times New Roman" w:cs="Times New Roman"/>
          <w:color w:val="auto"/>
          <w:sz w:val="24"/>
          <w:szCs w:val="24"/>
          <w:highlight w:val="none"/>
          <w:u w:val="single" w:color="auto"/>
          <w:lang w:val="en-US" w:eastAsia="zh-CN"/>
        </w:rPr>
        <w:t>COD</w:t>
      </w:r>
      <w:r>
        <w:rPr>
          <w:rFonts w:hint="eastAsia" w:ascii="Times New Roman" w:hAnsi="Times New Roman" w:cs="Times New Roman"/>
          <w:color w:val="auto"/>
          <w:sz w:val="24"/>
          <w:szCs w:val="24"/>
          <w:highlight w:val="none"/>
          <w:u w:val="single" w:color="auto"/>
          <w:lang w:val="en-US" w:eastAsia="zh-CN"/>
        </w:rPr>
        <w:t>96</w:t>
      </w:r>
      <w:r>
        <w:rPr>
          <w:rFonts w:hint="default" w:ascii="Times New Roman" w:hAnsi="Times New Roman" w:cs="Times New Roman"/>
          <w:color w:val="auto"/>
          <w:sz w:val="24"/>
          <w:szCs w:val="24"/>
          <w:highlight w:val="none"/>
          <w:u w:val="single" w:color="auto"/>
          <w:lang w:val="en-US" w:eastAsia="zh-CN"/>
        </w:rPr>
        <w:t>%、BOD5</w:t>
      </w:r>
      <w:r>
        <w:rPr>
          <w:rFonts w:hint="eastAsia" w:ascii="Times New Roman" w:hAnsi="Times New Roman" w:cs="Times New Roman"/>
          <w:color w:val="auto"/>
          <w:sz w:val="24"/>
          <w:szCs w:val="24"/>
          <w:highlight w:val="none"/>
          <w:u w:val="single" w:color="auto"/>
          <w:lang w:val="en-US" w:eastAsia="zh-CN"/>
        </w:rPr>
        <w:t>97.5</w:t>
      </w:r>
      <w:r>
        <w:rPr>
          <w:rFonts w:hint="default" w:ascii="Times New Roman" w:hAnsi="Times New Roman" w:cs="Times New Roman"/>
          <w:color w:val="auto"/>
          <w:sz w:val="24"/>
          <w:szCs w:val="24"/>
          <w:highlight w:val="none"/>
          <w:u w:val="single" w:color="auto"/>
          <w:lang w:val="en-US" w:eastAsia="zh-CN"/>
        </w:rPr>
        <w:t>%、悬浮物</w:t>
      </w:r>
      <w:r>
        <w:rPr>
          <w:rFonts w:hint="eastAsia" w:ascii="Times New Roman" w:hAnsi="Times New Roman" w:cs="Times New Roman"/>
          <w:color w:val="auto"/>
          <w:sz w:val="24"/>
          <w:szCs w:val="24"/>
          <w:highlight w:val="none"/>
          <w:u w:val="single" w:color="auto"/>
          <w:lang w:val="en-US" w:eastAsia="zh-CN"/>
        </w:rPr>
        <w:t>99.55</w:t>
      </w:r>
      <w:r>
        <w:rPr>
          <w:rFonts w:hint="default" w:ascii="Times New Roman" w:hAnsi="Times New Roman" w:cs="Times New Roman"/>
          <w:color w:val="auto"/>
          <w:sz w:val="24"/>
          <w:szCs w:val="24"/>
          <w:highlight w:val="none"/>
          <w:u w:val="single" w:color="auto"/>
          <w:lang w:val="en-US" w:eastAsia="zh-CN"/>
        </w:rPr>
        <w:t>%、氨氮</w:t>
      </w:r>
      <w:r>
        <w:rPr>
          <w:rFonts w:hint="eastAsia" w:ascii="Times New Roman" w:hAnsi="Times New Roman" w:cs="Times New Roman"/>
          <w:color w:val="auto"/>
          <w:sz w:val="24"/>
          <w:szCs w:val="24"/>
          <w:highlight w:val="none"/>
          <w:u w:val="single" w:color="auto"/>
          <w:lang w:val="en-US" w:eastAsia="zh-CN"/>
        </w:rPr>
        <w:t>92.5</w:t>
      </w:r>
      <w:r>
        <w:rPr>
          <w:rFonts w:hint="default" w:ascii="Times New Roman" w:hAnsi="Times New Roman" w:cs="Times New Roman"/>
          <w:color w:val="auto"/>
          <w:sz w:val="24"/>
          <w:szCs w:val="24"/>
          <w:highlight w:val="none"/>
          <w:u w:val="single" w:color="auto"/>
          <w:lang w:val="en-US" w:eastAsia="zh-CN"/>
        </w:rPr>
        <w:t>%、总磷</w:t>
      </w:r>
      <w:r>
        <w:rPr>
          <w:rFonts w:hint="eastAsia" w:ascii="Times New Roman" w:hAnsi="Times New Roman" w:cs="Times New Roman"/>
          <w:color w:val="auto"/>
          <w:sz w:val="24"/>
          <w:szCs w:val="24"/>
          <w:highlight w:val="none"/>
          <w:u w:val="single" w:color="auto"/>
          <w:lang w:val="en-US" w:eastAsia="zh-CN"/>
        </w:rPr>
        <w:t>88</w:t>
      </w:r>
      <w:r>
        <w:rPr>
          <w:rFonts w:hint="default" w:ascii="Times New Roman" w:hAnsi="Times New Roman" w:cs="Times New Roman"/>
          <w:color w:val="auto"/>
          <w:sz w:val="24"/>
          <w:szCs w:val="24"/>
          <w:highlight w:val="none"/>
          <w:u w:val="single" w:color="auto"/>
          <w:lang w:val="en-US" w:eastAsia="zh-CN"/>
        </w:rPr>
        <w:t>%</w:t>
      </w:r>
      <w:r>
        <w:rPr>
          <w:rFonts w:hint="eastAsia" w:ascii="Times New Roman" w:hAnsi="Times New Roman" w:cs="Times New Roman"/>
          <w:color w:val="auto"/>
          <w:sz w:val="24"/>
          <w:szCs w:val="24"/>
          <w:highlight w:val="none"/>
          <w:u w:val="single" w:color="auto"/>
          <w:lang w:val="en-US" w:eastAsia="zh-CN"/>
        </w:rPr>
        <w:t>、动植物油84</w:t>
      </w:r>
      <w:r>
        <w:rPr>
          <w:rFonts w:hint="default" w:ascii="Times New Roman" w:hAnsi="Times New Roman" w:cs="Times New Roman"/>
          <w:color w:val="auto"/>
          <w:sz w:val="24"/>
          <w:szCs w:val="24"/>
          <w:highlight w:val="none"/>
          <w:u w:val="single" w:color="auto"/>
          <w:lang w:val="en-US" w:eastAsia="zh-CN"/>
        </w:rPr>
        <w:t>%</w:t>
      </w:r>
      <w:r>
        <w:rPr>
          <w:rFonts w:hint="eastAsia" w:ascii="Times New Roman" w:hAnsi="Times New Roman" w:cs="Times New Roman"/>
          <w:color w:val="auto"/>
          <w:sz w:val="24"/>
          <w:szCs w:val="24"/>
          <w:highlight w:val="none"/>
          <w:u w:val="single" w:color="auto"/>
          <w:lang w:val="en-US" w:eastAsia="zh-CN"/>
        </w:rPr>
        <w:t>、色度90%。</w:t>
      </w:r>
    </w:p>
    <w:p w14:paraId="0580BFA2">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eastAsia="宋体" w:cs="Times New Roman"/>
          <w:b/>
          <w:bCs/>
          <w:color w:val="auto"/>
          <w:sz w:val="21"/>
          <w:szCs w:val="21"/>
          <w:highlight w:val="none"/>
          <w:u w:val="single" w:color="auto"/>
          <w:lang w:val="en-US" w:eastAsia="zh-CN"/>
        </w:rPr>
      </w:pPr>
      <w:r>
        <w:rPr>
          <w:rFonts w:hint="eastAsia" w:cs="Times New Roman"/>
          <w:b w:val="0"/>
          <w:bCs/>
          <w:color w:val="000000" w:themeColor="text1"/>
          <w:spacing w:val="10"/>
          <w:sz w:val="24"/>
          <w:szCs w:val="24"/>
          <w:u w:val="single" w:color="auto"/>
          <w:lang w:val="en-US" w:eastAsia="zh-CN"/>
          <w14:textFill>
            <w14:solidFill>
              <w14:schemeClr w14:val="tx1"/>
            </w14:solidFill>
          </w14:textFill>
        </w:rPr>
        <w:t>项目废水产排情况如下表：</w:t>
      </w:r>
    </w:p>
    <w:p w14:paraId="09A7E27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color w:val="auto"/>
          <w:sz w:val="32"/>
          <w:szCs w:val="32"/>
          <w:u w:val="single" w:color="auto"/>
          <w:lang w:val="en-US" w:eastAsia="zh-CN"/>
        </w:rPr>
      </w:pPr>
      <w:r>
        <w:rPr>
          <w:rFonts w:hint="default" w:ascii="Times New Roman" w:hAnsi="Times New Roman" w:eastAsia="宋体" w:cs="Times New Roman"/>
          <w:b/>
          <w:bCs/>
          <w:color w:val="auto"/>
          <w:sz w:val="21"/>
          <w:szCs w:val="21"/>
          <w:highlight w:val="none"/>
          <w:u w:val="single" w:color="auto"/>
          <w:lang w:val="en-US" w:eastAsia="zh-CN"/>
        </w:rPr>
        <w:t>表</w:t>
      </w:r>
      <w:r>
        <w:rPr>
          <w:rFonts w:hint="eastAsia" w:ascii="Times New Roman" w:hAnsi="Times New Roman" w:eastAsia="宋体" w:cs="Times New Roman"/>
          <w:b/>
          <w:bCs/>
          <w:color w:val="auto"/>
          <w:sz w:val="21"/>
          <w:szCs w:val="21"/>
          <w:highlight w:val="none"/>
          <w:u w:val="single" w:color="auto"/>
          <w:lang w:val="en-US" w:eastAsia="zh-CN"/>
        </w:rPr>
        <w:t>3.3</w:t>
      </w:r>
      <w:r>
        <w:rPr>
          <w:rFonts w:hint="default" w:ascii="Times New Roman" w:hAnsi="Times New Roman" w:eastAsia="宋体" w:cs="Times New Roman"/>
          <w:b/>
          <w:bCs/>
          <w:color w:val="auto"/>
          <w:sz w:val="21"/>
          <w:szCs w:val="21"/>
          <w:highlight w:val="none"/>
          <w:u w:val="single" w:color="auto"/>
          <w:lang w:val="en-US" w:eastAsia="zh-CN"/>
        </w:rPr>
        <w:t>-</w:t>
      </w:r>
      <w:r>
        <w:rPr>
          <w:rFonts w:hint="eastAsia" w:cs="Times New Roman"/>
          <w:b/>
          <w:bCs/>
          <w:color w:val="auto"/>
          <w:sz w:val="21"/>
          <w:szCs w:val="21"/>
          <w:highlight w:val="none"/>
          <w:u w:val="single" w:color="auto"/>
          <w:lang w:val="en-US" w:eastAsia="zh-CN"/>
        </w:rPr>
        <w:t>2</w:t>
      </w:r>
      <w:r>
        <w:rPr>
          <w:rFonts w:hint="default" w:ascii="Times New Roman" w:hAnsi="Times New Roman" w:eastAsia="宋体" w:cs="Times New Roman"/>
          <w:b/>
          <w:bCs/>
          <w:color w:val="auto"/>
          <w:sz w:val="21"/>
          <w:szCs w:val="21"/>
          <w:highlight w:val="none"/>
          <w:u w:val="single" w:color="auto"/>
          <w:lang w:val="en-US" w:eastAsia="zh-CN"/>
        </w:rPr>
        <w:t>项目废水产生及排放情况一览表</w:t>
      </w:r>
    </w:p>
    <w:tbl>
      <w:tblPr>
        <w:tblStyle w:val="24"/>
        <w:tblW w:w="9054" w:type="dxa"/>
        <w:tblInd w:w="0" w:type="dxa"/>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68"/>
        <w:gridCol w:w="958"/>
        <w:gridCol w:w="864"/>
        <w:gridCol w:w="786"/>
        <w:gridCol w:w="819"/>
        <w:gridCol w:w="774"/>
        <w:gridCol w:w="920"/>
        <w:gridCol w:w="926"/>
        <w:gridCol w:w="784"/>
      </w:tblGrid>
      <w:tr w14:paraId="73663103">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557" w:hRule="atLeast"/>
          <w:tblHeader/>
        </w:trPr>
        <w:tc>
          <w:tcPr>
            <w:tcW w:w="1055" w:type="dxa"/>
            <w:vAlign w:val="center"/>
          </w:tcPr>
          <w:p w14:paraId="2B1D30EC">
            <w:pPr>
              <w:widowControl w:val="0"/>
              <w:spacing w:line="240" w:lineRule="auto"/>
              <w:jc w:val="cente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t>污染源</w:t>
            </w:r>
          </w:p>
        </w:tc>
        <w:tc>
          <w:tcPr>
            <w:tcW w:w="1168" w:type="dxa"/>
            <w:vAlign w:val="center"/>
          </w:tcPr>
          <w:p w14:paraId="48397F8D">
            <w:pPr>
              <w:widowControl w:val="0"/>
              <w:spacing w:line="240" w:lineRule="auto"/>
              <w:jc w:val="cente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t>项目</w:t>
            </w:r>
          </w:p>
        </w:tc>
        <w:tc>
          <w:tcPr>
            <w:tcW w:w="958" w:type="dxa"/>
            <w:vAlign w:val="center"/>
          </w:tcPr>
          <w:p w14:paraId="6254940C">
            <w:pPr>
              <w:widowControl w:val="0"/>
              <w:spacing w:line="240" w:lineRule="auto"/>
              <w:jc w:val="cente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t>COD</w:t>
            </w:r>
            <w:r>
              <w:rPr>
                <w:rFonts w:hint="default" w:ascii="Times New Roman" w:hAnsi="Times New Roman" w:eastAsia="宋体" w:cs="Times New Roman"/>
                <w:b/>
                <w:bCs/>
                <w:color w:val="000000" w:themeColor="text1"/>
                <w:spacing w:val="1"/>
                <w:kern w:val="0"/>
                <w:sz w:val="21"/>
                <w:szCs w:val="21"/>
                <w:u w:val="single" w:color="auto"/>
                <w:vertAlign w:val="subscript"/>
                <w:lang w:val="en-US" w:eastAsia="zh-CN" w:bidi="ar-SA"/>
                <w14:textFill>
                  <w14:solidFill>
                    <w14:schemeClr w14:val="tx1"/>
                  </w14:solidFill>
                </w14:textFill>
              </w:rPr>
              <w:t>cr</w:t>
            </w:r>
          </w:p>
        </w:tc>
        <w:tc>
          <w:tcPr>
            <w:tcW w:w="864" w:type="dxa"/>
            <w:vAlign w:val="center"/>
          </w:tcPr>
          <w:p w14:paraId="35477D14">
            <w:pPr>
              <w:widowControl w:val="0"/>
              <w:spacing w:line="240" w:lineRule="auto"/>
              <w:jc w:val="cente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t>BOD</w:t>
            </w:r>
            <w:r>
              <w:rPr>
                <w:rFonts w:hint="default" w:ascii="Times New Roman" w:hAnsi="Times New Roman" w:eastAsia="宋体" w:cs="Times New Roman"/>
                <w:b/>
                <w:bCs/>
                <w:color w:val="000000" w:themeColor="text1"/>
                <w:spacing w:val="1"/>
                <w:kern w:val="0"/>
                <w:sz w:val="21"/>
                <w:szCs w:val="21"/>
                <w:u w:val="single" w:color="auto"/>
                <w:vertAlign w:val="subscript"/>
                <w:lang w:val="en-US" w:eastAsia="zh-CN" w:bidi="ar-SA"/>
                <w14:textFill>
                  <w14:solidFill>
                    <w14:schemeClr w14:val="tx1"/>
                  </w14:solidFill>
                </w14:textFill>
              </w:rPr>
              <w:t>5</w:t>
            </w:r>
          </w:p>
        </w:tc>
        <w:tc>
          <w:tcPr>
            <w:tcW w:w="786" w:type="dxa"/>
            <w:vAlign w:val="center"/>
          </w:tcPr>
          <w:p w14:paraId="5E3A761A">
            <w:pPr>
              <w:widowControl w:val="0"/>
              <w:spacing w:line="240" w:lineRule="auto"/>
              <w:jc w:val="cente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b/>
                <w:bCs/>
                <w:color w:val="000000" w:themeColor="text1"/>
                <w:spacing w:val="1"/>
                <w:kern w:val="0"/>
                <w:sz w:val="21"/>
                <w:szCs w:val="21"/>
                <w:u w:val="single" w:color="auto"/>
                <w:lang w:val="en-US" w:eastAsia="zh-CN" w:bidi="ar-SA"/>
                <w14:textFill>
                  <w14:solidFill>
                    <w14:schemeClr w14:val="tx1"/>
                  </w14:solidFill>
                </w14:textFill>
              </w:rPr>
              <w:t>氨氮</w:t>
            </w:r>
          </w:p>
        </w:tc>
        <w:tc>
          <w:tcPr>
            <w:tcW w:w="819" w:type="dxa"/>
            <w:vAlign w:val="center"/>
          </w:tcPr>
          <w:p w14:paraId="6378BB3F">
            <w:pPr>
              <w:widowControl w:val="0"/>
              <w:spacing w:line="240" w:lineRule="auto"/>
              <w:jc w:val="cente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t>SS</w:t>
            </w:r>
          </w:p>
        </w:tc>
        <w:tc>
          <w:tcPr>
            <w:tcW w:w="774" w:type="dxa"/>
            <w:vAlign w:val="center"/>
          </w:tcPr>
          <w:p w14:paraId="263632CD">
            <w:pPr>
              <w:widowControl w:val="0"/>
              <w:spacing w:line="240" w:lineRule="auto"/>
              <w:jc w:val="cente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b/>
                <w:bCs/>
                <w:color w:val="000000" w:themeColor="text1"/>
                <w:spacing w:val="1"/>
                <w:kern w:val="0"/>
                <w:sz w:val="21"/>
                <w:szCs w:val="21"/>
                <w:u w:val="single" w:color="auto"/>
                <w:lang w:val="en-US" w:eastAsia="zh-CN" w:bidi="ar-SA"/>
                <w14:textFill>
                  <w14:solidFill>
                    <w14:schemeClr w14:val="tx1"/>
                  </w14:solidFill>
                </w14:textFill>
              </w:rPr>
              <w:t>总磷</w:t>
            </w:r>
          </w:p>
        </w:tc>
        <w:tc>
          <w:tcPr>
            <w:tcW w:w="920" w:type="dxa"/>
            <w:vAlign w:val="center"/>
          </w:tcPr>
          <w:p w14:paraId="53B42E24">
            <w:pPr>
              <w:widowControl w:val="0"/>
              <w:spacing w:line="240" w:lineRule="auto"/>
              <w:jc w:val="cente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t>动植物油</w:t>
            </w:r>
          </w:p>
        </w:tc>
        <w:tc>
          <w:tcPr>
            <w:tcW w:w="926" w:type="dxa"/>
            <w:vAlign w:val="center"/>
          </w:tcPr>
          <w:p w14:paraId="0C303507">
            <w:pPr>
              <w:widowControl w:val="0"/>
              <w:spacing w:line="240" w:lineRule="auto"/>
              <w:jc w:val="cente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t>pH</w:t>
            </w:r>
          </w:p>
          <w:p w14:paraId="2774B204">
            <w:pPr>
              <w:widowControl w:val="0"/>
              <w:spacing w:line="240" w:lineRule="auto"/>
              <w:jc w:val="cente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b/>
                <w:bCs/>
                <w:color w:val="000000" w:themeColor="text1"/>
                <w:spacing w:val="1"/>
                <w:kern w:val="0"/>
                <w:sz w:val="21"/>
                <w:szCs w:val="21"/>
                <w:u w:val="single" w:color="auto"/>
                <w:lang w:val="en-US" w:eastAsia="zh-CN" w:bidi="ar-SA"/>
                <w14:textFill>
                  <w14:solidFill>
                    <w14:schemeClr w14:val="tx1"/>
                  </w14:solidFill>
                </w14:textFill>
              </w:rPr>
              <w:t>（无量纲）</w:t>
            </w:r>
          </w:p>
        </w:tc>
        <w:tc>
          <w:tcPr>
            <w:tcW w:w="784" w:type="dxa"/>
            <w:vAlign w:val="center"/>
          </w:tcPr>
          <w:p w14:paraId="0D79990D">
            <w:pPr>
              <w:widowControl w:val="0"/>
              <w:spacing w:line="240" w:lineRule="auto"/>
              <w:jc w:val="cente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t>色度</w:t>
            </w:r>
          </w:p>
          <w:p w14:paraId="712C1442">
            <w:pPr>
              <w:widowControl w:val="0"/>
              <w:spacing w:line="240" w:lineRule="auto"/>
              <w:jc w:val="center"/>
              <w:rPr>
                <w:rFonts w:hint="default" w:ascii="Times New Roman" w:hAnsi="Times New Roman" w:eastAsia="宋体" w:cs="Times New Roman"/>
                <w:b/>
                <w:bCs/>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b/>
                <w:bCs/>
                <w:color w:val="000000" w:themeColor="text1"/>
                <w:spacing w:val="1"/>
                <w:kern w:val="0"/>
                <w:sz w:val="21"/>
                <w:szCs w:val="21"/>
                <w:u w:val="single" w:color="auto"/>
                <w:lang w:val="en-US" w:eastAsia="zh-CN" w:bidi="ar-SA"/>
                <w14:textFill>
                  <w14:solidFill>
                    <w14:schemeClr w14:val="tx1"/>
                  </w14:solidFill>
                </w14:textFill>
              </w:rPr>
              <w:t>（倍）</w:t>
            </w:r>
          </w:p>
        </w:tc>
      </w:tr>
      <w:tr w14:paraId="2566613C">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55" w:type="dxa"/>
            <w:vMerge w:val="restart"/>
            <w:vAlign w:val="center"/>
          </w:tcPr>
          <w:p w14:paraId="3B66F1B7">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综合废水</w:t>
            </w:r>
          </w:p>
          <w:p w14:paraId="54C29B83">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2774.28t/a</w:t>
            </w:r>
          </w:p>
        </w:tc>
        <w:tc>
          <w:tcPr>
            <w:tcW w:w="1168" w:type="dxa"/>
            <w:vAlign w:val="center"/>
          </w:tcPr>
          <w:p w14:paraId="2E0922AE">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产生</w:t>
            </w:r>
          </w:p>
          <w:p w14:paraId="6CD77460">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浓度</w:t>
            </w:r>
          </w:p>
          <w:p w14:paraId="37B9BEC6">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（mg/L）</w:t>
            </w:r>
          </w:p>
        </w:tc>
        <w:tc>
          <w:tcPr>
            <w:tcW w:w="958" w:type="dxa"/>
            <w:vAlign w:val="center"/>
          </w:tcPr>
          <w:p w14:paraId="182501E3">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1342</w:t>
            </w:r>
          </w:p>
        </w:tc>
        <w:tc>
          <w:tcPr>
            <w:tcW w:w="864" w:type="dxa"/>
            <w:vAlign w:val="center"/>
          </w:tcPr>
          <w:p w14:paraId="106C07DE">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948</w:t>
            </w:r>
          </w:p>
        </w:tc>
        <w:tc>
          <w:tcPr>
            <w:tcW w:w="786" w:type="dxa"/>
            <w:vAlign w:val="center"/>
          </w:tcPr>
          <w:p w14:paraId="455C0852">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39.9</w:t>
            </w:r>
          </w:p>
        </w:tc>
        <w:tc>
          <w:tcPr>
            <w:tcW w:w="819" w:type="dxa"/>
            <w:vAlign w:val="center"/>
          </w:tcPr>
          <w:p w14:paraId="455576C5">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1200</w:t>
            </w:r>
          </w:p>
        </w:tc>
        <w:tc>
          <w:tcPr>
            <w:tcW w:w="774" w:type="dxa"/>
            <w:vAlign w:val="center"/>
          </w:tcPr>
          <w:p w14:paraId="52DFC5A9">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3.68</w:t>
            </w:r>
          </w:p>
        </w:tc>
        <w:tc>
          <w:tcPr>
            <w:tcW w:w="920" w:type="dxa"/>
            <w:vAlign w:val="center"/>
          </w:tcPr>
          <w:p w14:paraId="5E1B19EC">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47.8</w:t>
            </w:r>
          </w:p>
        </w:tc>
        <w:tc>
          <w:tcPr>
            <w:tcW w:w="926" w:type="dxa"/>
            <w:vAlign w:val="center"/>
          </w:tcPr>
          <w:p w14:paraId="77EED061">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u w:val="single" w:color="auto"/>
                <w:vertAlign w:val="baseline"/>
                <w:lang w:val="en-US" w:eastAsia="zh-CN"/>
                <w14:textFill>
                  <w14:solidFill>
                    <w14:schemeClr w14:val="tx1"/>
                  </w14:solidFill>
                </w14:textFill>
              </w:rPr>
              <w:t>7.6</w:t>
            </w:r>
            <w:r>
              <w:rPr>
                <w:rStyle w:val="69"/>
                <w:rFonts w:hint="default" w:ascii="Times New Roman" w:hAnsi="Times New Roman" w:eastAsia="宋体" w:cs="Times New Roman"/>
                <w:color w:val="000000" w:themeColor="text1"/>
                <w:u w:val="single" w:color="auto"/>
                <w:lang w:val="en-US" w:eastAsia="zh-CN" w:bidi="ar"/>
                <w14:textFill>
                  <w14:solidFill>
                    <w14:schemeClr w14:val="tx1"/>
                  </w14:solidFill>
                </w14:textFill>
              </w:rPr>
              <w:t>~</w:t>
            </w:r>
            <w:r>
              <w:rPr>
                <w:rFonts w:hint="default" w:ascii="Times New Roman" w:hAnsi="Times New Roman" w:cs="Times New Roman"/>
                <w:color w:val="000000" w:themeColor="text1"/>
                <w:kern w:val="0"/>
                <w:sz w:val="21"/>
                <w:szCs w:val="21"/>
                <w:highlight w:val="none"/>
                <w:u w:val="single" w:color="auto"/>
                <w:vertAlign w:val="baseline"/>
                <w:lang w:val="en-US" w:eastAsia="zh-CN"/>
                <w14:textFill>
                  <w14:solidFill>
                    <w14:schemeClr w14:val="tx1"/>
                  </w14:solidFill>
                </w14:textFill>
              </w:rPr>
              <w:t>7.8</w:t>
            </w:r>
          </w:p>
        </w:tc>
        <w:tc>
          <w:tcPr>
            <w:tcW w:w="784" w:type="dxa"/>
            <w:vAlign w:val="center"/>
          </w:tcPr>
          <w:p w14:paraId="48F563CA">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256</w:t>
            </w:r>
          </w:p>
        </w:tc>
      </w:tr>
      <w:tr w14:paraId="42BA6C8C">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055" w:type="dxa"/>
            <w:vMerge w:val="continue"/>
            <w:vAlign w:val="center"/>
          </w:tcPr>
          <w:p w14:paraId="192CCC7B">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p>
        </w:tc>
        <w:tc>
          <w:tcPr>
            <w:tcW w:w="1168" w:type="dxa"/>
            <w:vAlign w:val="center"/>
          </w:tcPr>
          <w:p w14:paraId="1A4528C7">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产生量</w:t>
            </w:r>
          </w:p>
          <w:p w14:paraId="4E0B5350">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（t/a）</w:t>
            </w:r>
          </w:p>
        </w:tc>
        <w:tc>
          <w:tcPr>
            <w:tcW w:w="958" w:type="dxa"/>
            <w:vAlign w:val="center"/>
          </w:tcPr>
          <w:p w14:paraId="39A11301">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3.723 </w:t>
            </w:r>
          </w:p>
        </w:tc>
        <w:tc>
          <w:tcPr>
            <w:tcW w:w="864" w:type="dxa"/>
            <w:vAlign w:val="center"/>
          </w:tcPr>
          <w:p w14:paraId="3F727CFF">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2.630 </w:t>
            </w:r>
          </w:p>
        </w:tc>
        <w:tc>
          <w:tcPr>
            <w:tcW w:w="786" w:type="dxa"/>
            <w:vAlign w:val="center"/>
          </w:tcPr>
          <w:p w14:paraId="7663B665">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0.111 </w:t>
            </w:r>
          </w:p>
        </w:tc>
        <w:tc>
          <w:tcPr>
            <w:tcW w:w="819" w:type="dxa"/>
            <w:vAlign w:val="center"/>
          </w:tcPr>
          <w:p w14:paraId="74784462">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3.329 </w:t>
            </w:r>
          </w:p>
        </w:tc>
        <w:tc>
          <w:tcPr>
            <w:tcW w:w="774" w:type="dxa"/>
            <w:vAlign w:val="center"/>
          </w:tcPr>
          <w:p w14:paraId="4921321A">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0.010 </w:t>
            </w:r>
          </w:p>
        </w:tc>
        <w:tc>
          <w:tcPr>
            <w:tcW w:w="920" w:type="dxa"/>
            <w:vAlign w:val="center"/>
          </w:tcPr>
          <w:p w14:paraId="0D9F0442">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0.133 </w:t>
            </w:r>
          </w:p>
        </w:tc>
        <w:tc>
          <w:tcPr>
            <w:tcW w:w="926" w:type="dxa"/>
            <w:vAlign w:val="center"/>
          </w:tcPr>
          <w:p w14:paraId="567289F7">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w:t>
            </w:r>
          </w:p>
        </w:tc>
        <w:tc>
          <w:tcPr>
            <w:tcW w:w="784" w:type="dxa"/>
            <w:vAlign w:val="center"/>
          </w:tcPr>
          <w:p w14:paraId="04783268">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w:t>
            </w:r>
          </w:p>
        </w:tc>
      </w:tr>
      <w:tr w14:paraId="21D27232">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55" w:type="dxa"/>
            <w:vMerge w:val="continue"/>
            <w:vAlign w:val="center"/>
          </w:tcPr>
          <w:p w14:paraId="26AADF05">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p>
        </w:tc>
        <w:tc>
          <w:tcPr>
            <w:tcW w:w="1168" w:type="dxa"/>
            <w:vAlign w:val="center"/>
          </w:tcPr>
          <w:p w14:paraId="2B725906">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处理</w:t>
            </w:r>
          </w:p>
          <w:p w14:paraId="74E6409C">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措施</w:t>
            </w:r>
          </w:p>
        </w:tc>
        <w:tc>
          <w:tcPr>
            <w:tcW w:w="6831" w:type="dxa"/>
            <w:gridSpan w:val="8"/>
            <w:vAlign w:val="center"/>
          </w:tcPr>
          <w:p w14:paraId="2088A454">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生活污水经隔油、化粪池处理后和生产废水一起经厂区内污水处理设施处理达标后经自建排水管（长度310m）排入青山河</w:t>
            </w:r>
          </w:p>
        </w:tc>
      </w:tr>
      <w:tr w14:paraId="08FBCE40">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055" w:type="dxa"/>
            <w:vMerge w:val="continue"/>
            <w:vAlign w:val="center"/>
          </w:tcPr>
          <w:p w14:paraId="6CCEC562">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p>
        </w:tc>
        <w:tc>
          <w:tcPr>
            <w:tcW w:w="1168" w:type="dxa"/>
            <w:vAlign w:val="center"/>
          </w:tcPr>
          <w:p w14:paraId="1FE9BE5B">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处理</w:t>
            </w:r>
          </w:p>
          <w:p w14:paraId="3486519D">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效率</w:t>
            </w:r>
          </w:p>
        </w:tc>
        <w:tc>
          <w:tcPr>
            <w:tcW w:w="958" w:type="dxa"/>
            <w:vAlign w:val="center"/>
          </w:tcPr>
          <w:p w14:paraId="228FE093">
            <w:pPr>
              <w:bidi w:val="0"/>
              <w:jc w:val="center"/>
              <w:rPr>
                <w:rFonts w:hint="default" w:ascii="Times New Roman" w:hAnsi="Times New Roman" w:cs="Times New Roman"/>
                <w:color w:val="000000" w:themeColor="text1"/>
                <w:sz w:val="21"/>
                <w:szCs w:val="21"/>
                <w:u w:val="singl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single" w:color="auto"/>
                <w:lang w:val="en-US" w:eastAsia="zh-CN"/>
                <w14:textFill>
                  <w14:solidFill>
                    <w14:schemeClr w14:val="tx1"/>
                  </w14:solidFill>
                </w14:textFill>
              </w:rPr>
              <w:t>96%</w:t>
            </w:r>
          </w:p>
        </w:tc>
        <w:tc>
          <w:tcPr>
            <w:tcW w:w="864" w:type="dxa"/>
            <w:vAlign w:val="center"/>
          </w:tcPr>
          <w:p w14:paraId="71062006">
            <w:pPr>
              <w:bidi w:val="0"/>
              <w:jc w:val="center"/>
              <w:rPr>
                <w:rFonts w:hint="default" w:ascii="Times New Roman" w:hAnsi="Times New Roman" w:cs="Times New Roman"/>
                <w:color w:val="000000" w:themeColor="text1"/>
                <w:sz w:val="21"/>
                <w:szCs w:val="21"/>
                <w:u w:val="singl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single" w:color="auto"/>
                <w:lang w:val="en-US" w:eastAsia="zh-CN"/>
                <w14:textFill>
                  <w14:solidFill>
                    <w14:schemeClr w14:val="tx1"/>
                  </w14:solidFill>
                </w14:textFill>
              </w:rPr>
              <w:t>97.5%</w:t>
            </w:r>
          </w:p>
        </w:tc>
        <w:tc>
          <w:tcPr>
            <w:tcW w:w="786" w:type="dxa"/>
            <w:vAlign w:val="center"/>
          </w:tcPr>
          <w:p w14:paraId="5AC18B97">
            <w:pPr>
              <w:bidi w:val="0"/>
              <w:jc w:val="center"/>
              <w:rPr>
                <w:rFonts w:hint="default" w:ascii="Times New Roman" w:hAnsi="Times New Roman" w:cs="Times New Roman"/>
                <w:color w:val="000000" w:themeColor="text1"/>
                <w:sz w:val="21"/>
                <w:szCs w:val="21"/>
                <w:u w:val="singl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single" w:color="auto"/>
                <w:lang w:val="en-US" w:eastAsia="zh-CN"/>
                <w14:textFill>
                  <w14:solidFill>
                    <w14:schemeClr w14:val="tx1"/>
                  </w14:solidFill>
                </w14:textFill>
              </w:rPr>
              <w:t>92.5%</w:t>
            </w:r>
          </w:p>
        </w:tc>
        <w:tc>
          <w:tcPr>
            <w:tcW w:w="819" w:type="dxa"/>
            <w:vAlign w:val="center"/>
          </w:tcPr>
          <w:p w14:paraId="3467BF97">
            <w:pPr>
              <w:bidi w:val="0"/>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99.55%</w:t>
            </w:r>
          </w:p>
        </w:tc>
        <w:tc>
          <w:tcPr>
            <w:tcW w:w="774" w:type="dxa"/>
            <w:vAlign w:val="center"/>
          </w:tcPr>
          <w:p w14:paraId="480A1E05">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88%</w:t>
            </w:r>
          </w:p>
        </w:tc>
        <w:tc>
          <w:tcPr>
            <w:tcW w:w="920" w:type="dxa"/>
            <w:vAlign w:val="center"/>
          </w:tcPr>
          <w:p w14:paraId="7A18C85A">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84%</w:t>
            </w:r>
          </w:p>
        </w:tc>
        <w:tc>
          <w:tcPr>
            <w:tcW w:w="926" w:type="dxa"/>
            <w:vAlign w:val="center"/>
          </w:tcPr>
          <w:p w14:paraId="1422B425">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w:t>
            </w:r>
          </w:p>
        </w:tc>
        <w:tc>
          <w:tcPr>
            <w:tcW w:w="784" w:type="dxa"/>
            <w:vAlign w:val="center"/>
          </w:tcPr>
          <w:p w14:paraId="16DFFC3F">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90%</w:t>
            </w:r>
          </w:p>
        </w:tc>
      </w:tr>
      <w:tr w14:paraId="5614A59B">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55" w:type="dxa"/>
            <w:vMerge w:val="continue"/>
            <w:vAlign w:val="center"/>
          </w:tcPr>
          <w:p w14:paraId="2BC81B71">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p>
        </w:tc>
        <w:tc>
          <w:tcPr>
            <w:tcW w:w="1168" w:type="dxa"/>
            <w:vAlign w:val="center"/>
          </w:tcPr>
          <w:p w14:paraId="182775A1">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排放</w:t>
            </w:r>
          </w:p>
          <w:p w14:paraId="76682D0F">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浓度</w:t>
            </w:r>
          </w:p>
          <w:p w14:paraId="0F37B816">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（mg/L）</w:t>
            </w:r>
          </w:p>
        </w:tc>
        <w:tc>
          <w:tcPr>
            <w:tcW w:w="958" w:type="dxa"/>
            <w:vAlign w:val="center"/>
          </w:tcPr>
          <w:p w14:paraId="1F1BFA41">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53.68</w:t>
            </w:r>
          </w:p>
        </w:tc>
        <w:tc>
          <w:tcPr>
            <w:tcW w:w="864" w:type="dxa"/>
            <w:vAlign w:val="center"/>
          </w:tcPr>
          <w:p w14:paraId="5EF386A8">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23.7</w:t>
            </w:r>
          </w:p>
        </w:tc>
        <w:tc>
          <w:tcPr>
            <w:tcW w:w="786" w:type="dxa"/>
            <w:vAlign w:val="center"/>
          </w:tcPr>
          <w:p w14:paraId="3160F1A3">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2.99</w:t>
            </w:r>
          </w:p>
        </w:tc>
        <w:tc>
          <w:tcPr>
            <w:tcW w:w="819" w:type="dxa"/>
            <w:vAlign w:val="center"/>
          </w:tcPr>
          <w:p w14:paraId="2BFFC7E0">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5.4</w:t>
            </w:r>
          </w:p>
        </w:tc>
        <w:tc>
          <w:tcPr>
            <w:tcW w:w="774" w:type="dxa"/>
            <w:vAlign w:val="center"/>
          </w:tcPr>
          <w:p w14:paraId="3622A81F">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0.44</w:t>
            </w:r>
          </w:p>
        </w:tc>
        <w:tc>
          <w:tcPr>
            <w:tcW w:w="920" w:type="dxa"/>
            <w:vAlign w:val="center"/>
          </w:tcPr>
          <w:p w14:paraId="0AB9E516">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7.648</w:t>
            </w:r>
          </w:p>
        </w:tc>
        <w:tc>
          <w:tcPr>
            <w:tcW w:w="926" w:type="dxa"/>
            <w:vAlign w:val="center"/>
          </w:tcPr>
          <w:p w14:paraId="1470C595">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w:t>
            </w:r>
          </w:p>
        </w:tc>
        <w:tc>
          <w:tcPr>
            <w:tcW w:w="784" w:type="dxa"/>
            <w:vAlign w:val="center"/>
          </w:tcPr>
          <w:p w14:paraId="1893F2D0">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25</w:t>
            </w:r>
          </w:p>
        </w:tc>
      </w:tr>
      <w:tr w14:paraId="024242F5">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055" w:type="dxa"/>
            <w:vMerge w:val="continue"/>
            <w:vAlign w:val="center"/>
          </w:tcPr>
          <w:p w14:paraId="0B31BF90">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p>
        </w:tc>
        <w:tc>
          <w:tcPr>
            <w:tcW w:w="1168" w:type="dxa"/>
            <w:vAlign w:val="center"/>
          </w:tcPr>
          <w:p w14:paraId="02E73095">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排放</w:t>
            </w: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量</w:t>
            </w:r>
          </w:p>
          <w:p w14:paraId="3FE027E3">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（t/a）</w:t>
            </w:r>
          </w:p>
        </w:tc>
        <w:tc>
          <w:tcPr>
            <w:tcW w:w="958" w:type="dxa"/>
            <w:vAlign w:val="center"/>
          </w:tcPr>
          <w:p w14:paraId="480A11C8">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 xml:space="preserve">0.149 </w:t>
            </w:r>
          </w:p>
        </w:tc>
        <w:tc>
          <w:tcPr>
            <w:tcW w:w="864" w:type="dxa"/>
            <w:vAlign w:val="center"/>
          </w:tcPr>
          <w:p w14:paraId="5195DF9C">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 xml:space="preserve">0.066 </w:t>
            </w:r>
          </w:p>
        </w:tc>
        <w:tc>
          <w:tcPr>
            <w:tcW w:w="786" w:type="dxa"/>
            <w:vAlign w:val="center"/>
          </w:tcPr>
          <w:p w14:paraId="35EF5D0F">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 xml:space="preserve">0.008 </w:t>
            </w:r>
          </w:p>
        </w:tc>
        <w:tc>
          <w:tcPr>
            <w:tcW w:w="819" w:type="dxa"/>
            <w:vAlign w:val="center"/>
          </w:tcPr>
          <w:p w14:paraId="38E652CC">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0.015 </w:t>
            </w:r>
          </w:p>
        </w:tc>
        <w:tc>
          <w:tcPr>
            <w:tcW w:w="774" w:type="dxa"/>
            <w:vAlign w:val="center"/>
          </w:tcPr>
          <w:p w14:paraId="6EE2FE29">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0.001</w:t>
            </w:r>
          </w:p>
        </w:tc>
        <w:tc>
          <w:tcPr>
            <w:tcW w:w="920" w:type="dxa"/>
            <w:vAlign w:val="center"/>
          </w:tcPr>
          <w:p w14:paraId="183E446C">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0.021 </w:t>
            </w:r>
          </w:p>
        </w:tc>
        <w:tc>
          <w:tcPr>
            <w:tcW w:w="926" w:type="dxa"/>
            <w:vAlign w:val="center"/>
          </w:tcPr>
          <w:p w14:paraId="662B3EB0">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w:t>
            </w:r>
          </w:p>
        </w:tc>
        <w:tc>
          <w:tcPr>
            <w:tcW w:w="784" w:type="dxa"/>
            <w:vAlign w:val="center"/>
          </w:tcPr>
          <w:p w14:paraId="37DB2163">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w:t>
            </w:r>
          </w:p>
        </w:tc>
      </w:tr>
      <w:tr w14:paraId="244738E0">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055" w:type="dxa"/>
            <w:vMerge w:val="restart"/>
            <w:vAlign w:val="center"/>
          </w:tcPr>
          <w:p w14:paraId="75A2CC13">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GB46817-2025直接排放限值</w:t>
            </w:r>
          </w:p>
        </w:tc>
        <w:tc>
          <w:tcPr>
            <w:tcW w:w="1168" w:type="dxa"/>
            <w:vAlign w:val="center"/>
          </w:tcPr>
          <w:p w14:paraId="15DE538F">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排放</w:t>
            </w: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浓度（mg/L）</w:t>
            </w:r>
          </w:p>
        </w:tc>
        <w:tc>
          <w:tcPr>
            <w:tcW w:w="958" w:type="dxa"/>
            <w:vAlign w:val="center"/>
          </w:tcPr>
          <w:p w14:paraId="00552035">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100</w:t>
            </w:r>
          </w:p>
        </w:tc>
        <w:tc>
          <w:tcPr>
            <w:tcW w:w="864" w:type="dxa"/>
            <w:vAlign w:val="center"/>
          </w:tcPr>
          <w:p w14:paraId="522C16D8">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30</w:t>
            </w:r>
          </w:p>
        </w:tc>
        <w:tc>
          <w:tcPr>
            <w:tcW w:w="786" w:type="dxa"/>
            <w:vAlign w:val="center"/>
          </w:tcPr>
          <w:p w14:paraId="7A52AA8D">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15</w:t>
            </w:r>
          </w:p>
        </w:tc>
        <w:tc>
          <w:tcPr>
            <w:tcW w:w="819" w:type="dxa"/>
            <w:vAlign w:val="center"/>
          </w:tcPr>
          <w:p w14:paraId="07D0BC4B">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70</w:t>
            </w:r>
          </w:p>
        </w:tc>
        <w:tc>
          <w:tcPr>
            <w:tcW w:w="774" w:type="dxa"/>
            <w:vAlign w:val="center"/>
          </w:tcPr>
          <w:p w14:paraId="197F0CFF">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1</w:t>
            </w:r>
          </w:p>
        </w:tc>
        <w:tc>
          <w:tcPr>
            <w:tcW w:w="920" w:type="dxa"/>
            <w:vAlign w:val="center"/>
          </w:tcPr>
          <w:p w14:paraId="0D8F66D1">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10</w:t>
            </w:r>
          </w:p>
        </w:tc>
        <w:tc>
          <w:tcPr>
            <w:tcW w:w="926" w:type="dxa"/>
            <w:vAlign w:val="center"/>
          </w:tcPr>
          <w:p w14:paraId="15A81CDC">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Style w:val="69"/>
                <w:rFonts w:hint="default" w:ascii="Times New Roman" w:hAnsi="Times New Roman" w:eastAsia="宋体" w:cs="Times New Roman"/>
                <w:color w:val="000000" w:themeColor="text1"/>
                <w:u w:val="single" w:color="auto"/>
                <w:lang w:val="en-US" w:eastAsia="zh-CN" w:bidi="ar"/>
                <w14:textFill>
                  <w14:solidFill>
                    <w14:schemeClr w14:val="tx1"/>
                  </w14:solidFill>
                </w14:textFill>
              </w:rPr>
              <w:t>6~9</w:t>
            </w:r>
          </w:p>
        </w:tc>
        <w:tc>
          <w:tcPr>
            <w:tcW w:w="784" w:type="dxa"/>
            <w:vAlign w:val="center"/>
          </w:tcPr>
          <w:p w14:paraId="083C1C8E">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50</w:t>
            </w:r>
          </w:p>
        </w:tc>
      </w:tr>
      <w:tr w14:paraId="1140B86C">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55" w:type="dxa"/>
            <w:vMerge w:val="continue"/>
            <w:vAlign w:val="center"/>
          </w:tcPr>
          <w:p w14:paraId="694A70C4">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p>
        </w:tc>
        <w:tc>
          <w:tcPr>
            <w:tcW w:w="1168" w:type="dxa"/>
            <w:vAlign w:val="center"/>
          </w:tcPr>
          <w:p w14:paraId="52E79B79">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排放</w:t>
            </w: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量</w:t>
            </w:r>
          </w:p>
          <w:p w14:paraId="07C3C105">
            <w:pPr>
              <w:widowControl w:val="0"/>
              <w:spacing w:line="240" w:lineRule="auto"/>
              <w:jc w:val="cente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kern w:val="0"/>
                <w:sz w:val="21"/>
                <w:szCs w:val="21"/>
                <w:u w:val="single" w:color="auto"/>
                <w:lang w:val="en-US" w:eastAsia="zh-CN" w:bidi="ar-SA"/>
                <w14:textFill>
                  <w14:solidFill>
                    <w14:schemeClr w14:val="tx1"/>
                  </w14:solidFill>
                </w14:textFill>
              </w:rPr>
              <w:t>（t/a）</w:t>
            </w:r>
          </w:p>
        </w:tc>
        <w:tc>
          <w:tcPr>
            <w:tcW w:w="958" w:type="dxa"/>
            <w:vAlign w:val="center"/>
          </w:tcPr>
          <w:p w14:paraId="0A429C82">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0.277 </w:t>
            </w:r>
          </w:p>
        </w:tc>
        <w:tc>
          <w:tcPr>
            <w:tcW w:w="864" w:type="dxa"/>
            <w:vAlign w:val="center"/>
          </w:tcPr>
          <w:p w14:paraId="20D1E469">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0.083 </w:t>
            </w:r>
          </w:p>
        </w:tc>
        <w:tc>
          <w:tcPr>
            <w:tcW w:w="786" w:type="dxa"/>
            <w:vAlign w:val="center"/>
          </w:tcPr>
          <w:p w14:paraId="4FAAE0E0">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0.042 </w:t>
            </w:r>
          </w:p>
        </w:tc>
        <w:tc>
          <w:tcPr>
            <w:tcW w:w="819" w:type="dxa"/>
            <w:vAlign w:val="center"/>
          </w:tcPr>
          <w:p w14:paraId="618ED259">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0.194 </w:t>
            </w:r>
          </w:p>
        </w:tc>
        <w:tc>
          <w:tcPr>
            <w:tcW w:w="774" w:type="dxa"/>
            <w:vAlign w:val="center"/>
          </w:tcPr>
          <w:p w14:paraId="4052C6B3">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0.003 </w:t>
            </w:r>
          </w:p>
        </w:tc>
        <w:tc>
          <w:tcPr>
            <w:tcW w:w="920" w:type="dxa"/>
            <w:vAlign w:val="center"/>
          </w:tcPr>
          <w:p w14:paraId="6E475583">
            <w:pPr>
              <w:keepNext w:val="0"/>
              <w:keepLines w:val="0"/>
              <w:widowControl/>
              <w:suppressLineNumbers w:val="0"/>
              <w:spacing w:line="240" w:lineRule="auto"/>
              <w:jc w:val="center"/>
              <w:textAlignment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0.028 </w:t>
            </w:r>
          </w:p>
        </w:tc>
        <w:tc>
          <w:tcPr>
            <w:tcW w:w="926" w:type="dxa"/>
            <w:vAlign w:val="center"/>
          </w:tcPr>
          <w:p w14:paraId="1FB5E128">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w:t>
            </w:r>
          </w:p>
        </w:tc>
        <w:tc>
          <w:tcPr>
            <w:tcW w:w="784" w:type="dxa"/>
            <w:vAlign w:val="center"/>
          </w:tcPr>
          <w:p w14:paraId="69A5D280">
            <w:pPr>
              <w:widowControl w:val="0"/>
              <w:spacing w:line="240" w:lineRule="auto"/>
              <w:jc w:val="cente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w:t>
            </w:r>
          </w:p>
        </w:tc>
      </w:tr>
    </w:tbl>
    <w:p w14:paraId="346557F5">
      <w:pPr>
        <w:keepNext w:val="0"/>
        <w:keepLines w:val="0"/>
        <w:pageBreakBefore w:val="0"/>
        <w:widowControl/>
        <w:kinsoku w:val="0"/>
        <w:wordWrap/>
        <w:overflowPunct/>
        <w:topLinePunct w:val="0"/>
        <w:autoSpaceDE w:val="0"/>
        <w:autoSpaceDN w:val="0"/>
        <w:bidi w:val="0"/>
        <w:adjustRightInd w:val="0"/>
        <w:snapToGrid w:val="0"/>
        <w:spacing w:line="360" w:lineRule="auto"/>
        <w:ind w:left="0"/>
        <w:jc w:val="both"/>
        <w:textAlignment w:val="baseline"/>
        <w:outlineLvl w:val="1"/>
        <w:rPr>
          <w:rFonts w:hint="eastAsia" w:ascii="Times New Roman" w:hAnsi="Times New Roman" w:eastAsia="宋体" w:cs="Times New Roman"/>
          <w:b/>
          <w:bCs/>
          <w:spacing w:val="-3"/>
          <w:sz w:val="28"/>
          <w:szCs w:val="28"/>
          <w:lang w:val="en-US" w:eastAsia="zh-CN"/>
        </w:rPr>
      </w:pPr>
      <w:r>
        <w:rPr>
          <w:rFonts w:hint="eastAsia" w:ascii="Times New Roman" w:hAnsi="Times New Roman" w:eastAsia="宋体" w:cs="Times New Roman"/>
          <w:b/>
          <w:bCs/>
          <w:spacing w:val="-3"/>
          <w:sz w:val="28"/>
          <w:szCs w:val="28"/>
          <w:lang w:val="en-US" w:eastAsia="zh-CN"/>
        </w:rPr>
        <w:t>3.4建设项目所在区域概况</w:t>
      </w:r>
      <w:bookmarkEnd w:id="78"/>
      <w:bookmarkEnd w:id="79"/>
    </w:p>
    <w:p w14:paraId="3BEEDA0E">
      <w:pPr>
        <w:pageBreakBefore w:val="0"/>
        <w:wordWrap/>
        <w:overflowPunct/>
        <w:topLinePunct w:val="0"/>
        <w:bidi w:val="0"/>
        <w:spacing w:line="360" w:lineRule="auto"/>
        <w:jc w:val="both"/>
        <w:outlineLvl w:val="2"/>
        <w:rPr>
          <w:rFonts w:ascii="Times New Roman" w:hAnsi="Times New Roman" w:eastAsia="宋体" w:cs="Times New Roman"/>
          <w:sz w:val="24"/>
          <w:szCs w:val="24"/>
          <w:lang w:eastAsia="zh-CN"/>
        </w:rPr>
      </w:pPr>
      <w:bookmarkStart w:id="80" w:name="_Toc15203"/>
      <w:bookmarkStart w:id="81" w:name="_Toc20389"/>
      <w:bookmarkStart w:id="82" w:name="_Toc24016"/>
      <w:r>
        <w:rPr>
          <w:rFonts w:ascii="Times New Roman" w:hAnsi="Times New Roman" w:eastAsia="宋体" w:cs="Times New Roman"/>
          <w:b/>
          <w:bCs/>
          <w:spacing w:val="-2"/>
          <w:sz w:val="24"/>
          <w:szCs w:val="24"/>
          <w:lang w:eastAsia="zh-CN"/>
        </w:rPr>
        <w:t>3.4.1地理位置及行政区划</w:t>
      </w:r>
      <w:bookmarkEnd w:id="80"/>
      <w:bookmarkEnd w:id="81"/>
      <w:bookmarkEnd w:id="82"/>
    </w:p>
    <w:p w14:paraId="03ACD19A">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cs="Times New Roman"/>
          <w:b w:val="0"/>
          <w:bCs/>
          <w:color w:val="000000" w:themeColor="text1"/>
          <w:spacing w:val="10"/>
          <w:sz w:val="24"/>
          <w:szCs w:val="24"/>
          <w:u w:val="none" w:color="auto"/>
          <w:lang w:val="en-US" w:eastAsia="zh-CN"/>
          <w14:textFill>
            <w14:solidFill>
              <w14:schemeClr w14:val="tx1"/>
            </w14:solidFill>
          </w14:textFill>
        </w:rPr>
      </w:pPr>
      <w:r>
        <w:rPr>
          <w:rFonts w:hint="default" w:ascii="Times New Roman" w:hAnsi="Times New Roman" w:cs="Times New Roman"/>
          <w:b w:val="0"/>
          <w:bCs/>
          <w:color w:val="000000" w:themeColor="text1"/>
          <w:spacing w:val="10"/>
          <w:sz w:val="24"/>
          <w:szCs w:val="24"/>
          <w:u w:val="none" w:color="auto"/>
          <w:lang w:val="en-US" w:eastAsia="zh-CN"/>
          <w14:textFill>
            <w14:solidFill>
              <w14:schemeClr w14:val="tx1"/>
            </w14:solidFill>
          </w14:textFill>
        </w:rPr>
        <w:t>湘潭县位于长江中游平原与江南丘陵的交错地带，湖南省中部偏东，湘江下游西岸，北纬27°20′00″~27°50′44″，东经112°25′30″~113°03′45″。东与株洲市天元区和株洲县相连，东南隔湘江与衡东县相望；南与衡山县接壤，西南与双峰县相邻；西与湘乡市接界，西北与韶山市毗连；北与宁乡市相接、与湘潭市雨湖区、岳塘区隔涟水、湘江相望。县域总面积2134平方公里。</w:t>
      </w:r>
    </w:p>
    <w:p w14:paraId="4F03EFEC">
      <w:pPr>
        <w:keepNext w:val="0"/>
        <w:keepLines w:val="0"/>
        <w:pageBreakBefore w:val="0"/>
        <w:widowControl w:val="0"/>
        <w:kinsoku/>
        <w:wordWrap/>
        <w:overflowPunct/>
        <w:topLinePunct w:val="0"/>
        <w:autoSpaceDE/>
        <w:autoSpaceDN/>
        <w:bidi w:val="0"/>
        <w:adjustRightInd/>
        <w:snapToGrid/>
        <w:spacing w:line="360" w:lineRule="auto"/>
        <w:ind w:firstLine="520" w:firstLineChars="200"/>
        <w:textAlignment w:val="auto"/>
        <w:outlineLvl w:val="9"/>
        <w:rPr>
          <w:rFonts w:hint="default" w:ascii="Times New Roman" w:hAnsi="Times New Roman" w:cs="Times New Roman"/>
          <w:b w:val="0"/>
          <w:bCs/>
          <w:color w:val="000000" w:themeColor="text1"/>
          <w:spacing w:val="10"/>
          <w:sz w:val="24"/>
          <w:szCs w:val="24"/>
          <w:u w:val="none" w:color="auto"/>
          <w:lang w:val="en-US" w:eastAsia="zh-CN"/>
          <w14:textFill>
            <w14:solidFill>
              <w14:schemeClr w14:val="tx1"/>
            </w14:solidFill>
          </w14:textFill>
        </w:rPr>
      </w:pPr>
      <w:bookmarkStart w:id="83" w:name="_Toc17861"/>
      <w:bookmarkStart w:id="84" w:name="_Toc20637"/>
      <w:bookmarkStart w:id="85" w:name="_Toc13689"/>
      <w:r>
        <w:rPr>
          <w:rFonts w:hint="default" w:ascii="Times New Roman" w:hAnsi="Times New Roman" w:cs="Times New Roman"/>
          <w:b w:val="0"/>
          <w:bCs/>
          <w:color w:val="000000" w:themeColor="text1"/>
          <w:spacing w:val="10"/>
          <w:sz w:val="24"/>
          <w:szCs w:val="24"/>
          <w:u w:val="none" w:color="auto"/>
          <w:lang w:val="en-US" w:eastAsia="zh-CN"/>
          <w14:textFill>
            <w14:solidFill>
              <w14:schemeClr w14:val="tx1"/>
            </w14:solidFill>
          </w14:textFill>
        </w:rPr>
        <w:t>本项目位于湘潭县石鼓镇垅塅村上田组，地理坐标为东经112.51866°，北纬27.51554°，具体位置详见附图</w:t>
      </w:r>
      <w:r>
        <w:rPr>
          <w:rFonts w:hint="eastAsia" w:ascii="Times New Roman" w:hAnsi="Times New Roman" w:cs="Times New Roman"/>
          <w:b w:val="0"/>
          <w:bCs/>
          <w:color w:val="000000" w:themeColor="text1"/>
          <w:spacing w:val="10"/>
          <w:sz w:val="24"/>
          <w:szCs w:val="24"/>
          <w:u w:val="none" w:color="auto"/>
          <w:lang w:val="en-US" w:eastAsia="zh-CN"/>
          <w14:textFill>
            <w14:solidFill>
              <w14:schemeClr w14:val="tx1"/>
            </w14:solidFill>
          </w14:textFill>
        </w:rPr>
        <w:t>。</w:t>
      </w:r>
    </w:p>
    <w:p w14:paraId="26202952">
      <w:pPr>
        <w:pageBreakBefore w:val="0"/>
        <w:wordWrap/>
        <w:overflowPunct/>
        <w:topLinePunct w:val="0"/>
        <w:bidi w:val="0"/>
        <w:spacing w:line="360" w:lineRule="auto"/>
        <w:jc w:val="both"/>
        <w:outlineLvl w:val="2"/>
        <w:rPr>
          <w:rFonts w:ascii="Times New Roman" w:hAnsi="Times New Roman" w:eastAsia="宋体" w:cs="Times New Roman"/>
          <w:b/>
          <w:bCs/>
          <w:spacing w:val="-2"/>
          <w:sz w:val="24"/>
          <w:szCs w:val="24"/>
          <w:lang w:eastAsia="zh-CN"/>
        </w:rPr>
      </w:pPr>
      <w:r>
        <w:rPr>
          <w:rFonts w:ascii="Times New Roman" w:hAnsi="Times New Roman" w:eastAsia="宋体" w:cs="Times New Roman"/>
          <w:b/>
          <w:bCs/>
          <w:spacing w:val="-2"/>
          <w:sz w:val="24"/>
          <w:szCs w:val="24"/>
          <w:lang w:eastAsia="zh-CN"/>
        </w:rPr>
        <w:t>3.4.2自然条件</w:t>
      </w:r>
      <w:bookmarkEnd w:id="83"/>
      <w:bookmarkEnd w:id="84"/>
      <w:bookmarkEnd w:id="85"/>
    </w:p>
    <w:p w14:paraId="18C8E639">
      <w:pPr>
        <w:pageBreakBefore w:val="0"/>
        <w:wordWrap/>
        <w:overflowPunct/>
        <w:topLinePunct w:val="0"/>
        <w:bidi w:val="0"/>
        <w:spacing w:line="360" w:lineRule="auto"/>
        <w:ind w:firstLine="468" w:firstLineChars="200"/>
        <w:jc w:val="both"/>
        <w:rPr>
          <w:rFonts w:ascii="Times New Roman" w:hAnsi="Times New Roman" w:eastAsia="宋体" w:cs="Times New Roman"/>
          <w:sz w:val="24"/>
          <w:szCs w:val="24"/>
          <w:lang w:eastAsia="zh-CN"/>
        </w:rPr>
      </w:pPr>
      <w:r>
        <w:rPr>
          <w:rFonts w:ascii="Times New Roman" w:hAnsi="Times New Roman" w:eastAsia="宋体" w:cs="Times New Roman"/>
          <w:spacing w:val="-3"/>
          <w:sz w:val="24"/>
          <w:szCs w:val="24"/>
          <w:lang w:eastAsia="zh-CN"/>
        </w:rPr>
        <w:t>（1）地形地貌</w:t>
      </w:r>
    </w:p>
    <w:p w14:paraId="4DCDE018">
      <w:pPr>
        <w:pageBreakBefore w:val="0"/>
        <w:wordWrap/>
        <w:overflowPunct/>
        <w:topLinePunct w:val="0"/>
        <w:bidi w:val="0"/>
        <w:spacing w:line="360" w:lineRule="auto"/>
        <w:ind w:firstLine="480" w:firstLineChars="200"/>
        <w:jc w:val="both"/>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地貌轮廓为西北、西南、东南三面高，中部和东北部低。最高为西南的昌山，海拔755.1米，最低为湘江沿岸原九华的万家塘，海拔33.2米，相对高差为721.9米，地势比降为10%，造成平原、岗地、丘陵、山地四种地貌具备，以平原、岗地为主。其中平原占湘潭县总面积的39.54%。岗地占35.21%。丘陵占18.61%。山地占6.64%。</w:t>
      </w:r>
    </w:p>
    <w:p w14:paraId="2E9C8A11">
      <w:pPr>
        <w:pageBreakBefore w:val="0"/>
        <w:wordWrap/>
        <w:overflowPunct/>
        <w:topLinePunct w:val="0"/>
        <w:bidi w:val="0"/>
        <w:spacing w:line="360" w:lineRule="auto"/>
        <w:ind w:firstLine="480" w:firstLineChars="200"/>
        <w:jc w:val="both"/>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县境属湘中丘陵，地势由西南向东北倾斜。西南部群山绵延，昌山为县境最高峰，海拔755.1米，系南岳七十二峰之一。西部乌石峰凌空耸峙，海拔437米，有“乌飞将近月，石乱欲撑天”之势。东南部晓霞山脉绵延南北50公里，云集天马山、琵琶山、晓霞山、紫荆山四座高峰。北部仙女山，海拔311米，层峦叠翠，秀色一方。县境中部沿涓水、北部沿涟水形成肥沃的河谷平原，东北由湘江、涓水、涟水汇注，形成湘潭盆地。</w:t>
      </w:r>
    </w:p>
    <w:p w14:paraId="58630184">
      <w:pPr>
        <w:pageBreakBefore w:val="0"/>
        <w:wordWrap/>
        <w:overflowPunct/>
        <w:topLinePunct w:val="0"/>
        <w:bidi w:val="0"/>
        <w:spacing w:line="360" w:lineRule="auto"/>
        <w:ind w:firstLine="480" w:firstLineChars="200"/>
        <w:jc w:val="both"/>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县内地质构造位于华南加里东——印支褶皱华北缘，湘东燕北块断带中西部。县内出露地层，除志留系外，均有分布，以白垩系为主，占总面积的29.5%，地层总厚度为13910余米。县内岩浆活动时期为早三叠系和晚侏罗系，生成歇马—偏山仑岩体和梅林桥镇白云一带的花岗岩类岩脉及其他地区零散分布的石英脉与花岗岩脉。</w:t>
      </w:r>
    </w:p>
    <w:p w14:paraId="2A41DC31">
      <w:pPr>
        <w:pageBreakBefore w:val="0"/>
        <w:wordWrap/>
        <w:overflowPunct/>
        <w:topLinePunct w:val="0"/>
        <w:bidi w:val="0"/>
        <w:spacing w:line="360" w:lineRule="auto"/>
        <w:ind w:firstLine="480" w:firstLineChars="200"/>
        <w:jc w:val="both"/>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根据国家质量技术监督局发布的《中国地震动参数区划图》（GB18306~2015），本项目所在区域地震动峰值加速度为0.05g，地震动反应谱物征周期为0.35S，地震基本烈度为Ⅵ度区，新构造运动对项目工程影响小。</w:t>
      </w:r>
    </w:p>
    <w:p w14:paraId="0399365A">
      <w:pPr>
        <w:pageBreakBefore w:val="0"/>
        <w:wordWrap/>
        <w:overflowPunct/>
        <w:topLinePunct w:val="0"/>
        <w:bidi w:val="0"/>
        <w:spacing w:line="360" w:lineRule="auto"/>
        <w:ind w:firstLine="468" w:firstLineChars="200"/>
        <w:jc w:val="both"/>
        <w:rPr>
          <w:rFonts w:ascii="Times New Roman" w:hAnsi="Times New Roman" w:eastAsia="宋体" w:cs="Times New Roman"/>
          <w:sz w:val="24"/>
          <w:szCs w:val="24"/>
          <w:lang w:eastAsia="zh-CN"/>
        </w:rPr>
      </w:pPr>
      <w:r>
        <w:rPr>
          <w:rFonts w:ascii="Times New Roman" w:hAnsi="Times New Roman" w:eastAsia="宋体" w:cs="Times New Roman"/>
          <w:spacing w:val="-3"/>
          <w:sz w:val="24"/>
          <w:szCs w:val="24"/>
          <w:lang w:eastAsia="zh-CN"/>
        </w:rPr>
        <w:t>（2）气候气象</w:t>
      </w:r>
    </w:p>
    <w:p w14:paraId="13568646">
      <w:pPr>
        <w:pageBreakBefore w:val="0"/>
        <w:wordWrap/>
        <w:overflowPunct/>
        <w:topLinePunct w:val="0"/>
        <w:bidi w:val="0"/>
        <w:spacing w:line="360" w:lineRule="auto"/>
        <w:ind w:firstLine="480" w:firstLineChars="200"/>
        <w:jc w:val="both"/>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湘潭县属亚热带季风湿润气候，冬夏两季长，春秋两季短，暑热期长，严寒期短，热量充足，雨水集中，光、温、水空间分布差异小，灾害性天气较多，具有明显的大陆性气候特征。年均温16.7-18.3℃，1月均温在5℃左右，7月均温在30℃左右，极端最高气温41.2℃，极端最低气温-12.1℃。年平均降水日150天，年平均降水量1300毫米。年均日照时数1584-1885小时，无霜期273天。</w:t>
      </w:r>
    </w:p>
    <w:p w14:paraId="712431EC">
      <w:pPr>
        <w:pageBreakBefore w:val="0"/>
        <w:wordWrap/>
        <w:overflowPunct/>
        <w:topLinePunct w:val="0"/>
        <w:bidi w:val="0"/>
        <w:spacing w:line="360" w:lineRule="auto"/>
        <w:ind w:firstLine="480" w:firstLineChars="200"/>
        <w:jc w:val="both"/>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湘潭县年平均气温一般在16.7~18.3℃之间。1月最冷，月平均气温一般在5℃左右。1991年极端低温为-12.1℃。7月最热，月平均气温一般在30℃左右，极端高温达41.2℃，冬夏温差24~25℃。年最低温度一般在-2℃~-8℃之间，年最高温度一般在39~40℃之间。县内年降水日，多年平均为150天左右，最多的年份曾达190天，最少的年份只125天，多年平均降水量为1300毫米左右，比全省多年平均降水量少5%左右。其中最多年降水量为1750.2毫米，最少年降水量只997.7毫米。</w:t>
      </w:r>
    </w:p>
    <w:p w14:paraId="73FB131E">
      <w:pPr>
        <w:pageBreakBefore w:val="0"/>
        <w:wordWrap/>
        <w:overflowPunct/>
        <w:topLinePunct w:val="0"/>
        <w:bidi w:val="0"/>
        <w:spacing w:line="360" w:lineRule="auto"/>
        <w:ind w:firstLine="480" w:firstLineChars="200"/>
        <w:jc w:val="both"/>
        <w:rPr>
          <w:rFonts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湘潭县平均日照总时数为1584~1885小时。7月份日照最多，2月最少。年际之间，差异颇大，最多年日照达2127.7小时，最少年为1449.5小时。境内春季和夏季多东南风，盛夏多南风，秋冬季多西北风。风速大于17米/秒，瞬间风力达8级以上，每年均有出现，年均7~8次，最大的风速为20米/秒。</w:t>
      </w:r>
    </w:p>
    <w:p w14:paraId="4269337C">
      <w:pPr>
        <w:pageBreakBefore w:val="0"/>
        <w:wordWrap/>
        <w:overflowPunct/>
        <w:topLinePunct w:val="0"/>
        <w:bidi w:val="0"/>
        <w:spacing w:line="360" w:lineRule="auto"/>
        <w:ind w:firstLine="464" w:firstLineChars="200"/>
        <w:jc w:val="both"/>
        <w:rPr>
          <w:rFonts w:ascii="Times New Roman" w:hAnsi="Times New Roman" w:eastAsia="宋体" w:cs="Times New Roman"/>
          <w:spacing w:val="-4"/>
          <w:sz w:val="24"/>
          <w:szCs w:val="24"/>
          <w:lang w:eastAsia="zh-CN"/>
        </w:rPr>
      </w:pPr>
      <w:r>
        <w:rPr>
          <w:rFonts w:ascii="Times New Roman" w:hAnsi="Times New Roman" w:eastAsia="宋体" w:cs="Times New Roman"/>
          <w:spacing w:val="-4"/>
          <w:sz w:val="24"/>
          <w:szCs w:val="24"/>
          <w:lang w:eastAsia="zh-CN"/>
        </w:rPr>
        <w:t>（3）水资源</w:t>
      </w:r>
    </w:p>
    <w:p w14:paraId="46416387">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湘江是区域的重要水源，也是纳污水体，位于本项目北面，距项目约3200m。湘江是长江水系的主要支流，发源于湖南省永州市蓝山县。湘江湘潭段从马家河起，至易家湾全长约46.3km，河流宽度400-800m，湘潭水文站控制湘江流域面积81638km</w:t>
      </w:r>
      <w:r>
        <w:rPr>
          <w:rFonts w:hint="default" w:ascii="Times New Roman" w:hAnsi="Times New Roman" w:eastAsia="宋体" w:cs="Times New Roman"/>
          <w:color w:val="auto"/>
          <w:sz w:val="24"/>
          <w:szCs w:val="24"/>
          <w:highlight w:val="none"/>
          <w:u w:val="none" w:color="auto"/>
          <w:vertAlign w:val="superscript"/>
          <w:lang w:val="en-US" w:eastAsia="zh-CN"/>
        </w:rPr>
        <w:t>2</w:t>
      </w:r>
      <w:r>
        <w:rPr>
          <w:rFonts w:hint="default" w:ascii="Times New Roman" w:hAnsi="Times New Roman" w:eastAsia="宋体" w:cs="Times New Roman"/>
          <w:color w:val="auto"/>
          <w:sz w:val="24"/>
          <w:szCs w:val="24"/>
          <w:highlight w:val="none"/>
          <w:u w:val="none" w:color="auto"/>
          <w:lang w:val="en-US" w:eastAsia="zh-CN"/>
        </w:rPr>
        <w:t>。湘江多年平均流量2126m</w:t>
      </w:r>
      <w:r>
        <w:rPr>
          <w:rFonts w:hint="default" w:ascii="Times New Roman" w:hAnsi="Times New Roman" w:eastAsia="宋体" w:cs="Times New Roman"/>
          <w:color w:val="auto"/>
          <w:sz w:val="24"/>
          <w:szCs w:val="24"/>
          <w:highlight w:val="none"/>
          <w:u w:val="none" w:color="auto"/>
          <w:vertAlign w:val="superscript"/>
          <w:lang w:val="en-US" w:eastAsia="zh-CN"/>
        </w:rPr>
        <w:t>3</w:t>
      </w:r>
      <w:r>
        <w:rPr>
          <w:rFonts w:hint="default" w:ascii="Times New Roman" w:hAnsi="Times New Roman" w:eastAsia="宋体" w:cs="Times New Roman"/>
          <w:color w:val="auto"/>
          <w:sz w:val="24"/>
          <w:szCs w:val="24"/>
          <w:highlight w:val="none"/>
          <w:u w:val="none" w:color="auto"/>
          <w:lang w:val="en-US" w:eastAsia="zh-CN"/>
        </w:rPr>
        <w:t>/s，最大洪峰流量21100m</w:t>
      </w:r>
      <w:r>
        <w:rPr>
          <w:rFonts w:hint="default" w:ascii="Times New Roman" w:hAnsi="Times New Roman" w:eastAsia="宋体" w:cs="Times New Roman"/>
          <w:color w:val="auto"/>
          <w:sz w:val="24"/>
          <w:szCs w:val="24"/>
          <w:highlight w:val="none"/>
          <w:u w:val="none" w:color="auto"/>
          <w:vertAlign w:val="superscript"/>
          <w:lang w:val="en-US" w:eastAsia="zh-CN"/>
        </w:rPr>
        <w:t>3</w:t>
      </w:r>
      <w:r>
        <w:rPr>
          <w:rFonts w:hint="default" w:ascii="Times New Roman" w:hAnsi="Times New Roman" w:eastAsia="宋体" w:cs="Times New Roman"/>
          <w:color w:val="auto"/>
          <w:sz w:val="24"/>
          <w:szCs w:val="24"/>
          <w:highlight w:val="none"/>
          <w:u w:val="none" w:color="auto"/>
          <w:lang w:val="en-US" w:eastAsia="zh-CN"/>
        </w:rPr>
        <w:t>/s，最高洪峰水位41.95m（1994年6月18日），最低水位26.06m（2011年12月21日），多年平均水位31.0m。丰水期为4月~7月，枯水期从12月~翌年2月，河床地质为泥沙间有卵石，比降为0.045‰。</w:t>
      </w:r>
    </w:p>
    <w:p w14:paraId="23CE8284">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涓水为湘江一级支流，发源于双峰县昌山（九峰山），流经衡山县新桥、白果，自湘潭县青山桥镇晓南港处进入湘潭市境内，流经青山桥、花石、排头、锦石、射埠、河口、易俗河镇，在河口镇卓江村挂嘴洲处汇入湘江。流域面积1764km</w:t>
      </w:r>
      <w:r>
        <w:rPr>
          <w:rFonts w:hint="default" w:ascii="Times New Roman" w:hAnsi="Times New Roman" w:eastAsia="宋体" w:cs="Times New Roman"/>
          <w:color w:val="auto"/>
          <w:sz w:val="24"/>
          <w:szCs w:val="24"/>
          <w:highlight w:val="none"/>
          <w:u w:val="none" w:color="auto"/>
          <w:vertAlign w:val="superscript"/>
          <w:lang w:val="en-US" w:eastAsia="zh-CN"/>
        </w:rPr>
        <w:t>2</w:t>
      </w:r>
      <w:r>
        <w:rPr>
          <w:rFonts w:hint="default" w:ascii="Times New Roman" w:hAnsi="Times New Roman" w:eastAsia="宋体" w:cs="Times New Roman"/>
          <w:color w:val="auto"/>
          <w:sz w:val="24"/>
          <w:szCs w:val="24"/>
          <w:highlight w:val="none"/>
          <w:u w:val="none" w:color="auto"/>
          <w:lang w:val="en-US" w:eastAsia="zh-CN"/>
        </w:rPr>
        <w:t>，其中汇集市内流域面积1070km</w:t>
      </w:r>
      <w:r>
        <w:rPr>
          <w:rFonts w:hint="default" w:ascii="Times New Roman" w:hAnsi="Times New Roman" w:eastAsia="宋体" w:cs="Times New Roman"/>
          <w:color w:val="auto"/>
          <w:sz w:val="24"/>
          <w:szCs w:val="24"/>
          <w:highlight w:val="none"/>
          <w:u w:val="none" w:color="auto"/>
          <w:vertAlign w:val="superscript"/>
          <w:lang w:val="en-US" w:eastAsia="zh-CN"/>
        </w:rPr>
        <w:t>2</w:t>
      </w:r>
      <w:r>
        <w:rPr>
          <w:rFonts w:hint="default" w:ascii="Times New Roman" w:hAnsi="Times New Roman" w:eastAsia="宋体" w:cs="Times New Roman"/>
          <w:color w:val="auto"/>
          <w:sz w:val="24"/>
          <w:szCs w:val="24"/>
          <w:highlight w:val="none"/>
          <w:u w:val="none" w:color="auto"/>
          <w:lang w:val="en-US" w:eastAsia="zh-CN"/>
        </w:rPr>
        <w:t>，流入境内的客水面积为694.0km</w:t>
      </w:r>
      <w:r>
        <w:rPr>
          <w:rFonts w:hint="default" w:ascii="Times New Roman" w:hAnsi="Times New Roman" w:eastAsia="宋体" w:cs="Times New Roman"/>
          <w:color w:val="auto"/>
          <w:sz w:val="24"/>
          <w:szCs w:val="24"/>
          <w:highlight w:val="none"/>
          <w:u w:val="none" w:color="auto"/>
          <w:vertAlign w:val="superscript"/>
          <w:lang w:val="en-US" w:eastAsia="zh-CN"/>
        </w:rPr>
        <w:t>2</w:t>
      </w:r>
      <w:r>
        <w:rPr>
          <w:rFonts w:hint="default" w:ascii="Times New Roman" w:hAnsi="Times New Roman" w:eastAsia="宋体" w:cs="Times New Roman"/>
          <w:color w:val="auto"/>
          <w:sz w:val="24"/>
          <w:szCs w:val="24"/>
          <w:highlight w:val="none"/>
          <w:u w:val="none" w:color="auto"/>
          <w:lang w:val="en-US" w:eastAsia="zh-CN"/>
        </w:rPr>
        <w:t>。干流长度103km左右，以衡山新桥墩为上游，长约30km，河道弯曲陡峭，从新桥至吟江为中游，河道趋于平缓，从吟江以下为下游。河道湘潭境内为65km，占河道全长63.6%，河流平均坡降0.82‰，湘潭县境内河段平均坡降约为0.32‰。涓水多年平均流量为32.691m</w:t>
      </w:r>
      <w:r>
        <w:rPr>
          <w:rFonts w:hint="default" w:ascii="Times New Roman" w:hAnsi="Times New Roman" w:eastAsia="宋体" w:cs="Times New Roman"/>
          <w:color w:val="auto"/>
          <w:sz w:val="24"/>
          <w:szCs w:val="24"/>
          <w:highlight w:val="none"/>
          <w:u w:val="none" w:color="auto"/>
          <w:vertAlign w:val="superscript"/>
          <w:lang w:val="en-US" w:eastAsia="zh-CN"/>
        </w:rPr>
        <w:t>3</w:t>
      </w:r>
      <w:r>
        <w:rPr>
          <w:rFonts w:hint="default" w:ascii="Times New Roman" w:hAnsi="Times New Roman" w:eastAsia="宋体" w:cs="Times New Roman"/>
          <w:color w:val="auto"/>
          <w:sz w:val="24"/>
          <w:szCs w:val="24"/>
          <w:highlight w:val="none"/>
          <w:u w:val="none" w:color="auto"/>
          <w:lang w:val="en-US" w:eastAsia="zh-CN"/>
        </w:rPr>
        <w:t>/s，多年平均径流量为9.32亿m</w:t>
      </w:r>
      <w:r>
        <w:rPr>
          <w:rFonts w:hint="default" w:ascii="Times New Roman" w:hAnsi="Times New Roman" w:eastAsia="宋体" w:cs="Times New Roman"/>
          <w:color w:val="auto"/>
          <w:sz w:val="24"/>
          <w:szCs w:val="24"/>
          <w:highlight w:val="none"/>
          <w:u w:val="none" w:color="auto"/>
          <w:vertAlign w:val="superscript"/>
          <w:lang w:val="en-US" w:eastAsia="zh-CN"/>
        </w:rPr>
        <w:t>3</w:t>
      </w:r>
      <w:r>
        <w:rPr>
          <w:rFonts w:hint="default" w:ascii="Times New Roman" w:hAnsi="Times New Roman" w:eastAsia="宋体" w:cs="Times New Roman"/>
          <w:color w:val="auto"/>
          <w:sz w:val="24"/>
          <w:szCs w:val="24"/>
          <w:highlight w:val="none"/>
          <w:u w:val="none" w:color="auto"/>
          <w:lang w:val="en-US" w:eastAsia="zh-CN"/>
        </w:rPr>
        <w:t>。</w:t>
      </w:r>
    </w:p>
    <w:p w14:paraId="39176902">
      <w:pPr>
        <w:pageBreakBefore w:val="0"/>
        <w:wordWrap/>
        <w:overflowPunct/>
        <w:topLinePunct w:val="0"/>
        <w:bidi w:val="0"/>
        <w:spacing w:line="360" w:lineRule="auto"/>
        <w:ind w:firstLine="480" w:firstLineChars="200"/>
        <w:jc w:val="both"/>
        <w:outlineLvl w:val="2"/>
        <w:rPr>
          <w:rFonts w:hint="eastAsia" w:ascii="Times New Roman" w:hAnsi="Times New Roman" w:eastAsia="宋体" w:cs="Times New Roman"/>
          <w:b/>
          <w:bCs/>
          <w:spacing w:val="-2"/>
          <w:sz w:val="24"/>
          <w:szCs w:val="24"/>
          <w:lang w:eastAsia="zh-CN"/>
        </w:rPr>
      </w:pPr>
      <w:bookmarkStart w:id="86" w:name="_Toc7455"/>
      <w:bookmarkStart w:id="87" w:name="_Toc5123"/>
      <w:bookmarkStart w:id="88" w:name="_Toc22462"/>
      <w:bookmarkStart w:id="89" w:name="_Toc1316"/>
      <w:bookmarkStart w:id="90" w:name="_Toc10548"/>
      <w:bookmarkStart w:id="91" w:name="_Toc11470"/>
      <w:r>
        <w:rPr>
          <w:rFonts w:hint="default" w:ascii="Times New Roman" w:hAnsi="Times New Roman" w:eastAsia="宋体" w:cs="Times New Roman"/>
          <w:color w:val="auto"/>
          <w:sz w:val="24"/>
          <w:szCs w:val="24"/>
          <w:highlight w:val="none"/>
          <w:u w:val="none" w:color="auto"/>
          <w:lang w:val="en-US" w:eastAsia="zh-CN"/>
        </w:rPr>
        <w:t>本项目直接纳污水体为项目区西南侧青山河，青山河是涓水一级支流，发源于湘潭县石鼓镇歇马村铜梁水库，由铜梁水库溢洪道下泄，及泄洪渠尾渠延伸，汇集周边小水系，与歇马河汇流后形成青山河，青山河流经歇马村、沿红、路口、福宵、海南、石鼓、明道、高屯、马栏坝、观元、三富、扶冲、松柏、晓南村等地，在晓南村晓南坝处汇入涓水，总流域面积282km，河道全长27km。河道平均宽度25m，河道总落差104m，平均比降为0.42%，灌溉农田1.78万多亩。</w:t>
      </w:r>
      <w:r>
        <w:rPr>
          <w:rFonts w:hint="eastAsia" w:ascii="Times New Roman" w:hAnsi="Times New Roman" w:eastAsia="宋体" w:cs="Times New Roman"/>
          <w:b/>
          <w:bCs/>
          <w:spacing w:val="-2"/>
          <w:sz w:val="24"/>
          <w:szCs w:val="24"/>
          <w:lang w:eastAsia="zh-CN"/>
        </w:rPr>
        <w:t>3</w:t>
      </w:r>
      <w:r>
        <w:rPr>
          <w:rFonts w:ascii="Times New Roman" w:hAnsi="Times New Roman" w:eastAsia="宋体" w:cs="Times New Roman"/>
          <w:b/>
          <w:bCs/>
          <w:spacing w:val="-2"/>
          <w:sz w:val="24"/>
          <w:szCs w:val="24"/>
          <w:lang w:eastAsia="zh-CN"/>
        </w:rPr>
        <w:t>.4</w:t>
      </w:r>
      <w:bookmarkEnd w:id="86"/>
      <w:bookmarkEnd w:id="87"/>
      <w:r>
        <w:rPr>
          <w:rFonts w:hint="eastAsia" w:ascii="Times New Roman" w:hAnsi="Times New Roman" w:eastAsia="宋体" w:cs="Times New Roman"/>
          <w:b/>
          <w:bCs/>
          <w:spacing w:val="-2"/>
          <w:sz w:val="24"/>
          <w:szCs w:val="24"/>
          <w:lang w:eastAsia="zh-CN"/>
        </w:rPr>
        <w:t>.3</w:t>
      </w:r>
      <w:bookmarkEnd w:id="88"/>
      <w:r>
        <w:rPr>
          <w:rFonts w:hint="eastAsia" w:ascii="Times New Roman" w:hAnsi="Times New Roman" w:eastAsia="宋体" w:cs="Times New Roman"/>
          <w:b/>
          <w:bCs/>
          <w:spacing w:val="-2"/>
          <w:sz w:val="24"/>
          <w:szCs w:val="24"/>
          <w:lang w:eastAsia="zh-CN"/>
        </w:rPr>
        <w:t>生物资源</w:t>
      </w:r>
      <w:bookmarkEnd w:id="89"/>
      <w:bookmarkEnd w:id="90"/>
      <w:bookmarkEnd w:id="91"/>
    </w:p>
    <w:p w14:paraId="0392D614">
      <w:pPr>
        <w:autoSpaceDE w:val="0"/>
        <w:autoSpaceDN w:val="0"/>
        <w:snapToGrid w:val="0"/>
        <w:spacing w:line="360" w:lineRule="auto"/>
        <w:ind w:firstLine="480" w:firstLineChars="200"/>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湘潭县属中亚热带东部常绿阔叶林亚林带，按植被区系划分，属华中偏东亚系。过去对天然植被利用不当，致使现皆为次生植被或人工植被。次生植被的组成主要有壳斗科、樟科、山茶科等；人工植被的组成主要有用材林、油茶经济林及沼泽性水上植物等群落。县境内野生植物资源较为丰富，名目较多，主要有林木类、竹类、药用植物类、花卉类等数百个品种。</w:t>
      </w:r>
    </w:p>
    <w:p w14:paraId="710134A6">
      <w:pPr>
        <w:autoSpaceDE w:val="0"/>
        <w:autoSpaceDN w:val="0"/>
        <w:snapToGrid w:val="0"/>
        <w:spacing w:line="360" w:lineRule="auto"/>
        <w:ind w:firstLine="480" w:firstLineChars="200"/>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湘潭县野生动物属亚热带林灌丛草地农田动物群，常见的野生动物有鼠、野兔等6个种；禽类有麻雀、野鸡等22个种；鳞类有鲤、鲢等40多个种；介类有龟、蟹等6个种；昆虫类有蜘蛛、蝉等46个种；无脊椎类有蜗牛、蚯蚓等6个种；脊椎爬行类有眼镜蛇、水蛇等14个种；两栖类有泥蛙、泽蛙等5个种。</w:t>
      </w:r>
    </w:p>
    <w:p w14:paraId="307DB634">
      <w:pPr>
        <w:bidi w:val="0"/>
        <w:rPr>
          <w:rFonts w:hint="eastAsia"/>
          <w:lang w:eastAsia="zh-CN"/>
        </w:rPr>
        <w:sectPr>
          <w:footerReference r:id="rId7" w:type="default"/>
          <w:pgSz w:w="11905" w:h="16838"/>
          <w:pgMar w:top="1440" w:right="1803" w:bottom="1440" w:left="1803" w:header="828" w:footer="794" w:gutter="0"/>
          <w:pgNumType w:fmt="decimal"/>
          <w:cols w:space="0" w:num="1"/>
          <w:rtlGutter w:val="0"/>
          <w:docGrid w:linePitch="0" w:charSpace="0"/>
        </w:sectPr>
      </w:pPr>
    </w:p>
    <w:p w14:paraId="5301CFAE">
      <w:pPr>
        <w:keepNext w:val="0"/>
        <w:keepLines w:val="0"/>
        <w:pageBreakBefore w:val="0"/>
        <w:widowControl/>
        <w:kinsoku w:val="0"/>
        <w:wordWrap/>
        <w:overflowPunct/>
        <w:topLinePunct w:val="0"/>
        <w:autoSpaceDE w:val="0"/>
        <w:autoSpaceDN w:val="0"/>
        <w:bidi w:val="0"/>
        <w:adjustRightInd w:val="0"/>
        <w:snapToGrid w:val="0"/>
        <w:spacing w:before="334" w:line="360" w:lineRule="auto"/>
        <w:jc w:val="center"/>
        <w:textAlignment w:val="baseline"/>
        <w:outlineLvl w:val="0"/>
        <w:rPr>
          <w:rFonts w:hint="default" w:ascii="Times New Roman" w:hAnsi="Times New Roman" w:eastAsia="宋体" w:cs="Times New Roman"/>
          <w:b/>
          <w:bCs/>
          <w:spacing w:val="6"/>
          <w:sz w:val="31"/>
          <w:szCs w:val="31"/>
          <w:lang w:eastAsia="zh-CN"/>
        </w:rPr>
      </w:pPr>
      <w:bookmarkStart w:id="92" w:name="_Toc10576"/>
      <w:bookmarkStart w:id="93" w:name="_Toc14146"/>
      <w:r>
        <w:rPr>
          <w:rFonts w:hint="default" w:ascii="Times New Roman" w:hAnsi="Times New Roman" w:eastAsia="宋体" w:cs="Times New Roman"/>
          <w:b/>
          <w:bCs/>
          <w:spacing w:val="6"/>
          <w:sz w:val="31"/>
          <w:szCs w:val="31"/>
          <w:lang w:eastAsia="zh-CN"/>
        </w:rPr>
        <w:t>4水生态环境现状调查分析</w:t>
      </w:r>
      <w:bookmarkEnd w:id="92"/>
      <w:bookmarkEnd w:id="93"/>
    </w:p>
    <w:p w14:paraId="7C6A21FF">
      <w:pPr>
        <w:keepNext w:val="0"/>
        <w:keepLines w:val="0"/>
        <w:pageBreakBefore w:val="0"/>
        <w:wordWrap/>
        <w:overflowPunct/>
        <w:topLinePunct w:val="0"/>
        <w:bidi w:val="0"/>
        <w:spacing w:line="360" w:lineRule="auto"/>
        <w:ind w:left="0"/>
        <w:jc w:val="both"/>
        <w:outlineLvl w:val="1"/>
        <w:rPr>
          <w:rFonts w:ascii="宋体" w:hAnsi="宋体" w:eastAsia="宋体" w:cs="宋体"/>
          <w:sz w:val="28"/>
          <w:szCs w:val="28"/>
          <w:lang w:eastAsia="zh-CN"/>
        </w:rPr>
      </w:pPr>
      <w:bookmarkStart w:id="94" w:name="_Toc3688"/>
      <w:bookmarkStart w:id="95" w:name="_Toc30275"/>
      <w:r>
        <w:rPr>
          <w:rFonts w:ascii="Times New Roman" w:hAnsi="Times New Roman" w:eastAsia="Times New Roman" w:cs="Times New Roman"/>
          <w:b/>
          <w:bCs/>
          <w:spacing w:val="-2"/>
          <w:sz w:val="28"/>
          <w:szCs w:val="28"/>
          <w:lang w:eastAsia="zh-CN"/>
        </w:rPr>
        <w:t>4.1</w:t>
      </w:r>
      <w:r>
        <w:rPr>
          <w:rFonts w:hint="eastAsia" w:ascii="宋体" w:hAnsi="宋体" w:eastAsia="宋体" w:cs="宋体"/>
          <w:b/>
          <w:bCs/>
          <w:spacing w:val="-2"/>
          <w:sz w:val="28"/>
          <w:szCs w:val="28"/>
          <w:lang w:eastAsia="zh-CN"/>
        </w:rPr>
        <w:t>水功能区管理要求和现有取排水状况</w:t>
      </w:r>
      <w:bookmarkEnd w:id="94"/>
      <w:bookmarkEnd w:id="95"/>
    </w:p>
    <w:p w14:paraId="4256A3A3">
      <w:pPr>
        <w:pageBreakBefore w:val="0"/>
        <w:wordWrap/>
        <w:overflowPunct/>
        <w:topLinePunct w:val="0"/>
        <w:bidi w:val="0"/>
        <w:spacing w:line="360" w:lineRule="auto"/>
        <w:jc w:val="both"/>
        <w:outlineLvl w:val="2"/>
        <w:rPr>
          <w:rFonts w:hint="eastAsia" w:ascii="Times New Roman" w:hAnsi="Times New Roman" w:eastAsia="宋体" w:cs="Times New Roman"/>
          <w:b/>
          <w:bCs/>
          <w:spacing w:val="-2"/>
          <w:sz w:val="24"/>
          <w:szCs w:val="24"/>
          <w:lang w:eastAsia="zh-CN"/>
        </w:rPr>
      </w:pPr>
      <w:bookmarkStart w:id="96" w:name="_Toc3383"/>
      <w:bookmarkStart w:id="97" w:name="_Toc6259"/>
      <w:bookmarkStart w:id="98" w:name="_Toc18951"/>
      <w:bookmarkStart w:id="99" w:name="_Toc22670"/>
      <w:r>
        <w:rPr>
          <w:rFonts w:hint="eastAsia" w:ascii="Times New Roman" w:hAnsi="Times New Roman" w:eastAsia="宋体" w:cs="Times New Roman"/>
          <w:b/>
          <w:bCs/>
          <w:spacing w:val="-2"/>
          <w:sz w:val="24"/>
          <w:szCs w:val="24"/>
          <w:lang w:val="en-US" w:eastAsia="zh-CN"/>
        </w:rPr>
        <w:t>4.1.1</w:t>
      </w:r>
      <w:r>
        <w:rPr>
          <w:rFonts w:hint="eastAsia" w:ascii="Times New Roman" w:hAnsi="Times New Roman" w:eastAsia="宋体" w:cs="Times New Roman"/>
          <w:b/>
          <w:bCs/>
          <w:spacing w:val="-2"/>
          <w:sz w:val="24"/>
          <w:szCs w:val="24"/>
          <w:lang w:eastAsia="zh-CN"/>
        </w:rPr>
        <w:t>水功能区保护水质管理目标与要求</w:t>
      </w:r>
      <w:bookmarkEnd w:id="96"/>
      <w:bookmarkEnd w:id="97"/>
      <w:bookmarkEnd w:id="98"/>
    </w:p>
    <w:p w14:paraId="31008017">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outlineLvl w:val="1"/>
        <w:rPr>
          <w:rFonts w:ascii="Times New Roman" w:hAnsi="Times New Roman" w:eastAsia="宋体" w:cs="Times New Roman"/>
          <w:kern w:val="2"/>
          <w:sz w:val="24"/>
          <w:lang w:eastAsia="zh-CN"/>
        </w:rPr>
      </w:pPr>
      <w:bookmarkStart w:id="100" w:name="_Toc30607"/>
      <w:bookmarkStart w:id="101" w:name="_Toc32215"/>
      <w:bookmarkStart w:id="102" w:name="_Toc26304"/>
      <w:r>
        <w:rPr>
          <w:rFonts w:hint="eastAsia" w:ascii="Times New Roman" w:hAnsi="Times New Roman" w:eastAsia="宋体" w:cs="Times New Roman"/>
          <w:kern w:val="2"/>
          <w:sz w:val="24"/>
          <w:lang w:eastAsia="zh-CN"/>
        </w:rPr>
        <w:t>水功能区，是指为满足水资源合理开发和有效保护的需求，根据水资源的自然条件、功能要求、开发利用现状，按照流域综合规划、水资源保护规划和经济社会发展要求，在相应水域按其主导功能划定并执行相应质量标准的特定区域。水功能区分为水功能一级区和水功能二级区。</w:t>
      </w:r>
      <w:bookmarkEnd w:id="100"/>
      <w:bookmarkEnd w:id="101"/>
      <w:bookmarkEnd w:id="102"/>
    </w:p>
    <w:bookmarkEnd w:id="99"/>
    <w:p w14:paraId="21D123DA">
      <w:pPr>
        <w:keepNext w:val="0"/>
        <w:keepLines w:val="0"/>
        <w:pageBreakBefore w:val="0"/>
        <w:wordWrap/>
        <w:overflowPunct/>
        <w:topLinePunct w:val="0"/>
        <w:bidi w:val="0"/>
        <w:spacing w:line="360" w:lineRule="auto"/>
        <w:jc w:val="center"/>
      </w:pPr>
      <w:bookmarkStart w:id="103" w:name="_Toc5093"/>
      <w:r>
        <w:drawing>
          <wp:inline distT="0" distB="0" distL="114300" distR="114300">
            <wp:extent cx="5391150" cy="3276600"/>
            <wp:effectExtent l="0" t="0" r="0" b="0"/>
            <wp:docPr id="15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7"/>
                    <pic:cNvPicPr>
                      <a:picLocks noChangeAspect="1"/>
                    </pic:cNvPicPr>
                  </pic:nvPicPr>
                  <pic:blipFill>
                    <a:blip r:embed="rId21"/>
                    <a:stretch>
                      <a:fillRect/>
                    </a:stretch>
                  </pic:blipFill>
                  <pic:spPr>
                    <a:xfrm>
                      <a:off x="0" y="0"/>
                      <a:ext cx="5391150" cy="3276600"/>
                    </a:xfrm>
                    <a:prstGeom prst="rect">
                      <a:avLst/>
                    </a:prstGeom>
                    <a:noFill/>
                    <a:ln>
                      <a:noFill/>
                    </a:ln>
                  </pic:spPr>
                </pic:pic>
              </a:graphicData>
            </a:graphic>
          </wp:inline>
        </w:drawing>
      </w:r>
    </w:p>
    <w:p w14:paraId="5B37AB6C">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textAlignment w:val="auto"/>
        <w:rPr>
          <w:rFonts w:hint="default" w:ascii="Times New Roman" w:hAnsi="Times New Roman" w:eastAsia="宋体" w:cs="Times New Roman"/>
          <w:b/>
          <w:bCs/>
          <w:color w:val="auto"/>
          <w:sz w:val="21"/>
          <w:szCs w:val="21"/>
          <w:highlight w:val="none"/>
          <w:u w:val="none" w:color="auto"/>
          <w:vertAlign w:val="baseline"/>
          <w:lang w:val="en-US" w:eastAsia="zh-CN"/>
        </w:rPr>
      </w:pPr>
      <w:r>
        <w:rPr>
          <w:rFonts w:hint="default" w:ascii="Times New Roman" w:hAnsi="Times New Roman" w:eastAsia="宋体" w:cs="Times New Roman"/>
          <w:b/>
          <w:bCs/>
          <w:color w:val="auto"/>
          <w:sz w:val="21"/>
          <w:szCs w:val="21"/>
          <w:highlight w:val="none"/>
          <w:u w:val="none" w:color="auto"/>
          <w:vertAlign w:val="baseline"/>
          <w:lang w:val="en-US" w:eastAsia="zh-CN"/>
        </w:rPr>
        <w:t>图4.1-1水功能区分级分类系统</w:t>
      </w:r>
    </w:p>
    <w:bookmarkEnd w:id="103"/>
    <w:p w14:paraId="420F83B8">
      <w:pPr>
        <w:keepNext w:val="0"/>
        <w:keepLines w:val="0"/>
        <w:pageBreakBefore w:val="0"/>
        <w:wordWrap/>
        <w:overflowPunct/>
        <w:topLinePunct w:val="0"/>
        <w:bidi w:val="0"/>
        <w:spacing w:line="360" w:lineRule="auto"/>
        <w:ind w:left="0" w:firstLine="477"/>
        <w:jc w:val="both"/>
        <w:rPr>
          <w:rFonts w:hint="default" w:ascii="Times New Roman" w:hAnsi="Times New Roman" w:eastAsia="宋体" w:cs="Times New Roman"/>
          <w:color w:val="auto"/>
          <w:kern w:val="2"/>
          <w:sz w:val="24"/>
          <w:szCs w:val="24"/>
          <w:lang w:val="en-US" w:eastAsia="zh-CN"/>
        </w:rPr>
      </w:pPr>
      <w:r>
        <w:rPr>
          <w:rFonts w:hint="eastAsia" w:ascii="宋体" w:hAnsi="宋体" w:eastAsia="宋体" w:cs="宋体"/>
          <w:sz w:val="24"/>
          <w:szCs w:val="24"/>
          <w:lang w:eastAsia="zh-CN"/>
        </w:rPr>
        <w:t>水功能一级区分为保护区、缓冲区、开发利用区和保留区四类。水功能二级区在开发利用区中划分，分为饮用水源区、工业用水区、农业用水区、渔业用水区、景观娱乐用水区、过渡区和排污控制区七类。</w:t>
      </w:r>
    </w:p>
    <w:p w14:paraId="63C6C309">
      <w:pPr>
        <w:keepNext w:val="0"/>
        <w:keepLines w:val="0"/>
        <w:pageBreakBefore w:val="0"/>
        <w:wordWrap/>
        <w:overflowPunct/>
        <w:topLinePunct w:val="0"/>
        <w:bidi w:val="0"/>
        <w:spacing w:line="360" w:lineRule="auto"/>
        <w:ind w:left="0" w:firstLine="477"/>
        <w:jc w:val="both"/>
        <w:rPr>
          <w:rFonts w:hint="default" w:ascii="Times New Roman" w:hAnsi="Times New Roman" w:eastAsia="宋体" w:cs="Times New Roman"/>
          <w:sz w:val="24"/>
          <w:szCs w:val="24"/>
          <w:u w:val="single" w:color="auto"/>
          <w:lang w:val="en-US" w:eastAsia="zh-CN"/>
        </w:rPr>
      </w:pPr>
      <w:bookmarkStart w:id="104" w:name="_Toc10858"/>
      <w:bookmarkStart w:id="105" w:name="_Toc14762"/>
      <w:bookmarkStart w:id="106" w:name="_Toc22251"/>
      <w:r>
        <w:rPr>
          <w:rFonts w:hint="default" w:ascii="Times New Roman" w:hAnsi="Times New Roman" w:eastAsia="宋体" w:cs="Times New Roman"/>
          <w:sz w:val="24"/>
          <w:szCs w:val="24"/>
          <w:u w:val="single" w:color="auto"/>
          <w:lang w:val="en-US" w:eastAsia="zh-CN"/>
        </w:rPr>
        <w:t>根据《湘潭县水功能区划》（2016）</w:t>
      </w:r>
      <w:r>
        <w:rPr>
          <w:rFonts w:hint="eastAsia" w:ascii="Times New Roman" w:hAnsi="Times New Roman" w:eastAsia="宋体" w:cs="Times New Roman"/>
          <w:sz w:val="24"/>
          <w:szCs w:val="24"/>
          <w:u w:val="single" w:color="auto"/>
          <w:lang w:val="en-US" w:eastAsia="zh-CN"/>
        </w:rPr>
        <w:t>：</w:t>
      </w:r>
    </w:p>
    <w:p w14:paraId="00B8B92D">
      <w:pPr>
        <w:keepNext w:val="0"/>
        <w:keepLines w:val="0"/>
        <w:pageBreakBefore w:val="0"/>
        <w:wordWrap/>
        <w:overflowPunct/>
        <w:topLinePunct w:val="0"/>
        <w:bidi w:val="0"/>
        <w:spacing w:line="360" w:lineRule="auto"/>
        <w:ind w:left="0" w:firstLine="477"/>
        <w:jc w:val="both"/>
        <w:rPr>
          <w:rFonts w:hint="default" w:ascii="Times New Roman" w:hAnsi="Times New Roman" w:eastAsia="宋体" w:cs="Times New Roman"/>
          <w:sz w:val="24"/>
          <w:szCs w:val="24"/>
          <w:u w:val="single" w:color="auto"/>
          <w:lang w:val="en-US" w:eastAsia="zh-CN"/>
        </w:rPr>
      </w:pPr>
      <w:r>
        <w:rPr>
          <w:rFonts w:hint="default" w:ascii="Times New Roman" w:hAnsi="Times New Roman" w:eastAsia="宋体" w:cs="Times New Roman"/>
          <w:sz w:val="24"/>
          <w:szCs w:val="24"/>
          <w:u w:val="single" w:color="auto"/>
          <w:lang w:val="en-US" w:eastAsia="zh-CN"/>
        </w:rPr>
        <w:t>青山河，发源于湘潭县石鼓镇山田冲村，流经湘潭县石鼓镇、青山桥镇，与青山桥镇晓南村汇入涓水，全长32km。区划范围内共划分2个一级区。</w:t>
      </w:r>
    </w:p>
    <w:p w14:paraId="14E07274">
      <w:pPr>
        <w:keepNext w:val="0"/>
        <w:keepLines w:val="0"/>
        <w:pageBreakBefore w:val="0"/>
        <w:wordWrap/>
        <w:overflowPunct/>
        <w:topLinePunct w:val="0"/>
        <w:bidi w:val="0"/>
        <w:spacing w:line="360" w:lineRule="auto"/>
        <w:ind w:left="0" w:firstLine="477"/>
        <w:jc w:val="both"/>
        <w:rPr>
          <w:rFonts w:hint="default" w:ascii="Times New Roman" w:hAnsi="Times New Roman" w:eastAsia="宋体" w:cs="Times New Roman"/>
          <w:sz w:val="24"/>
          <w:szCs w:val="24"/>
          <w:u w:val="single" w:color="auto"/>
          <w:lang w:val="en-US" w:eastAsia="zh-CN"/>
        </w:rPr>
      </w:pPr>
      <w:r>
        <w:rPr>
          <w:rFonts w:hint="default" w:ascii="Times New Roman" w:hAnsi="Times New Roman" w:eastAsia="宋体" w:cs="Times New Roman"/>
          <w:sz w:val="24"/>
          <w:szCs w:val="24"/>
          <w:u w:val="single" w:color="auto"/>
          <w:lang w:val="en-US" w:eastAsia="zh-CN"/>
        </w:rPr>
        <w:t>①保护区1个，即青山河湘潭县源头水保护区：起于湘潭县石鼓镇山田冲村，止于湘潭县石鼓镇大桥村，全长12.5km。沿岸主要为林区和农业区，经济发展速度较慢，只有少量农灌取水，划为源头水保护区。区内</w:t>
      </w:r>
      <w:r>
        <w:rPr>
          <w:rFonts w:hint="eastAsia" w:ascii="Times New Roman" w:hAnsi="Times New Roman" w:eastAsia="宋体" w:cs="Times New Roman"/>
          <w:sz w:val="24"/>
          <w:szCs w:val="24"/>
          <w:u w:val="single" w:color="auto"/>
          <w:lang w:val="en-US" w:eastAsia="zh-CN"/>
        </w:rPr>
        <w:t>铜</w:t>
      </w:r>
      <w:r>
        <w:rPr>
          <w:rFonts w:hint="default" w:ascii="Times New Roman" w:hAnsi="Times New Roman" w:eastAsia="宋体" w:cs="Times New Roman"/>
          <w:sz w:val="24"/>
          <w:szCs w:val="24"/>
          <w:u w:val="single" w:color="auto"/>
          <w:lang w:val="en-US" w:eastAsia="zh-CN"/>
        </w:rPr>
        <w:t>梁水库为饮用水源区。水质管理目标为Ⅱ类。水质控制断面：石鼓镇。</w:t>
      </w:r>
    </w:p>
    <w:p w14:paraId="3B847DED">
      <w:pPr>
        <w:keepNext w:val="0"/>
        <w:keepLines w:val="0"/>
        <w:pageBreakBefore w:val="0"/>
        <w:wordWrap/>
        <w:overflowPunct/>
        <w:topLinePunct w:val="0"/>
        <w:bidi w:val="0"/>
        <w:spacing w:line="360" w:lineRule="auto"/>
        <w:ind w:left="0" w:firstLine="477"/>
        <w:jc w:val="both"/>
        <w:rPr>
          <w:rFonts w:hint="default" w:ascii="Times New Roman" w:hAnsi="Times New Roman" w:eastAsia="宋体" w:cs="Times New Roman"/>
          <w:sz w:val="24"/>
          <w:szCs w:val="24"/>
          <w:u w:val="single" w:color="auto"/>
          <w:lang w:val="en-US" w:eastAsia="zh-CN"/>
        </w:rPr>
      </w:pPr>
      <w:r>
        <w:rPr>
          <w:rFonts w:hint="default" w:ascii="Times New Roman" w:hAnsi="Times New Roman" w:eastAsia="宋体" w:cs="Times New Roman"/>
          <w:sz w:val="24"/>
          <w:szCs w:val="24"/>
          <w:u w:val="single" w:color="auto"/>
          <w:lang w:val="en-US" w:eastAsia="zh-CN"/>
        </w:rPr>
        <w:t>②保留区1个，即青山河湘潭县保留区。起于湘潭县石鼓镇大桥村，止于青山桥镇晓南村，全长19.5km。沿岸主要为农业区，经济不发达，只有少量农业灌溉用水，划为保留区。水质管理目标为Ⅲ类。水质控制断面：青山河口（青山桥镇晓南村）。</w:t>
      </w:r>
    </w:p>
    <w:p w14:paraId="27BC9A12">
      <w:pPr>
        <w:keepNext w:val="0"/>
        <w:keepLines w:val="0"/>
        <w:pageBreakBefore w:val="0"/>
        <w:wordWrap/>
        <w:overflowPunct/>
        <w:topLinePunct w:val="0"/>
        <w:bidi w:val="0"/>
        <w:spacing w:line="360" w:lineRule="auto"/>
        <w:ind w:left="0" w:firstLine="477"/>
        <w:jc w:val="both"/>
        <w:rPr>
          <w:rFonts w:hint="default" w:ascii="Times New Roman" w:hAnsi="Times New Roman" w:eastAsia="宋体" w:cs="Times New Roman"/>
          <w:color w:val="auto"/>
          <w:kern w:val="2"/>
          <w:sz w:val="24"/>
          <w:szCs w:val="24"/>
          <w:u w:val="single" w:color="auto"/>
          <w:lang w:val="en-US" w:eastAsia="zh-CN"/>
        </w:rPr>
      </w:pPr>
      <w:r>
        <w:rPr>
          <w:rFonts w:hint="default" w:ascii="Times New Roman" w:hAnsi="Times New Roman" w:eastAsia="宋体" w:cs="Times New Roman"/>
          <w:sz w:val="24"/>
          <w:szCs w:val="24"/>
          <w:u w:val="single" w:color="auto"/>
          <w:lang w:val="en-US" w:eastAsia="zh-CN"/>
        </w:rPr>
        <w:t>本项目直接受纳水体为</w:t>
      </w:r>
      <w:r>
        <w:rPr>
          <w:rFonts w:hint="default" w:ascii="Times New Roman" w:hAnsi="Times New Roman" w:cs="Times New Roman"/>
          <w:b w:val="0"/>
          <w:bCs/>
          <w:color w:val="auto"/>
          <w:sz w:val="24"/>
          <w:szCs w:val="24"/>
          <w:u w:val="single" w:color="auto"/>
          <w:lang w:val="en-US" w:eastAsia="zh-CN"/>
        </w:rPr>
        <w:t>青山河</w:t>
      </w:r>
      <w:r>
        <w:rPr>
          <w:rFonts w:hint="default" w:ascii="Times New Roman" w:hAnsi="Times New Roman" w:eastAsia="宋体" w:cs="Times New Roman"/>
          <w:sz w:val="24"/>
          <w:szCs w:val="24"/>
          <w:u w:val="single" w:color="auto"/>
          <w:lang w:val="en-US" w:eastAsia="zh-CN"/>
        </w:rPr>
        <w:t>，其排污口位于</w:t>
      </w:r>
      <w:r>
        <w:rPr>
          <w:rFonts w:hint="default" w:ascii="Times New Roman" w:hAnsi="Times New Roman" w:cs="Times New Roman"/>
          <w:b w:val="0"/>
          <w:bCs/>
          <w:color w:val="auto"/>
          <w:sz w:val="24"/>
          <w:szCs w:val="24"/>
          <w:u w:val="single" w:color="auto"/>
          <w:lang w:val="en-US" w:eastAsia="zh-CN"/>
        </w:rPr>
        <w:t>青山河左</w:t>
      </w:r>
      <w:r>
        <w:rPr>
          <w:rFonts w:hint="default" w:ascii="Times New Roman" w:hAnsi="Times New Roman" w:eastAsia="宋体" w:cs="Times New Roman"/>
          <w:sz w:val="24"/>
          <w:szCs w:val="24"/>
          <w:u w:val="single" w:color="auto"/>
          <w:lang w:val="en-US" w:eastAsia="zh-CN"/>
        </w:rPr>
        <w:t>岸，其坐标为</w:t>
      </w:r>
      <w:r>
        <w:rPr>
          <w:rFonts w:hint="eastAsia" w:ascii="Times New Roman" w:hAnsi="Times New Roman" w:eastAsia="宋体" w:cs="Times New Roman"/>
          <w:sz w:val="24"/>
          <w:szCs w:val="24"/>
          <w:u w:val="single" w:color="auto"/>
          <w:lang w:val="en-US" w:eastAsia="zh-CN"/>
        </w:rPr>
        <w:t>E112</w:t>
      </w:r>
      <w:r>
        <w:rPr>
          <w:rFonts w:ascii="Times New Roman" w:hAnsi="Times New Roman" w:eastAsia="宋体" w:cs="Times New Roman"/>
          <w:sz w:val="24"/>
          <w:szCs w:val="24"/>
          <w:u w:val="single" w:color="auto"/>
          <w:lang w:eastAsia="zh-CN"/>
        </w:rPr>
        <w:t>°</w:t>
      </w:r>
      <w:r>
        <w:rPr>
          <w:rFonts w:hint="eastAsia" w:ascii="Times New Roman" w:hAnsi="Times New Roman" w:eastAsia="宋体" w:cs="Times New Roman"/>
          <w:sz w:val="24"/>
          <w:szCs w:val="24"/>
          <w:u w:val="single" w:color="auto"/>
          <w:lang w:val="en-US" w:eastAsia="zh-CN"/>
        </w:rPr>
        <w:t>30</w:t>
      </w:r>
      <w:r>
        <w:rPr>
          <w:rFonts w:ascii="Times New Roman" w:hAnsi="Times New Roman" w:eastAsia="宋体" w:cs="Times New Roman"/>
          <w:sz w:val="24"/>
          <w:szCs w:val="24"/>
          <w:u w:val="single" w:color="auto"/>
          <w:lang w:eastAsia="zh-CN"/>
        </w:rPr>
        <w:t>′</w:t>
      </w:r>
      <w:r>
        <w:rPr>
          <w:rFonts w:hint="eastAsia" w:ascii="Times New Roman" w:hAnsi="Times New Roman" w:eastAsia="宋体" w:cs="Times New Roman"/>
          <w:sz w:val="24"/>
          <w:szCs w:val="24"/>
          <w:u w:val="single" w:color="auto"/>
          <w:lang w:val="en-US" w:eastAsia="zh-CN"/>
        </w:rPr>
        <w:t>56.928</w:t>
      </w:r>
      <w:r>
        <w:rPr>
          <w:rFonts w:ascii="Times New Roman" w:hAnsi="Times New Roman" w:eastAsia="宋体" w:cs="Times New Roman"/>
          <w:sz w:val="24"/>
          <w:szCs w:val="24"/>
          <w:u w:val="single" w:color="auto"/>
          <w:lang w:eastAsia="zh-CN"/>
        </w:rPr>
        <w:t>″</w:t>
      </w:r>
      <w:r>
        <w:rPr>
          <w:rFonts w:hint="eastAsia" w:ascii="Times New Roman" w:hAnsi="Times New Roman" w:eastAsia="宋体" w:cs="Times New Roman"/>
          <w:sz w:val="24"/>
          <w:szCs w:val="24"/>
          <w:u w:val="single" w:color="auto"/>
          <w:lang w:val="en-US" w:eastAsia="zh-CN"/>
        </w:rPr>
        <w:t>，N27</w:t>
      </w:r>
      <w:r>
        <w:rPr>
          <w:rFonts w:ascii="Times New Roman" w:hAnsi="Times New Roman" w:eastAsia="宋体" w:cs="Times New Roman"/>
          <w:sz w:val="24"/>
          <w:szCs w:val="24"/>
          <w:u w:val="single" w:color="auto"/>
          <w:lang w:eastAsia="zh-CN"/>
        </w:rPr>
        <w:t>°</w:t>
      </w:r>
      <w:r>
        <w:rPr>
          <w:rFonts w:hint="eastAsia" w:ascii="Times New Roman" w:hAnsi="Times New Roman" w:eastAsia="宋体" w:cs="Times New Roman"/>
          <w:sz w:val="24"/>
          <w:szCs w:val="24"/>
          <w:u w:val="single" w:color="auto"/>
          <w:lang w:val="en-US" w:eastAsia="zh-CN"/>
        </w:rPr>
        <w:t>30</w:t>
      </w:r>
      <w:r>
        <w:rPr>
          <w:rFonts w:ascii="Times New Roman" w:hAnsi="Times New Roman" w:eastAsia="宋体" w:cs="Times New Roman"/>
          <w:sz w:val="24"/>
          <w:szCs w:val="24"/>
          <w:u w:val="single" w:color="auto"/>
          <w:lang w:eastAsia="zh-CN"/>
        </w:rPr>
        <w:t>′</w:t>
      </w:r>
      <w:r>
        <w:rPr>
          <w:rFonts w:hint="eastAsia" w:ascii="Times New Roman" w:hAnsi="Times New Roman" w:eastAsia="宋体" w:cs="Times New Roman"/>
          <w:sz w:val="24"/>
          <w:szCs w:val="24"/>
          <w:u w:val="single" w:color="auto"/>
          <w:lang w:val="en-US" w:eastAsia="zh-CN"/>
        </w:rPr>
        <w:t>50.536</w:t>
      </w:r>
      <w:r>
        <w:rPr>
          <w:rFonts w:ascii="Times New Roman" w:hAnsi="Times New Roman" w:eastAsia="宋体" w:cs="Times New Roman"/>
          <w:sz w:val="24"/>
          <w:szCs w:val="24"/>
          <w:u w:val="single" w:color="auto"/>
          <w:lang w:eastAsia="zh-CN"/>
        </w:rPr>
        <w:t>″</w:t>
      </w:r>
      <w:r>
        <w:rPr>
          <w:rFonts w:hint="default" w:ascii="Times New Roman" w:hAnsi="Times New Roman" w:eastAsia="宋体" w:cs="Times New Roman"/>
          <w:sz w:val="24"/>
          <w:szCs w:val="24"/>
          <w:u w:val="single" w:color="auto"/>
          <w:lang w:eastAsia="zh-CN"/>
        </w:rPr>
        <w:t>。</w:t>
      </w:r>
      <w:r>
        <w:rPr>
          <w:rFonts w:hint="default" w:ascii="Times New Roman" w:hAnsi="Times New Roman" w:eastAsia="宋体" w:cs="Times New Roman"/>
          <w:color w:val="auto"/>
          <w:kern w:val="2"/>
          <w:sz w:val="24"/>
          <w:szCs w:val="24"/>
          <w:u w:val="single" w:color="auto"/>
          <w:lang w:val="en-US" w:eastAsia="zh-CN"/>
        </w:rPr>
        <w:t>排污口所在水功能区为青山河湘潭县保留区，水质管理目标为Ⅲ类。</w:t>
      </w:r>
    </w:p>
    <w:p w14:paraId="35BF0C4B">
      <w:pPr>
        <w:keepNext w:val="0"/>
        <w:keepLines w:val="0"/>
        <w:pageBreakBefore w:val="0"/>
        <w:wordWrap/>
        <w:overflowPunct/>
        <w:topLinePunct w:val="0"/>
        <w:bidi w:val="0"/>
        <w:spacing w:line="360" w:lineRule="auto"/>
        <w:ind w:left="0" w:firstLine="477"/>
        <w:jc w:val="both"/>
        <w:rPr>
          <w:rFonts w:hint="default" w:ascii="Times New Roman" w:hAnsi="Times New Roman" w:eastAsia="宋体" w:cs="Times New Roman"/>
          <w:sz w:val="24"/>
          <w:szCs w:val="24"/>
          <w:u w:val="single" w:color="auto"/>
          <w:lang w:val="en-US" w:eastAsia="zh-CN"/>
        </w:rPr>
      </w:pPr>
      <w:r>
        <w:rPr>
          <w:rFonts w:hint="eastAsia" w:ascii="Times New Roman" w:hAnsi="Times New Roman" w:eastAsia="宋体" w:cs="Times New Roman"/>
          <w:color w:val="auto"/>
          <w:kern w:val="2"/>
          <w:sz w:val="24"/>
          <w:szCs w:val="24"/>
          <w:u w:val="single" w:color="auto"/>
          <w:lang w:val="en-US" w:eastAsia="zh-CN"/>
        </w:rPr>
        <w:t>论证范围：</w:t>
      </w:r>
      <w:r>
        <w:rPr>
          <w:rFonts w:hint="default" w:ascii="Times New Roman" w:hAnsi="Times New Roman" w:eastAsia="宋体" w:cs="Times New Roman"/>
          <w:color w:val="auto"/>
          <w:kern w:val="2"/>
          <w:sz w:val="24"/>
          <w:szCs w:val="24"/>
          <w:u w:val="single" w:color="auto"/>
          <w:lang w:val="en-US" w:eastAsia="zh-CN"/>
        </w:rPr>
        <w:t>废水经自建管道排入</w:t>
      </w:r>
      <w:r>
        <w:rPr>
          <w:rFonts w:hint="default" w:ascii="Times New Roman" w:hAnsi="Times New Roman" w:cs="Times New Roman"/>
          <w:b w:val="0"/>
          <w:bCs/>
          <w:color w:val="auto"/>
          <w:sz w:val="24"/>
          <w:szCs w:val="24"/>
          <w:u w:val="single" w:color="auto"/>
          <w:lang w:val="en-US" w:eastAsia="zh-CN"/>
        </w:rPr>
        <w:t>青山河，流经16.423km后汇入涓水</w:t>
      </w:r>
      <w:r>
        <w:rPr>
          <w:rFonts w:hint="eastAsia" w:ascii="Times New Roman" w:hAnsi="Times New Roman" w:cs="Times New Roman"/>
          <w:b w:val="0"/>
          <w:bCs/>
          <w:color w:val="auto"/>
          <w:sz w:val="24"/>
          <w:szCs w:val="24"/>
          <w:u w:val="single" w:color="auto"/>
          <w:lang w:val="en-US" w:eastAsia="zh-CN"/>
        </w:rPr>
        <w:t>，</w:t>
      </w:r>
      <w:r>
        <w:rPr>
          <w:rFonts w:hint="eastAsia" w:ascii="Times New Roman" w:hAnsi="Times New Roman" w:eastAsia="宋体" w:cs="Times New Roman"/>
          <w:color w:val="auto"/>
          <w:kern w:val="2"/>
          <w:sz w:val="24"/>
          <w:szCs w:val="24"/>
          <w:u w:val="single" w:color="auto"/>
          <w:lang w:val="en-US" w:eastAsia="zh-CN"/>
        </w:rPr>
        <w:t>涓水下游约6.87km处为湘潭市湘潭县花石镇涓水饮用水水源二级保护区。由于项目排污口流入青山河至汇入涓水下游距离较远，考虑废水中污染因子的衰减，故本次论证范围不考虑青山河汇入涓水下游的河段。</w:t>
      </w:r>
      <w:r>
        <w:rPr>
          <w:rFonts w:hint="default" w:ascii="Times New Roman" w:hAnsi="Times New Roman" w:eastAsia="宋体" w:cs="Times New Roman"/>
          <w:color w:val="auto"/>
          <w:kern w:val="2"/>
          <w:sz w:val="24"/>
          <w:szCs w:val="24"/>
          <w:u w:val="single" w:color="auto"/>
          <w:lang w:val="en-US" w:eastAsia="zh-CN"/>
        </w:rPr>
        <w:t>论证范围为排污口上游200m至交汇处下游16.423km，共计16623m</w:t>
      </w:r>
      <w:r>
        <w:rPr>
          <w:rFonts w:hint="eastAsia" w:ascii="Times New Roman" w:hAnsi="Times New Roman" w:eastAsia="宋体" w:cs="Times New Roman"/>
          <w:color w:val="auto"/>
          <w:kern w:val="2"/>
          <w:sz w:val="24"/>
          <w:szCs w:val="24"/>
          <w:u w:val="single" w:color="auto"/>
          <w:lang w:val="en-US" w:eastAsia="zh-CN"/>
        </w:rPr>
        <w:t>的青山河河段</w:t>
      </w:r>
      <w:r>
        <w:rPr>
          <w:rFonts w:hint="default" w:ascii="Times New Roman" w:hAnsi="Times New Roman" w:eastAsia="宋体" w:cs="Times New Roman"/>
          <w:color w:val="auto"/>
          <w:kern w:val="2"/>
          <w:sz w:val="24"/>
          <w:szCs w:val="24"/>
          <w:u w:val="single" w:color="auto"/>
          <w:lang w:val="en-US" w:eastAsia="zh-CN"/>
        </w:rPr>
        <w:t>。</w:t>
      </w:r>
    </w:p>
    <w:p w14:paraId="6A91096F">
      <w:pPr>
        <w:keepNext w:val="0"/>
        <w:keepLines w:val="0"/>
        <w:pageBreakBefore w:val="0"/>
        <w:wordWrap/>
        <w:overflowPunct/>
        <w:topLinePunct w:val="0"/>
        <w:bidi w:val="0"/>
        <w:spacing w:line="360" w:lineRule="auto"/>
        <w:jc w:val="both"/>
        <w:outlineLvl w:val="2"/>
        <w:rPr>
          <w:rFonts w:hint="eastAsia" w:ascii="Times New Roman" w:hAnsi="Times New Roman" w:eastAsia="宋体" w:cs="Times New Roman"/>
          <w:b/>
          <w:bCs/>
          <w:spacing w:val="-2"/>
          <w:sz w:val="24"/>
          <w:szCs w:val="24"/>
          <w:u w:val="single" w:color="auto"/>
          <w:lang w:eastAsia="zh-CN"/>
        </w:rPr>
      </w:pPr>
      <w:r>
        <w:rPr>
          <w:rFonts w:hint="eastAsia" w:ascii="Times New Roman" w:hAnsi="Times New Roman" w:eastAsia="宋体" w:cs="Times New Roman"/>
          <w:b/>
          <w:bCs/>
          <w:spacing w:val="-2"/>
          <w:sz w:val="24"/>
          <w:szCs w:val="24"/>
          <w:u w:val="single" w:color="auto"/>
          <w:lang w:val="en-US" w:eastAsia="zh-CN"/>
        </w:rPr>
        <w:t>4.1.2</w:t>
      </w:r>
      <w:r>
        <w:rPr>
          <w:rFonts w:hint="eastAsia" w:ascii="Times New Roman" w:hAnsi="Times New Roman" w:eastAsia="宋体" w:cs="Times New Roman"/>
          <w:b/>
          <w:bCs/>
          <w:spacing w:val="-2"/>
          <w:sz w:val="24"/>
          <w:szCs w:val="24"/>
          <w:u w:val="single" w:color="auto"/>
          <w:lang w:eastAsia="zh-CN"/>
        </w:rPr>
        <w:t>水功能区（水域）现有取排水状况</w:t>
      </w:r>
      <w:bookmarkEnd w:id="104"/>
      <w:bookmarkEnd w:id="105"/>
      <w:bookmarkEnd w:id="106"/>
    </w:p>
    <w:p w14:paraId="71E86E38">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72" w:firstLineChars="200"/>
        <w:jc w:val="both"/>
        <w:textAlignment w:val="baseline"/>
        <w:outlineLvl w:val="9"/>
        <w:rPr>
          <w:rFonts w:ascii="宋体" w:hAnsi="宋体" w:eastAsia="宋体" w:cs="宋体"/>
          <w:sz w:val="24"/>
          <w:szCs w:val="24"/>
          <w:u w:val="single" w:color="auto"/>
          <w:lang w:eastAsia="zh-CN"/>
        </w:rPr>
      </w:pPr>
      <w:r>
        <w:rPr>
          <w:rFonts w:hint="eastAsia" w:ascii="Times New Roman" w:hAnsi="Times New Roman" w:eastAsia="Times New Roman" w:cs="Times New Roman"/>
          <w:b/>
          <w:bCs/>
          <w:spacing w:val="-2"/>
          <w:sz w:val="24"/>
          <w:szCs w:val="24"/>
          <w:u w:val="single" w:color="auto"/>
          <w:lang w:eastAsia="zh-CN"/>
        </w:rPr>
        <w:t>（</w:t>
      </w:r>
      <w:r>
        <w:rPr>
          <w:rFonts w:hint="eastAsia" w:ascii="Times New Roman" w:hAnsi="Times New Roman" w:eastAsia="Times New Roman" w:cs="Times New Roman"/>
          <w:b/>
          <w:bCs/>
          <w:spacing w:val="-2"/>
          <w:sz w:val="24"/>
          <w:szCs w:val="24"/>
          <w:u w:val="single" w:color="auto"/>
          <w:lang w:val="en-US" w:eastAsia="zh-CN"/>
        </w:rPr>
        <w:t>1）</w:t>
      </w:r>
      <w:r>
        <w:rPr>
          <w:rFonts w:ascii="宋体" w:hAnsi="宋体" w:eastAsia="宋体" w:cs="宋体"/>
          <w:b/>
          <w:bCs/>
          <w:spacing w:val="-2"/>
          <w:sz w:val="24"/>
          <w:szCs w:val="24"/>
          <w:u w:val="single" w:color="auto"/>
          <w:lang w:eastAsia="zh-CN"/>
        </w:rPr>
        <w:t>取水现状</w:t>
      </w:r>
    </w:p>
    <w:p w14:paraId="2163DC39">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rPr>
          <w:rFonts w:hint="eastAsia" w:ascii="Times New Roman" w:hAnsi="Times New Roman" w:eastAsia="宋体" w:cs="Times New Roman"/>
          <w:color w:val="auto"/>
          <w:kern w:val="2"/>
          <w:sz w:val="24"/>
          <w:szCs w:val="24"/>
          <w:u w:val="single" w:color="auto"/>
          <w:lang w:eastAsia="zh-CN"/>
        </w:rPr>
      </w:pPr>
      <w:r>
        <w:rPr>
          <w:rFonts w:hint="eastAsia" w:ascii="Times New Roman" w:hAnsi="Times New Roman" w:eastAsia="宋体" w:cs="Times New Roman"/>
          <w:color w:val="auto"/>
          <w:kern w:val="2"/>
          <w:sz w:val="24"/>
          <w:szCs w:val="24"/>
          <w:u w:val="single" w:color="auto"/>
          <w:lang w:eastAsia="zh-CN"/>
        </w:rPr>
        <w:t>根据现状调查，</w:t>
      </w:r>
      <w:r>
        <w:rPr>
          <w:rFonts w:hint="eastAsia" w:ascii="Times New Roman" w:hAnsi="Times New Roman" w:eastAsia="宋体" w:cs="Times New Roman"/>
          <w:color w:val="auto"/>
          <w:kern w:val="2"/>
          <w:sz w:val="24"/>
          <w:szCs w:val="24"/>
          <w:u w:val="single" w:color="auto"/>
          <w:lang w:val="en-US" w:eastAsia="zh-CN"/>
        </w:rPr>
        <w:t>论证范围内</w:t>
      </w:r>
      <w:r>
        <w:rPr>
          <w:rFonts w:hint="eastAsia" w:ascii="Times New Roman" w:hAnsi="Times New Roman" w:eastAsia="宋体" w:cs="Times New Roman"/>
          <w:color w:val="auto"/>
          <w:kern w:val="2"/>
          <w:sz w:val="24"/>
          <w:szCs w:val="24"/>
          <w:u w:val="single" w:color="auto"/>
          <w:lang w:eastAsia="zh-CN"/>
        </w:rPr>
        <w:t>未调查到饮用水源取水口，</w:t>
      </w:r>
      <w:r>
        <w:rPr>
          <w:rFonts w:hint="eastAsia" w:ascii="Times New Roman" w:hAnsi="Times New Roman" w:eastAsia="宋体" w:cs="Times New Roman"/>
          <w:color w:val="auto"/>
          <w:kern w:val="2"/>
          <w:sz w:val="24"/>
          <w:szCs w:val="24"/>
          <w:u w:val="single" w:color="auto"/>
          <w:lang w:val="en-US" w:eastAsia="zh-CN"/>
        </w:rPr>
        <w:t>仅少量的农业灌溉用水</w:t>
      </w:r>
      <w:r>
        <w:rPr>
          <w:rFonts w:hint="eastAsia" w:ascii="Times New Roman" w:hAnsi="Times New Roman" w:eastAsia="宋体" w:cs="Times New Roman"/>
          <w:color w:val="auto"/>
          <w:kern w:val="2"/>
          <w:sz w:val="24"/>
          <w:szCs w:val="24"/>
          <w:u w:val="single" w:color="auto"/>
          <w:lang w:eastAsia="zh-CN"/>
        </w:rPr>
        <w:t>，不存在其他规模化取水情况。</w:t>
      </w:r>
    </w:p>
    <w:p w14:paraId="6515432B">
      <w:pPr>
        <w:pStyle w:val="58"/>
        <w:keepLines w:val="0"/>
        <w:pageBreakBefore w:val="0"/>
        <w:numPr>
          <w:ilvl w:val="0"/>
          <w:numId w:val="0"/>
        </w:numPr>
        <w:kinsoku/>
        <w:wordWrap/>
        <w:overflowPunct/>
        <w:topLinePunct w:val="0"/>
        <w:autoSpaceDE/>
        <w:autoSpaceDN/>
        <w:bidi w:val="0"/>
        <w:adjustRightInd/>
        <w:snapToGrid w:val="0"/>
        <w:spacing w:after="0" w:line="360" w:lineRule="auto"/>
        <w:ind w:firstLine="472" w:firstLineChars="200"/>
        <w:jc w:val="both"/>
        <w:textAlignment w:val="auto"/>
        <w:rPr>
          <w:rFonts w:hint="default" w:ascii="Times New Roman" w:hAnsi="Times New Roman" w:eastAsia="宋体" w:cs="Times New Roman"/>
          <w:color w:val="auto"/>
          <w:sz w:val="24"/>
          <w:szCs w:val="24"/>
          <w:highlight w:val="none"/>
          <w:u w:val="single" w:color="auto"/>
          <w:lang w:val="en-US" w:eastAsia="zh-CN"/>
        </w:rPr>
      </w:pPr>
      <w:bookmarkStart w:id="107" w:name="_Toc11681"/>
      <w:bookmarkStart w:id="108" w:name="_Toc13513"/>
      <w:bookmarkStart w:id="109" w:name="_Toc32181"/>
      <w:r>
        <w:rPr>
          <w:rFonts w:hint="eastAsia" w:ascii="Times New Roman" w:hAnsi="Times New Roman" w:eastAsia="Times New Roman" w:cs="Times New Roman"/>
          <w:b/>
          <w:bCs/>
          <w:spacing w:val="-2"/>
          <w:sz w:val="24"/>
          <w:szCs w:val="24"/>
          <w:u w:val="single" w:color="auto"/>
          <w:lang w:eastAsia="zh-CN"/>
        </w:rPr>
        <w:t>（</w:t>
      </w:r>
      <w:r>
        <w:rPr>
          <w:rFonts w:hint="eastAsia" w:ascii="Times New Roman" w:hAnsi="Times New Roman" w:eastAsia="Times New Roman" w:cs="Times New Roman"/>
          <w:b/>
          <w:bCs/>
          <w:spacing w:val="-2"/>
          <w:sz w:val="24"/>
          <w:szCs w:val="24"/>
          <w:u w:val="single" w:color="auto"/>
          <w:lang w:val="en-US" w:eastAsia="zh-CN"/>
        </w:rPr>
        <w:t>2）</w:t>
      </w:r>
      <w:r>
        <w:rPr>
          <w:rFonts w:hint="default" w:ascii="Times New Roman" w:hAnsi="Times New Roman" w:eastAsia="宋体" w:cs="Times New Roman"/>
          <w:color w:val="auto"/>
          <w:sz w:val="24"/>
          <w:szCs w:val="24"/>
          <w:highlight w:val="none"/>
          <w:u w:val="single" w:color="auto"/>
          <w:lang w:val="en-US" w:eastAsia="zh-CN"/>
        </w:rPr>
        <w:t>排水状况</w:t>
      </w:r>
      <w:bookmarkEnd w:id="107"/>
      <w:bookmarkEnd w:id="108"/>
      <w:bookmarkEnd w:id="109"/>
    </w:p>
    <w:p w14:paraId="2F5791B3">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auto"/>
          <w:sz w:val="24"/>
          <w:szCs w:val="24"/>
          <w:highlight w:val="none"/>
          <w:u w:val="single" w:color="auto"/>
          <w:lang w:val="en-US" w:eastAsia="zh-CN"/>
        </w:rPr>
      </w:pPr>
      <w:r>
        <w:rPr>
          <w:rFonts w:hint="default" w:ascii="Times New Roman" w:hAnsi="Times New Roman" w:eastAsia="宋体" w:cs="Times New Roman"/>
          <w:color w:val="auto"/>
          <w:sz w:val="24"/>
          <w:szCs w:val="24"/>
          <w:highlight w:val="none"/>
          <w:u w:val="single" w:color="auto"/>
          <w:lang w:val="en-US" w:eastAsia="zh-CN"/>
        </w:rPr>
        <w:t>根据现场勘查，周边无大型企业，主要为当地居民，当地居民产生的生活污水通过化粪池处理后用于</w:t>
      </w:r>
      <w:r>
        <w:rPr>
          <w:rFonts w:hint="eastAsia" w:ascii="Times New Roman" w:hAnsi="Times New Roman" w:eastAsia="宋体" w:cs="Times New Roman"/>
          <w:color w:val="auto"/>
          <w:sz w:val="24"/>
          <w:szCs w:val="24"/>
          <w:highlight w:val="none"/>
          <w:u w:val="single" w:color="auto"/>
          <w:lang w:val="en-US" w:eastAsia="zh-CN"/>
        </w:rPr>
        <w:t>菜地施肥</w:t>
      </w:r>
      <w:r>
        <w:rPr>
          <w:rFonts w:hint="default" w:ascii="Times New Roman" w:hAnsi="Times New Roman" w:eastAsia="宋体" w:cs="Times New Roman"/>
          <w:color w:val="auto"/>
          <w:sz w:val="24"/>
          <w:szCs w:val="24"/>
          <w:highlight w:val="none"/>
          <w:u w:val="single" w:color="auto"/>
          <w:lang w:val="en-US" w:eastAsia="zh-CN"/>
        </w:rPr>
        <w:t>；雨水随排水沟排入</w:t>
      </w:r>
      <w:r>
        <w:rPr>
          <w:rFonts w:hint="eastAsia" w:ascii="Times New Roman" w:hAnsi="Times New Roman" w:eastAsia="宋体" w:cs="Times New Roman"/>
          <w:color w:val="auto"/>
          <w:sz w:val="24"/>
          <w:szCs w:val="24"/>
          <w:highlight w:val="none"/>
          <w:u w:val="single" w:color="auto"/>
          <w:lang w:val="en-US" w:eastAsia="zh-CN"/>
        </w:rPr>
        <w:t>青山河</w:t>
      </w:r>
      <w:r>
        <w:rPr>
          <w:rFonts w:hint="default" w:ascii="Times New Roman" w:hAnsi="Times New Roman" w:eastAsia="宋体" w:cs="Times New Roman"/>
          <w:color w:val="auto"/>
          <w:sz w:val="24"/>
          <w:szCs w:val="24"/>
          <w:highlight w:val="none"/>
          <w:u w:val="single" w:color="auto"/>
          <w:lang w:val="en-US" w:eastAsia="zh-CN"/>
        </w:rPr>
        <w:t>。</w:t>
      </w:r>
    </w:p>
    <w:p w14:paraId="03C63FF8">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Fonts w:ascii="Times New Roman" w:hAnsi="Times New Roman" w:eastAsia="Times New Roman" w:cs="Times New Roman"/>
          <w:b/>
          <w:bCs/>
          <w:color w:val="auto"/>
          <w:spacing w:val="-2"/>
          <w:sz w:val="28"/>
          <w:szCs w:val="28"/>
          <w:u w:val="single" w:color="auto"/>
        </w:rPr>
      </w:pPr>
      <w:r>
        <w:rPr>
          <w:rFonts w:hint="eastAsia" w:ascii="Times New Roman" w:hAnsi="Times New Roman" w:eastAsia="宋体" w:cs="Times New Roman"/>
          <w:color w:val="auto"/>
          <w:sz w:val="24"/>
          <w:szCs w:val="24"/>
          <w:highlight w:val="none"/>
          <w:u w:val="single" w:color="auto"/>
          <w:lang w:val="en-US" w:eastAsia="zh-CN"/>
        </w:rPr>
        <w:t>项目论证范围内</w:t>
      </w:r>
      <w:r>
        <w:rPr>
          <w:rFonts w:hint="eastAsia" w:cs="Times New Roman"/>
          <w:color w:val="auto"/>
          <w:sz w:val="24"/>
          <w:szCs w:val="24"/>
          <w:highlight w:val="none"/>
          <w:u w:val="single" w:color="auto"/>
          <w:lang w:val="en-US" w:eastAsia="zh-CN"/>
        </w:rPr>
        <w:t>存在</w:t>
      </w:r>
      <w:r>
        <w:rPr>
          <w:rFonts w:hint="eastAsia" w:ascii="Times New Roman" w:hAnsi="Times New Roman" w:eastAsia="宋体" w:cs="Times New Roman"/>
          <w:color w:val="auto"/>
          <w:sz w:val="24"/>
          <w:szCs w:val="24"/>
          <w:highlight w:val="none"/>
          <w:u w:val="single" w:color="auto"/>
          <w:lang w:val="en-US" w:eastAsia="zh-CN"/>
        </w:rPr>
        <w:t>青山桥镇污水处理厂入河排污口</w:t>
      </w:r>
      <w:r>
        <w:rPr>
          <w:rFonts w:hint="eastAsia" w:cs="Times New Roman"/>
          <w:color w:val="auto"/>
          <w:sz w:val="24"/>
          <w:szCs w:val="24"/>
          <w:highlight w:val="none"/>
          <w:u w:val="single" w:color="auto"/>
          <w:lang w:val="en-US" w:eastAsia="zh-CN"/>
        </w:rPr>
        <w:t>。根据《湘潭县青山桥镇污水处理工程建设项目环境影响报告表》可知，青山桥镇污水处理厂入河</w:t>
      </w:r>
      <w:r>
        <w:rPr>
          <w:rFonts w:hint="default" w:ascii="Times New Roman" w:hAnsi="Times New Roman" w:cs="Times New Roman"/>
          <w:color w:val="auto"/>
          <w:sz w:val="24"/>
          <w:highlight w:val="none"/>
          <w:u w:val="single" w:color="auto"/>
          <w:lang w:val="en-US" w:eastAsia="zh-CN"/>
        </w:rPr>
        <w:t>排污口地理位置为</w:t>
      </w:r>
      <w:r>
        <w:rPr>
          <w:rFonts w:hint="eastAsia" w:ascii="Times New Roman" w:hAnsi="Times New Roman" w:cs="Times New Roman"/>
          <w:color w:val="auto"/>
          <w:sz w:val="24"/>
          <w:highlight w:val="none"/>
          <w:u w:val="single" w:color="auto"/>
          <w:lang w:val="en-US" w:eastAsia="zh-CN"/>
        </w:rPr>
        <w:t>E</w:t>
      </w:r>
      <w:r>
        <w:rPr>
          <w:rFonts w:hint="default" w:ascii="Times New Roman" w:hAnsi="Times New Roman" w:cs="Times New Roman"/>
          <w:color w:val="auto"/>
          <w:sz w:val="24"/>
          <w:highlight w:val="none"/>
          <w:u w:val="single" w:color="auto"/>
          <w:lang w:val="en-US" w:eastAsia="zh-CN"/>
        </w:rPr>
        <w:t>112.573271693</w:t>
      </w:r>
      <w:r>
        <w:rPr>
          <w:rFonts w:hint="eastAsia" w:ascii="Times New Roman" w:hAnsi="Times New Roman" w:cs="Times New Roman"/>
          <w:color w:val="auto"/>
          <w:sz w:val="24"/>
          <w:highlight w:val="none"/>
          <w:u w:val="single" w:color="auto"/>
          <w:lang w:val="en-US" w:eastAsia="zh-CN"/>
        </w:rPr>
        <w:t>，N</w:t>
      </w:r>
      <w:r>
        <w:rPr>
          <w:rFonts w:hint="default" w:ascii="Times New Roman" w:hAnsi="Times New Roman" w:cs="Times New Roman"/>
          <w:color w:val="auto"/>
          <w:sz w:val="24"/>
          <w:highlight w:val="none"/>
          <w:u w:val="single" w:color="auto"/>
          <w:lang w:val="en-US" w:eastAsia="zh-CN"/>
        </w:rPr>
        <w:t>27.483820712</w:t>
      </w:r>
      <w:r>
        <w:rPr>
          <w:rFonts w:hint="eastAsia" w:ascii="Times New Roman" w:hAnsi="Times New Roman" w:cs="Times New Roman"/>
          <w:color w:val="auto"/>
          <w:sz w:val="24"/>
          <w:highlight w:val="none"/>
          <w:u w:val="single" w:color="auto"/>
          <w:lang w:val="en-US" w:eastAsia="zh-CN"/>
        </w:rPr>
        <w:t>，</w:t>
      </w:r>
      <w:r>
        <w:rPr>
          <w:rFonts w:hint="eastAsia" w:ascii="Times New Roman" w:hAnsi="Times New Roman" w:eastAsia="宋体" w:cs="Times New Roman"/>
          <w:color w:val="auto"/>
          <w:sz w:val="24"/>
          <w:szCs w:val="24"/>
          <w:highlight w:val="none"/>
          <w:u w:val="single" w:color="auto"/>
          <w:lang w:val="en-US" w:eastAsia="zh-CN"/>
        </w:rPr>
        <w:t>入河排污口排污量为COD18.25t/a、氨氮1.825t/a</w:t>
      </w:r>
      <w:r>
        <w:rPr>
          <w:rFonts w:hint="eastAsia" w:ascii="Times New Roman" w:hAnsi="Times New Roman" w:cs="Times New Roman"/>
          <w:color w:val="auto"/>
          <w:sz w:val="24"/>
          <w:highlight w:val="none"/>
          <w:u w:val="single" w:color="auto"/>
          <w:lang w:val="en-US" w:eastAsia="zh-CN"/>
        </w:rPr>
        <w:t>。该位于本项目排污口下游7.035km处。</w:t>
      </w:r>
    </w:p>
    <w:p w14:paraId="5BD70F0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both"/>
        <w:textAlignment w:val="baseline"/>
        <w:outlineLvl w:val="1"/>
        <w:rPr>
          <w:rFonts w:hint="default" w:ascii="Times New Roman" w:hAnsi="Times New Roman" w:eastAsia="宋体" w:cs="Times New Roman"/>
          <w:b/>
          <w:bCs/>
          <w:spacing w:val="-2"/>
          <w:sz w:val="28"/>
          <w:szCs w:val="28"/>
          <w:lang w:eastAsia="zh-CN"/>
        </w:rPr>
      </w:pPr>
      <w:bookmarkStart w:id="110" w:name="_Toc9652"/>
      <w:bookmarkStart w:id="111" w:name="_Toc19085"/>
      <w:r>
        <w:rPr>
          <w:rFonts w:hint="default" w:ascii="Times New Roman" w:hAnsi="Times New Roman" w:eastAsia="宋体" w:cs="Times New Roman"/>
          <w:b/>
          <w:bCs/>
          <w:spacing w:val="-2"/>
          <w:sz w:val="28"/>
          <w:szCs w:val="28"/>
          <w:lang w:eastAsia="zh-CN"/>
        </w:rPr>
        <w:t>4.</w:t>
      </w:r>
      <w:r>
        <w:rPr>
          <w:rFonts w:hint="default" w:ascii="Times New Roman" w:hAnsi="Times New Roman" w:eastAsia="宋体" w:cs="Times New Roman"/>
          <w:b/>
          <w:bCs/>
          <w:spacing w:val="-2"/>
          <w:sz w:val="28"/>
          <w:szCs w:val="28"/>
          <w:lang w:val="en-US" w:eastAsia="zh-CN"/>
        </w:rPr>
        <w:t>2</w:t>
      </w:r>
      <w:r>
        <w:rPr>
          <w:rFonts w:hint="default" w:ascii="Times New Roman" w:hAnsi="Times New Roman" w:eastAsia="宋体" w:cs="Times New Roman"/>
          <w:b/>
          <w:bCs/>
          <w:spacing w:val="-2"/>
          <w:sz w:val="28"/>
          <w:szCs w:val="28"/>
          <w:lang w:eastAsia="zh-CN"/>
        </w:rPr>
        <w:t>水环境状况调查分析</w:t>
      </w:r>
      <w:bookmarkEnd w:id="110"/>
      <w:bookmarkEnd w:id="111"/>
    </w:p>
    <w:p w14:paraId="41AE6F8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both"/>
        <w:textAlignment w:val="baseline"/>
        <w:outlineLvl w:val="2"/>
        <w:rPr>
          <w:rFonts w:ascii="宋体" w:hAnsi="宋体" w:eastAsia="宋体" w:cs="宋体"/>
          <w:sz w:val="24"/>
          <w:szCs w:val="24"/>
        </w:rPr>
      </w:pPr>
      <w:bookmarkStart w:id="112" w:name="_Toc3214"/>
      <w:bookmarkStart w:id="113" w:name="_Toc19202"/>
      <w:bookmarkStart w:id="114" w:name="_Toc22468"/>
      <w:r>
        <w:rPr>
          <w:rFonts w:ascii="Times New Roman" w:hAnsi="Times New Roman" w:eastAsia="Times New Roman" w:cs="Times New Roman"/>
          <w:b/>
          <w:bCs/>
          <w:spacing w:val="-2"/>
          <w:sz w:val="24"/>
          <w:szCs w:val="24"/>
        </w:rPr>
        <w:t>4.</w:t>
      </w:r>
      <w:r>
        <w:rPr>
          <w:rFonts w:hint="eastAsia" w:ascii="Times New Roman" w:hAnsi="Times New Roman" w:eastAsia="宋体" w:cs="Times New Roman"/>
          <w:b/>
          <w:bCs/>
          <w:spacing w:val="-2"/>
          <w:sz w:val="24"/>
          <w:szCs w:val="24"/>
          <w:lang w:val="en-US" w:eastAsia="zh-CN"/>
        </w:rPr>
        <w:t>2</w:t>
      </w:r>
      <w:r>
        <w:rPr>
          <w:rFonts w:ascii="Times New Roman" w:hAnsi="Times New Roman" w:eastAsia="Times New Roman" w:cs="Times New Roman"/>
          <w:b/>
          <w:bCs/>
          <w:spacing w:val="-2"/>
          <w:sz w:val="24"/>
          <w:szCs w:val="24"/>
        </w:rPr>
        <w:t>.1</w:t>
      </w:r>
      <w:r>
        <w:rPr>
          <w:rFonts w:ascii="宋体" w:hAnsi="宋体" w:eastAsia="宋体" w:cs="宋体"/>
          <w:b/>
          <w:bCs/>
          <w:spacing w:val="-2"/>
          <w:sz w:val="24"/>
          <w:szCs w:val="24"/>
        </w:rPr>
        <w:t>水质现状评价范围</w:t>
      </w:r>
      <w:bookmarkEnd w:id="112"/>
      <w:bookmarkEnd w:id="113"/>
      <w:bookmarkEnd w:id="114"/>
    </w:p>
    <w:p w14:paraId="56EF393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1"/>
        <w:jc w:val="both"/>
        <w:textAlignment w:val="baseline"/>
        <w:rPr>
          <w:rFonts w:ascii="宋体" w:hAnsi="宋体" w:eastAsia="宋体" w:cs="宋体"/>
          <w:sz w:val="24"/>
          <w:szCs w:val="24"/>
          <w:lang w:eastAsia="zh-CN"/>
        </w:rPr>
      </w:pPr>
      <w:r>
        <w:rPr>
          <w:rFonts w:hint="default" w:ascii="Times New Roman" w:hAnsi="Times New Roman" w:eastAsia="宋体" w:cs="Times New Roman"/>
          <w:color w:val="auto"/>
          <w:kern w:val="2"/>
          <w:sz w:val="24"/>
          <w:szCs w:val="24"/>
          <w:u w:val="none" w:color="auto"/>
          <w:lang w:val="en-US" w:eastAsia="zh-CN"/>
        </w:rPr>
        <w:t>排污口</w:t>
      </w:r>
      <w:r>
        <w:rPr>
          <w:rFonts w:hint="default" w:ascii="Times New Roman" w:hAnsi="Times New Roman" w:eastAsia="宋体" w:cs="Times New Roman"/>
          <w:color w:val="auto"/>
          <w:kern w:val="0"/>
          <w:sz w:val="24"/>
          <w:szCs w:val="24"/>
          <w:highlight w:val="none"/>
          <w:u w:val="none" w:color="auto"/>
          <w:lang w:val="en-US" w:eastAsia="zh-CN"/>
        </w:rPr>
        <w:t>上游200m至交汇处下游16.423km</w:t>
      </w:r>
      <w:r>
        <w:rPr>
          <w:rFonts w:ascii="宋体" w:hAnsi="宋体" w:eastAsia="宋体" w:cs="宋体"/>
          <w:color w:val="000000" w:themeColor="text1"/>
          <w:spacing w:val="-3"/>
          <w:sz w:val="24"/>
          <w:szCs w:val="24"/>
          <w:lang w:eastAsia="zh-CN"/>
          <w14:textFill>
            <w14:solidFill>
              <w14:schemeClr w14:val="tx1"/>
            </w14:solidFill>
          </w14:textFill>
        </w:rPr>
        <w:t>。</w:t>
      </w:r>
    </w:p>
    <w:p w14:paraId="46F1BF6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both"/>
        <w:textAlignment w:val="baseline"/>
        <w:outlineLvl w:val="2"/>
        <w:rPr>
          <w:rFonts w:ascii="宋体" w:hAnsi="宋体" w:eastAsia="宋体" w:cs="宋体"/>
          <w:sz w:val="24"/>
          <w:szCs w:val="24"/>
          <w:lang w:eastAsia="zh-CN"/>
        </w:rPr>
      </w:pPr>
      <w:bookmarkStart w:id="115" w:name="_Toc4813"/>
      <w:bookmarkStart w:id="116" w:name="_Toc21590"/>
      <w:bookmarkStart w:id="117" w:name="_Toc18538"/>
      <w:r>
        <w:rPr>
          <w:rFonts w:ascii="Times New Roman" w:hAnsi="Times New Roman" w:eastAsia="Times New Roman" w:cs="Times New Roman"/>
          <w:b/>
          <w:bCs/>
          <w:spacing w:val="-2"/>
          <w:sz w:val="24"/>
          <w:szCs w:val="24"/>
          <w:lang w:eastAsia="zh-CN"/>
        </w:rPr>
        <w:t>4.</w:t>
      </w:r>
      <w:r>
        <w:rPr>
          <w:rFonts w:hint="eastAsia" w:ascii="Times New Roman" w:hAnsi="Times New Roman" w:eastAsia="Times New Roman" w:cs="Times New Roman"/>
          <w:b/>
          <w:bCs/>
          <w:spacing w:val="-2"/>
          <w:sz w:val="24"/>
          <w:szCs w:val="24"/>
          <w:lang w:val="en-US" w:eastAsia="zh-CN"/>
        </w:rPr>
        <w:t>2</w:t>
      </w:r>
      <w:r>
        <w:rPr>
          <w:rFonts w:ascii="Times New Roman" w:hAnsi="Times New Roman" w:eastAsia="Times New Roman" w:cs="Times New Roman"/>
          <w:b/>
          <w:bCs/>
          <w:spacing w:val="-2"/>
          <w:sz w:val="24"/>
          <w:szCs w:val="24"/>
          <w:lang w:eastAsia="zh-CN"/>
        </w:rPr>
        <w:t>.2</w:t>
      </w:r>
      <w:r>
        <w:rPr>
          <w:rFonts w:ascii="宋体" w:hAnsi="宋体" w:eastAsia="宋体" w:cs="宋体"/>
          <w:b/>
          <w:bCs/>
          <w:spacing w:val="-2"/>
          <w:sz w:val="24"/>
          <w:szCs w:val="24"/>
          <w:lang w:eastAsia="zh-CN"/>
        </w:rPr>
        <w:t>水质评价标准</w:t>
      </w:r>
      <w:bookmarkEnd w:id="115"/>
      <w:bookmarkEnd w:id="116"/>
      <w:bookmarkEnd w:id="117"/>
    </w:p>
    <w:p w14:paraId="2291920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1"/>
        <w:jc w:val="both"/>
        <w:textAlignment w:val="baseline"/>
        <w:rPr>
          <w:rFonts w:hint="default" w:ascii="Times New Roman" w:hAnsi="Times New Roman" w:eastAsia="宋体" w:cs="Times New Roman"/>
          <w:sz w:val="24"/>
          <w:szCs w:val="24"/>
          <w:lang w:eastAsia="zh-CN"/>
        </w:rPr>
      </w:pPr>
      <w:r>
        <w:rPr>
          <w:rFonts w:hint="default" w:ascii="Times New Roman" w:hAnsi="Times New Roman" w:eastAsia="宋体" w:cs="Times New Roman"/>
          <w:spacing w:val="3"/>
          <w:sz w:val="24"/>
          <w:szCs w:val="24"/>
          <w:lang w:eastAsia="zh-CN"/>
        </w:rPr>
        <w:t>根据《</w:t>
      </w:r>
      <w:r>
        <w:rPr>
          <w:rFonts w:hint="default" w:ascii="Times New Roman" w:hAnsi="Times New Roman" w:eastAsia="宋体" w:cs="Times New Roman"/>
          <w:spacing w:val="3"/>
          <w:sz w:val="24"/>
          <w:szCs w:val="24"/>
          <w:lang w:val="en-US" w:eastAsia="zh-CN"/>
        </w:rPr>
        <w:t>湘潭县</w:t>
      </w:r>
      <w:r>
        <w:rPr>
          <w:rFonts w:hint="default" w:ascii="Times New Roman" w:hAnsi="Times New Roman" w:eastAsia="宋体" w:cs="Times New Roman"/>
          <w:spacing w:val="3"/>
          <w:sz w:val="24"/>
          <w:szCs w:val="24"/>
          <w:lang w:eastAsia="zh-CN"/>
        </w:rPr>
        <w:t>水功能区划》，水质目标为《地表水环境质量标准》（GB3838-2002）中Ⅲ类标准</w:t>
      </w:r>
      <w:r>
        <w:rPr>
          <w:rFonts w:hint="default" w:ascii="Times New Roman" w:hAnsi="Times New Roman" w:eastAsia="宋体" w:cs="Times New Roman"/>
          <w:spacing w:val="-1"/>
          <w:sz w:val="24"/>
          <w:szCs w:val="24"/>
          <w:lang w:eastAsia="zh-CN"/>
        </w:rPr>
        <w:t>。</w:t>
      </w:r>
    </w:p>
    <w:p w14:paraId="6527002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both"/>
        <w:textAlignment w:val="baseline"/>
        <w:outlineLvl w:val="2"/>
        <w:rPr>
          <w:rFonts w:ascii="宋体" w:hAnsi="宋体" w:eastAsia="宋体" w:cs="宋体"/>
          <w:sz w:val="24"/>
          <w:szCs w:val="24"/>
          <w:lang w:eastAsia="zh-CN"/>
        </w:rPr>
      </w:pPr>
      <w:bookmarkStart w:id="118" w:name="_Toc13195"/>
      <w:bookmarkStart w:id="119" w:name="_Toc27302"/>
      <w:bookmarkStart w:id="120" w:name="_Toc29883"/>
      <w:r>
        <w:rPr>
          <w:rFonts w:ascii="Times New Roman" w:hAnsi="Times New Roman" w:eastAsia="Times New Roman" w:cs="Times New Roman"/>
          <w:b/>
          <w:bCs/>
          <w:spacing w:val="-2"/>
          <w:sz w:val="24"/>
          <w:szCs w:val="24"/>
          <w:lang w:eastAsia="zh-CN"/>
        </w:rPr>
        <w:t>4.</w:t>
      </w:r>
      <w:r>
        <w:rPr>
          <w:rFonts w:hint="eastAsia" w:ascii="Times New Roman" w:hAnsi="Times New Roman" w:eastAsia="Times New Roman" w:cs="Times New Roman"/>
          <w:b/>
          <w:bCs/>
          <w:spacing w:val="-2"/>
          <w:sz w:val="24"/>
          <w:szCs w:val="24"/>
          <w:lang w:val="en-US" w:eastAsia="zh-CN"/>
        </w:rPr>
        <w:t>2</w:t>
      </w:r>
      <w:r>
        <w:rPr>
          <w:rFonts w:ascii="Times New Roman" w:hAnsi="Times New Roman" w:eastAsia="Times New Roman" w:cs="Times New Roman"/>
          <w:b/>
          <w:bCs/>
          <w:spacing w:val="-2"/>
          <w:sz w:val="24"/>
          <w:szCs w:val="24"/>
          <w:lang w:eastAsia="zh-CN"/>
        </w:rPr>
        <w:t>.3</w:t>
      </w:r>
      <w:r>
        <w:rPr>
          <w:rFonts w:ascii="宋体" w:hAnsi="宋体" w:eastAsia="宋体" w:cs="宋体"/>
          <w:b/>
          <w:bCs/>
          <w:spacing w:val="-2"/>
          <w:sz w:val="24"/>
          <w:szCs w:val="24"/>
          <w:lang w:eastAsia="zh-CN"/>
        </w:rPr>
        <w:t>水质监测断面的布设</w:t>
      </w:r>
      <w:bookmarkEnd w:id="118"/>
      <w:bookmarkEnd w:id="119"/>
      <w:bookmarkEnd w:id="120"/>
    </w:p>
    <w:p w14:paraId="353B51C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2" w:firstLineChars="200"/>
        <w:jc w:val="both"/>
        <w:textAlignment w:val="baseline"/>
        <w:rPr>
          <w:rFonts w:ascii="宋体" w:hAnsi="宋体" w:eastAsia="宋体" w:cs="宋体"/>
          <w:sz w:val="24"/>
          <w:szCs w:val="24"/>
          <w:lang w:eastAsia="zh-CN"/>
        </w:rPr>
      </w:pPr>
      <w:r>
        <w:rPr>
          <w:rFonts w:ascii="宋体" w:hAnsi="宋体" w:eastAsia="宋体" w:cs="宋体"/>
          <w:b/>
          <w:bCs/>
          <w:spacing w:val="-5"/>
          <w:sz w:val="24"/>
          <w:szCs w:val="24"/>
          <w:lang w:eastAsia="zh-CN"/>
        </w:rPr>
        <w:t>（</w:t>
      </w:r>
      <w:r>
        <w:rPr>
          <w:rFonts w:ascii="Times New Roman" w:hAnsi="Times New Roman" w:eastAsia="Times New Roman" w:cs="Times New Roman"/>
          <w:b/>
          <w:bCs/>
          <w:spacing w:val="-5"/>
          <w:sz w:val="24"/>
          <w:szCs w:val="24"/>
          <w:lang w:eastAsia="zh-CN"/>
        </w:rPr>
        <w:t>1</w:t>
      </w:r>
      <w:r>
        <w:rPr>
          <w:rFonts w:ascii="宋体" w:hAnsi="宋体" w:eastAsia="宋体" w:cs="宋体"/>
          <w:b/>
          <w:bCs/>
          <w:spacing w:val="-5"/>
          <w:sz w:val="24"/>
          <w:szCs w:val="24"/>
          <w:lang w:eastAsia="zh-CN"/>
        </w:rPr>
        <w:t>）监测断面</w:t>
      </w:r>
    </w:p>
    <w:p w14:paraId="56F96E3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1"/>
        <w:jc w:val="both"/>
        <w:textAlignment w:val="baseline"/>
        <w:rPr>
          <w:rFonts w:ascii="Times New Roman" w:hAnsi="Times New Roman" w:eastAsia="宋体" w:cs="Times New Roman"/>
          <w:b/>
          <w:bCs/>
          <w:spacing w:val="6"/>
          <w:lang w:eastAsia="zh-CN"/>
        </w:rPr>
      </w:pPr>
      <w:r>
        <w:rPr>
          <w:rFonts w:hint="eastAsia" w:ascii="Times New Roman" w:hAnsi="Times New Roman" w:eastAsia="宋体" w:cs="Times New Roman"/>
          <w:spacing w:val="3"/>
          <w:sz w:val="24"/>
          <w:szCs w:val="24"/>
          <w:lang w:val="en-US" w:eastAsia="zh-CN"/>
        </w:rPr>
        <w:t>本项目评价区域的直接纳污水体为青山河，流经约16.423km后汇入涓水。为了解项目建设区域地表水环境质量现状，本次委托湖南瑞鉴检测有限公司于2025年10月31日~11月2日对项目所在地地表水水质现状进行监测，具体监测内容详见下表</w:t>
      </w:r>
      <w:r>
        <w:rPr>
          <w:rFonts w:hint="eastAsia" w:ascii="Times New Roman" w:hAnsi="Times New Roman" w:eastAsia="宋体" w:cs="Times New Roman"/>
          <w:spacing w:val="3"/>
          <w:sz w:val="24"/>
          <w:szCs w:val="24"/>
          <w:lang w:eastAsia="zh-CN"/>
        </w:rPr>
        <w:t>，</w:t>
      </w:r>
      <w:r>
        <w:rPr>
          <w:rFonts w:hint="eastAsia" w:ascii="Times New Roman" w:hAnsi="Times New Roman" w:eastAsia="宋体" w:cs="Times New Roman"/>
          <w:spacing w:val="3"/>
          <w:sz w:val="24"/>
          <w:szCs w:val="24"/>
          <w:lang w:val="en-US" w:eastAsia="zh-CN"/>
        </w:rPr>
        <w:t>监测结果如表4.2-3.</w:t>
      </w:r>
    </w:p>
    <w:p w14:paraId="01A1800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Times New Roman" w:hAnsi="Times New Roman" w:eastAsia="宋体" w:cs="Times New Roman"/>
          <w:lang w:eastAsia="zh-CN"/>
        </w:rPr>
      </w:pPr>
      <w:r>
        <w:rPr>
          <w:rFonts w:ascii="Times New Roman" w:hAnsi="Times New Roman" w:eastAsia="宋体" w:cs="Times New Roman"/>
          <w:b/>
          <w:bCs/>
          <w:spacing w:val="6"/>
          <w:lang w:eastAsia="zh-CN"/>
        </w:rPr>
        <w:t>表</w:t>
      </w:r>
      <w:r>
        <w:rPr>
          <w:rFonts w:hint="eastAsia" w:ascii="Times New Roman" w:hAnsi="Times New Roman" w:eastAsia="宋体" w:cs="Times New Roman"/>
          <w:b/>
          <w:bCs/>
          <w:spacing w:val="6"/>
          <w:lang w:val="en-US" w:eastAsia="zh-CN"/>
        </w:rPr>
        <w:t>4.2-1</w:t>
      </w:r>
      <w:r>
        <w:rPr>
          <w:rFonts w:ascii="Times New Roman" w:hAnsi="Times New Roman" w:eastAsia="宋体" w:cs="Times New Roman"/>
          <w:b/>
          <w:bCs/>
          <w:spacing w:val="6"/>
          <w:lang w:eastAsia="zh-CN"/>
        </w:rPr>
        <w:t>地表水环境质量现状监测点位（实测断面）</w:t>
      </w:r>
    </w:p>
    <w:tbl>
      <w:tblPr>
        <w:tblStyle w:val="28"/>
        <w:tblW w:w="4999" w:type="pct"/>
        <w:tblInd w:w="0" w:type="dxa"/>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autofit"/>
        <w:tblCellMar>
          <w:top w:w="0" w:type="dxa"/>
          <w:left w:w="0" w:type="dxa"/>
          <w:bottom w:w="0" w:type="dxa"/>
          <w:right w:w="0" w:type="dxa"/>
        </w:tblCellMar>
      </w:tblPr>
      <w:tblGrid>
        <w:gridCol w:w="1057"/>
        <w:gridCol w:w="3499"/>
        <w:gridCol w:w="3751"/>
      </w:tblGrid>
      <w:tr w14:paraId="7A1FD851">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636" w:type="pct"/>
            <w:vAlign w:val="center"/>
          </w:tcPr>
          <w:p w14:paraId="04573173">
            <w:pPr>
              <w:pStyle w:val="29"/>
              <w:spacing w:before="69" w:line="228" w:lineRule="auto"/>
              <w:jc w:val="center"/>
              <w:rPr>
                <w:b w:val="0"/>
                <w:bCs w:val="0"/>
                <w:sz w:val="21"/>
                <w:szCs w:val="21"/>
              </w:rPr>
            </w:pPr>
            <w:r>
              <w:rPr>
                <w:b w:val="0"/>
                <w:bCs w:val="0"/>
                <w:spacing w:val="3"/>
                <w:sz w:val="21"/>
                <w:szCs w:val="21"/>
              </w:rPr>
              <w:t>点位编号</w:t>
            </w:r>
          </w:p>
        </w:tc>
        <w:tc>
          <w:tcPr>
            <w:tcW w:w="2105" w:type="pct"/>
            <w:vAlign w:val="center"/>
          </w:tcPr>
          <w:p w14:paraId="21DE7038">
            <w:pPr>
              <w:pStyle w:val="29"/>
              <w:spacing w:before="69" w:line="229" w:lineRule="auto"/>
              <w:jc w:val="center"/>
              <w:rPr>
                <w:b w:val="0"/>
                <w:bCs w:val="0"/>
                <w:sz w:val="21"/>
                <w:szCs w:val="21"/>
              </w:rPr>
            </w:pPr>
            <w:r>
              <w:rPr>
                <w:b w:val="0"/>
                <w:bCs w:val="0"/>
                <w:spacing w:val="6"/>
                <w:sz w:val="21"/>
                <w:szCs w:val="21"/>
              </w:rPr>
              <w:t>监测点位位置</w:t>
            </w:r>
          </w:p>
        </w:tc>
        <w:tc>
          <w:tcPr>
            <w:tcW w:w="2257" w:type="pct"/>
            <w:vAlign w:val="center"/>
          </w:tcPr>
          <w:p w14:paraId="7ECA7B5D">
            <w:pPr>
              <w:pStyle w:val="29"/>
              <w:spacing w:before="69" w:line="228" w:lineRule="auto"/>
              <w:jc w:val="center"/>
              <w:rPr>
                <w:b w:val="0"/>
                <w:bCs w:val="0"/>
                <w:sz w:val="21"/>
                <w:szCs w:val="21"/>
              </w:rPr>
            </w:pPr>
            <w:r>
              <w:rPr>
                <w:b w:val="0"/>
                <w:bCs w:val="0"/>
                <w:spacing w:val="7"/>
                <w:sz w:val="21"/>
                <w:szCs w:val="21"/>
              </w:rPr>
              <w:t>监测因子及频次</w:t>
            </w:r>
          </w:p>
        </w:tc>
      </w:tr>
      <w:tr w14:paraId="1D7E0148">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636" w:type="pct"/>
            <w:vAlign w:val="center"/>
          </w:tcPr>
          <w:p w14:paraId="2E4C53FB">
            <w:pPr>
              <w:pStyle w:val="29"/>
              <w:spacing w:line="480" w:lineRule="exact"/>
              <w:jc w:val="center"/>
              <w:rPr>
                <w:rFonts w:ascii="Times New Roman" w:hAnsi="Times New Roman" w:cs="Times New Roman"/>
                <w:b w:val="0"/>
                <w:bCs w:val="0"/>
                <w:sz w:val="21"/>
                <w:szCs w:val="21"/>
                <w:lang w:eastAsia="zh-CN"/>
              </w:rPr>
            </w:pPr>
            <w:r>
              <w:rPr>
                <w:rFonts w:hint="eastAsia" w:ascii="Times New Roman" w:hAnsi="Times New Roman" w:cs="Times New Roman"/>
                <w:b w:val="0"/>
                <w:bCs w:val="0"/>
                <w:sz w:val="21"/>
                <w:szCs w:val="21"/>
                <w:lang w:val="en-US" w:eastAsia="zh-CN"/>
              </w:rPr>
              <w:t>S</w:t>
            </w:r>
            <w:r>
              <w:rPr>
                <w:rFonts w:hint="eastAsia" w:ascii="Times New Roman" w:hAnsi="Times New Roman" w:cs="Times New Roman"/>
                <w:b w:val="0"/>
                <w:bCs w:val="0"/>
                <w:sz w:val="21"/>
                <w:szCs w:val="21"/>
                <w:lang w:eastAsia="zh-CN"/>
              </w:rPr>
              <w:t>1</w:t>
            </w:r>
          </w:p>
        </w:tc>
        <w:tc>
          <w:tcPr>
            <w:tcW w:w="2105" w:type="pct"/>
            <w:vAlign w:val="center"/>
          </w:tcPr>
          <w:p w14:paraId="717099FE">
            <w:pPr>
              <w:pStyle w:val="29"/>
              <w:spacing w:line="480" w:lineRule="exact"/>
              <w:jc w:val="center"/>
              <w:rPr>
                <w:rFonts w:ascii="Times New Roman" w:hAnsi="Times New Roman" w:cs="Times New Roman"/>
                <w:b w:val="0"/>
                <w:bCs w:val="0"/>
                <w:sz w:val="21"/>
                <w:szCs w:val="21"/>
                <w:lang w:eastAsia="zh-CN"/>
              </w:rPr>
            </w:pPr>
            <w:r>
              <w:rPr>
                <w:rFonts w:hint="eastAsia" w:ascii="Times New Roman" w:hAnsi="Times New Roman" w:cs="Times New Roman"/>
                <w:b w:val="0"/>
                <w:bCs w:val="0"/>
                <w:sz w:val="21"/>
                <w:szCs w:val="21"/>
                <w:lang w:eastAsia="zh-CN"/>
              </w:rPr>
              <w:t>排污</w:t>
            </w:r>
            <w:r>
              <w:rPr>
                <w:rFonts w:ascii="Times New Roman" w:hAnsi="Times New Roman" w:cs="Times New Roman"/>
                <w:b w:val="0"/>
                <w:bCs w:val="0"/>
                <w:sz w:val="21"/>
                <w:szCs w:val="21"/>
                <w:lang w:eastAsia="zh-CN"/>
              </w:rPr>
              <w:t>口</w:t>
            </w:r>
            <w:r>
              <w:rPr>
                <w:rFonts w:hint="eastAsia" w:ascii="Times New Roman" w:hAnsi="Times New Roman" w:cs="Times New Roman"/>
                <w:b w:val="0"/>
                <w:bCs w:val="0"/>
                <w:sz w:val="21"/>
                <w:szCs w:val="21"/>
                <w:lang w:eastAsia="zh-CN"/>
              </w:rPr>
              <w:t>上游</w:t>
            </w:r>
            <w:r>
              <w:rPr>
                <w:rFonts w:hint="eastAsia" w:ascii="Times New Roman" w:hAnsi="Times New Roman" w:cs="Times New Roman"/>
                <w:b w:val="0"/>
                <w:bCs w:val="0"/>
                <w:sz w:val="21"/>
                <w:szCs w:val="21"/>
                <w:lang w:val="en-US" w:eastAsia="zh-CN"/>
              </w:rPr>
              <w:t>200</w:t>
            </w:r>
            <w:r>
              <w:rPr>
                <w:rFonts w:hint="eastAsia" w:ascii="Times New Roman" w:hAnsi="Times New Roman" w:cs="Times New Roman"/>
                <w:b w:val="0"/>
                <w:bCs w:val="0"/>
                <w:sz w:val="21"/>
                <w:szCs w:val="21"/>
                <w:lang w:eastAsia="zh-CN"/>
              </w:rPr>
              <w:t>m</w:t>
            </w:r>
          </w:p>
        </w:tc>
        <w:tc>
          <w:tcPr>
            <w:tcW w:w="2257" w:type="pct"/>
            <w:vMerge w:val="restart"/>
            <w:tcBorders>
              <w:bottom w:val="nil"/>
            </w:tcBorders>
            <w:vAlign w:val="center"/>
          </w:tcPr>
          <w:p w14:paraId="257E9078">
            <w:pPr>
              <w:pStyle w:val="29"/>
              <w:spacing w:before="37" w:line="221" w:lineRule="auto"/>
              <w:jc w:val="center"/>
              <w:rPr>
                <w:b w:val="0"/>
                <w:bCs w:val="0"/>
                <w:sz w:val="21"/>
                <w:szCs w:val="21"/>
                <w:lang w:eastAsia="zh-CN"/>
              </w:rPr>
            </w:pPr>
            <w:r>
              <w:rPr>
                <w:rFonts w:hint="default" w:ascii="Times New Roman" w:hAnsi="Times New Roman" w:eastAsia="宋体" w:cs="Times New Roman"/>
                <w:b w:val="0"/>
                <w:bCs w:val="0"/>
                <w:color w:val="000000"/>
                <w:kern w:val="1"/>
                <w:sz w:val="21"/>
                <w:szCs w:val="21"/>
                <w:u w:val="none" w:color="auto"/>
                <w:lang w:val="en-US" w:eastAsia="zh-CN" w:bidi="ar-SA"/>
              </w:rPr>
              <w:t>pH值、色度、COD</w:t>
            </w:r>
            <w:r>
              <w:rPr>
                <w:rFonts w:hint="default" w:ascii="Times New Roman" w:hAnsi="Times New Roman" w:eastAsia="宋体" w:cs="Times New Roman"/>
                <w:b w:val="0"/>
                <w:bCs w:val="0"/>
                <w:color w:val="000000"/>
                <w:kern w:val="1"/>
                <w:sz w:val="21"/>
                <w:szCs w:val="21"/>
                <w:u w:val="none" w:color="auto"/>
                <w:vertAlign w:val="subscript"/>
                <w:lang w:val="en-US" w:eastAsia="zh-CN" w:bidi="ar-SA"/>
              </w:rPr>
              <w:t>Cr</w:t>
            </w:r>
            <w:r>
              <w:rPr>
                <w:rFonts w:hint="default" w:ascii="Times New Roman" w:hAnsi="Times New Roman" w:eastAsia="宋体" w:cs="Times New Roman"/>
                <w:b w:val="0"/>
                <w:bCs w:val="0"/>
                <w:color w:val="000000"/>
                <w:kern w:val="1"/>
                <w:sz w:val="21"/>
                <w:szCs w:val="21"/>
                <w:u w:val="none" w:color="auto"/>
                <w:lang w:val="en-US" w:eastAsia="zh-CN" w:bidi="ar-SA"/>
              </w:rPr>
              <w:t>、BOD</w:t>
            </w:r>
            <w:r>
              <w:rPr>
                <w:rFonts w:hint="default" w:ascii="Times New Roman" w:hAnsi="Times New Roman" w:eastAsia="宋体" w:cs="Times New Roman"/>
                <w:b w:val="0"/>
                <w:bCs w:val="0"/>
                <w:color w:val="000000"/>
                <w:kern w:val="1"/>
                <w:sz w:val="21"/>
                <w:szCs w:val="21"/>
                <w:u w:val="none" w:color="auto"/>
                <w:vertAlign w:val="subscript"/>
                <w:lang w:val="en-US" w:eastAsia="zh-CN" w:bidi="ar-SA"/>
              </w:rPr>
              <w:t>5</w:t>
            </w:r>
            <w:r>
              <w:rPr>
                <w:rFonts w:hint="default" w:ascii="Times New Roman" w:hAnsi="Times New Roman" w:eastAsia="宋体" w:cs="Times New Roman"/>
                <w:b w:val="0"/>
                <w:bCs w:val="0"/>
                <w:color w:val="000000"/>
                <w:kern w:val="1"/>
                <w:sz w:val="21"/>
                <w:szCs w:val="21"/>
                <w:u w:val="none" w:color="auto"/>
                <w:lang w:val="en-US" w:eastAsia="zh-CN" w:bidi="ar-SA"/>
              </w:rPr>
              <w:t>、NH</w:t>
            </w:r>
            <w:r>
              <w:rPr>
                <w:rFonts w:hint="default" w:ascii="Times New Roman" w:hAnsi="Times New Roman" w:eastAsia="宋体" w:cs="Times New Roman"/>
                <w:b w:val="0"/>
                <w:bCs w:val="0"/>
                <w:color w:val="000000"/>
                <w:kern w:val="1"/>
                <w:sz w:val="21"/>
                <w:szCs w:val="21"/>
                <w:u w:val="none" w:color="auto"/>
                <w:vertAlign w:val="subscript"/>
                <w:lang w:val="en-US" w:eastAsia="zh-CN" w:bidi="ar-SA"/>
              </w:rPr>
              <w:t>3</w:t>
            </w:r>
            <w:r>
              <w:rPr>
                <w:rFonts w:hint="default" w:ascii="Times New Roman" w:hAnsi="Times New Roman" w:eastAsia="宋体" w:cs="Times New Roman"/>
                <w:b w:val="0"/>
                <w:bCs w:val="0"/>
                <w:color w:val="000000"/>
                <w:kern w:val="1"/>
                <w:sz w:val="21"/>
                <w:szCs w:val="21"/>
                <w:u w:val="none" w:color="auto"/>
                <w:lang w:val="en-US" w:eastAsia="zh-CN" w:bidi="ar-SA"/>
              </w:rPr>
              <w:t>-N、总磷、总氮、悬浮物、阴离子表面活性剂</w:t>
            </w:r>
          </w:p>
        </w:tc>
      </w:tr>
      <w:tr w14:paraId="5FEF9E5E">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0" w:type="dxa"/>
            <w:bottom w:w="0" w:type="dxa"/>
            <w:right w:w="0" w:type="dxa"/>
          </w:tblCellMar>
        </w:tblPrEx>
        <w:trPr>
          <w:trHeight w:val="423" w:hRule="atLeast"/>
        </w:trPr>
        <w:tc>
          <w:tcPr>
            <w:tcW w:w="636" w:type="pct"/>
            <w:vAlign w:val="center"/>
          </w:tcPr>
          <w:p w14:paraId="32EB0DDB">
            <w:pPr>
              <w:pStyle w:val="29"/>
              <w:spacing w:line="480" w:lineRule="exact"/>
              <w:jc w:val="center"/>
              <w:rPr>
                <w:rFonts w:ascii="Times New Roman" w:hAnsi="Times New Roman" w:cs="Times New Roman"/>
                <w:b w:val="0"/>
                <w:bCs w:val="0"/>
                <w:sz w:val="21"/>
                <w:szCs w:val="21"/>
                <w:lang w:eastAsia="zh-CN"/>
              </w:rPr>
            </w:pPr>
            <w:r>
              <w:rPr>
                <w:rFonts w:hint="eastAsia" w:ascii="Times New Roman" w:hAnsi="Times New Roman" w:cs="Times New Roman"/>
                <w:b w:val="0"/>
                <w:bCs w:val="0"/>
                <w:sz w:val="21"/>
                <w:szCs w:val="21"/>
                <w:lang w:val="en-US" w:eastAsia="zh-CN"/>
              </w:rPr>
              <w:t>S</w:t>
            </w:r>
            <w:r>
              <w:rPr>
                <w:rFonts w:hint="eastAsia" w:ascii="Times New Roman" w:hAnsi="Times New Roman" w:cs="Times New Roman"/>
                <w:b w:val="0"/>
                <w:bCs w:val="0"/>
                <w:sz w:val="21"/>
                <w:szCs w:val="21"/>
                <w:lang w:eastAsia="zh-CN"/>
              </w:rPr>
              <w:t>2</w:t>
            </w:r>
          </w:p>
        </w:tc>
        <w:tc>
          <w:tcPr>
            <w:tcW w:w="2105" w:type="pct"/>
            <w:vAlign w:val="center"/>
          </w:tcPr>
          <w:p w14:paraId="54FA9DC1">
            <w:pPr>
              <w:pStyle w:val="29"/>
              <w:spacing w:line="480" w:lineRule="exact"/>
              <w:jc w:val="center"/>
              <w:rPr>
                <w:rFonts w:ascii="Times New Roman" w:hAnsi="Times New Roman" w:cs="Times New Roman"/>
                <w:b w:val="0"/>
                <w:bCs w:val="0"/>
                <w:sz w:val="21"/>
                <w:szCs w:val="21"/>
                <w:lang w:eastAsia="zh-CN"/>
              </w:rPr>
            </w:pPr>
            <w:r>
              <w:rPr>
                <w:rFonts w:hint="eastAsia" w:ascii="Times New Roman" w:hAnsi="Times New Roman" w:cs="Times New Roman"/>
                <w:b w:val="0"/>
                <w:bCs w:val="0"/>
                <w:sz w:val="21"/>
                <w:szCs w:val="21"/>
                <w:lang w:eastAsia="zh-CN"/>
              </w:rPr>
              <w:t>排污</w:t>
            </w:r>
            <w:r>
              <w:rPr>
                <w:rFonts w:ascii="Times New Roman" w:hAnsi="Times New Roman" w:cs="Times New Roman"/>
                <w:b w:val="0"/>
                <w:bCs w:val="0"/>
                <w:sz w:val="21"/>
                <w:szCs w:val="21"/>
                <w:lang w:eastAsia="zh-CN"/>
              </w:rPr>
              <w:t>口</w:t>
            </w:r>
            <w:r>
              <w:rPr>
                <w:rFonts w:hint="eastAsia" w:ascii="Times New Roman" w:hAnsi="Times New Roman" w:cs="Times New Roman"/>
                <w:b w:val="0"/>
                <w:bCs w:val="0"/>
                <w:sz w:val="21"/>
                <w:szCs w:val="21"/>
                <w:lang w:eastAsia="zh-CN"/>
              </w:rPr>
              <w:t>下游</w:t>
            </w:r>
            <w:r>
              <w:rPr>
                <w:rFonts w:hint="eastAsia" w:ascii="Times New Roman" w:hAnsi="Times New Roman" w:cs="Times New Roman"/>
                <w:b w:val="0"/>
                <w:bCs w:val="0"/>
                <w:sz w:val="21"/>
                <w:szCs w:val="21"/>
                <w:lang w:val="en-US" w:eastAsia="zh-CN"/>
              </w:rPr>
              <w:t>1000</w:t>
            </w:r>
            <w:r>
              <w:rPr>
                <w:rFonts w:ascii="Times New Roman" w:hAnsi="Times New Roman" w:cs="Times New Roman"/>
                <w:b w:val="0"/>
                <w:bCs w:val="0"/>
                <w:sz w:val="21"/>
                <w:szCs w:val="21"/>
                <w:lang w:eastAsia="zh-CN"/>
              </w:rPr>
              <w:t>m</w:t>
            </w:r>
          </w:p>
        </w:tc>
        <w:tc>
          <w:tcPr>
            <w:tcW w:w="2257" w:type="pct"/>
            <w:vMerge w:val="continue"/>
            <w:tcBorders>
              <w:top w:val="nil"/>
            </w:tcBorders>
            <w:vAlign w:val="center"/>
          </w:tcPr>
          <w:p w14:paraId="29E02116">
            <w:pPr>
              <w:jc w:val="center"/>
              <w:rPr>
                <w:b w:val="0"/>
                <w:bCs w:val="0"/>
              </w:rPr>
            </w:pPr>
          </w:p>
        </w:tc>
      </w:tr>
    </w:tbl>
    <w:p w14:paraId="16E6B97B">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62" w:firstLineChars="200"/>
        <w:jc w:val="both"/>
        <w:textAlignment w:val="baseline"/>
        <w:rPr>
          <w:rFonts w:hint="default" w:ascii="宋体" w:hAnsi="宋体" w:eastAsia="宋体" w:cs="宋体"/>
          <w:sz w:val="24"/>
          <w:szCs w:val="24"/>
          <w:lang w:val="en-US" w:eastAsia="zh-CN"/>
        </w:rPr>
      </w:pPr>
      <w:r>
        <w:rPr>
          <w:rFonts w:ascii="宋体" w:hAnsi="宋体" w:eastAsia="宋体" w:cs="宋体"/>
          <w:b/>
          <w:bCs/>
          <w:spacing w:val="-5"/>
          <w:sz w:val="24"/>
          <w:szCs w:val="24"/>
          <w:lang w:eastAsia="zh-CN"/>
        </w:rPr>
        <w:t>（</w:t>
      </w:r>
      <w:r>
        <w:rPr>
          <w:rFonts w:hint="eastAsia" w:ascii="Times New Roman" w:hAnsi="Times New Roman" w:eastAsia="Times New Roman" w:cs="Times New Roman"/>
          <w:b/>
          <w:bCs/>
          <w:spacing w:val="-5"/>
          <w:sz w:val="24"/>
          <w:szCs w:val="24"/>
          <w:lang w:val="en-US" w:eastAsia="zh-CN"/>
        </w:rPr>
        <w:t>2</w:t>
      </w:r>
      <w:r>
        <w:rPr>
          <w:rFonts w:ascii="宋体" w:hAnsi="宋体" w:eastAsia="宋体" w:cs="宋体"/>
          <w:b/>
          <w:bCs/>
          <w:spacing w:val="-5"/>
          <w:sz w:val="24"/>
          <w:szCs w:val="24"/>
          <w:lang w:eastAsia="zh-CN"/>
        </w:rPr>
        <w:t>）监测</w:t>
      </w:r>
      <w:r>
        <w:rPr>
          <w:rFonts w:hint="eastAsia" w:ascii="宋体" w:hAnsi="宋体" w:eastAsia="宋体" w:cs="宋体"/>
          <w:b/>
          <w:bCs/>
          <w:spacing w:val="-5"/>
          <w:sz w:val="24"/>
          <w:szCs w:val="24"/>
          <w:lang w:val="en-US" w:eastAsia="zh-CN"/>
        </w:rPr>
        <w:t>结果</w:t>
      </w:r>
    </w:p>
    <w:p w14:paraId="3BC84335">
      <w:pPr>
        <w:numPr>
          <w:ilvl w:val="0"/>
          <w:numId w:val="0"/>
        </w:numPr>
        <w:bidi w:val="0"/>
        <w:jc w:val="center"/>
        <w:rPr>
          <w:rFonts w:hint="default" w:ascii="Times New Roman" w:hAnsi="Times New Roman" w:eastAsia="宋体" w:cs="Times New Roman"/>
          <w:b/>
          <w:bCs/>
          <w:sz w:val="21"/>
          <w:szCs w:val="21"/>
          <w:highlight w:val="none"/>
          <w:u w:val="none" w:color="auto"/>
          <w:lang w:val="en-US" w:eastAsia="zh-CN"/>
        </w:rPr>
      </w:pPr>
      <w:r>
        <w:rPr>
          <w:rFonts w:hint="default" w:ascii="Times New Roman" w:hAnsi="Times New Roman" w:eastAsia="宋体" w:cs="Times New Roman"/>
          <w:b/>
          <w:bCs/>
          <w:sz w:val="21"/>
          <w:szCs w:val="21"/>
          <w:highlight w:val="none"/>
          <w:u w:val="none" w:color="auto"/>
          <w:lang w:val="en-US" w:eastAsia="zh-CN"/>
        </w:rPr>
        <w:t>表4.</w:t>
      </w:r>
      <w:r>
        <w:rPr>
          <w:rFonts w:hint="eastAsia" w:ascii="Times New Roman" w:hAnsi="Times New Roman" w:eastAsia="宋体" w:cs="Times New Roman"/>
          <w:b/>
          <w:bCs/>
          <w:sz w:val="21"/>
          <w:szCs w:val="21"/>
          <w:highlight w:val="none"/>
          <w:u w:val="none" w:color="auto"/>
          <w:lang w:val="en-US" w:eastAsia="zh-CN"/>
        </w:rPr>
        <w:t>2-2青山河</w:t>
      </w:r>
      <w:r>
        <w:rPr>
          <w:rFonts w:hint="default" w:ascii="Times New Roman" w:hAnsi="Times New Roman" w:eastAsia="宋体" w:cs="Times New Roman"/>
          <w:b/>
          <w:bCs/>
          <w:sz w:val="21"/>
          <w:szCs w:val="21"/>
          <w:highlight w:val="none"/>
          <w:u w:val="none" w:color="auto"/>
          <w:lang w:val="en-US" w:eastAsia="zh-CN"/>
        </w:rPr>
        <w:t>地表水监测结果</w:t>
      </w:r>
    </w:p>
    <w:tbl>
      <w:tblPr>
        <w:tblStyle w:val="24"/>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4"/>
        <w:gridCol w:w="1414"/>
        <w:gridCol w:w="941"/>
        <w:gridCol w:w="1367"/>
        <w:gridCol w:w="1367"/>
        <w:gridCol w:w="1367"/>
        <w:gridCol w:w="1079"/>
      </w:tblGrid>
      <w:tr w14:paraId="2E24F6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7" w:hRule="atLeast"/>
          <w:tblHeader/>
          <w:jc w:val="center"/>
        </w:trPr>
        <w:tc>
          <w:tcPr>
            <w:tcW w:w="572" w:type="pct"/>
            <w:vMerge w:val="restart"/>
            <w:tcBorders>
              <w:tl2br w:val="nil"/>
              <w:tr2bl w:val="nil"/>
            </w:tcBorders>
            <w:noWrap w:val="0"/>
            <w:vAlign w:val="center"/>
          </w:tcPr>
          <w:p w14:paraId="70F92B1E">
            <w:pPr>
              <w:bidi w:val="0"/>
              <w:jc w:val="center"/>
              <w:rPr>
                <w:rFonts w:hint="default" w:ascii="Times New Roman" w:hAnsi="Times New Roman" w:cs="Times New Roman"/>
                <w:lang w:eastAsia="zh-CN"/>
              </w:rPr>
            </w:pPr>
            <w:r>
              <w:rPr>
                <w:rFonts w:hint="default" w:ascii="Times New Roman" w:hAnsi="Times New Roman" w:cs="Times New Roman"/>
                <w:lang w:eastAsia="zh-CN"/>
              </w:rPr>
              <w:t>采样</w:t>
            </w:r>
          </w:p>
          <w:p w14:paraId="63D32152">
            <w:pPr>
              <w:bidi w:val="0"/>
              <w:jc w:val="center"/>
              <w:rPr>
                <w:rFonts w:hint="default" w:ascii="Times New Roman" w:hAnsi="Times New Roman" w:cs="Times New Roman"/>
                <w:lang w:eastAsia="zh-CN"/>
              </w:rPr>
            </w:pPr>
            <w:r>
              <w:rPr>
                <w:rFonts w:hint="default" w:ascii="Times New Roman" w:hAnsi="Times New Roman" w:cs="Times New Roman"/>
                <w:lang w:eastAsia="zh-CN"/>
              </w:rPr>
              <w:t>点位</w:t>
            </w:r>
          </w:p>
        </w:tc>
        <w:tc>
          <w:tcPr>
            <w:tcW w:w="830" w:type="pct"/>
            <w:vMerge w:val="restart"/>
            <w:tcBorders>
              <w:tl2br w:val="nil"/>
              <w:tr2bl w:val="nil"/>
            </w:tcBorders>
            <w:noWrap w:val="0"/>
            <w:vAlign w:val="center"/>
          </w:tcPr>
          <w:p w14:paraId="2125B4F7">
            <w:pPr>
              <w:bidi w:val="0"/>
              <w:jc w:val="center"/>
              <w:rPr>
                <w:rFonts w:hint="default" w:ascii="Times New Roman" w:hAnsi="Times New Roman" w:cs="Times New Roman"/>
                <w:lang w:eastAsia="zh-CN"/>
              </w:rPr>
            </w:pPr>
            <w:r>
              <w:rPr>
                <w:rFonts w:hint="default" w:ascii="Times New Roman" w:hAnsi="Times New Roman" w:cs="Times New Roman"/>
                <w:lang w:eastAsia="zh-CN"/>
              </w:rPr>
              <w:t>检测项目</w:t>
            </w:r>
          </w:p>
        </w:tc>
        <w:tc>
          <w:tcPr>
            <w:tcW w:w="552" w:type="pct"/>
            <w:vMerge w:val="restart"/>
            <w:tcBorders>
              <w:tl2br w:val="nil"/>
              <w:tr2bl w:val="nil"/>
            </w:tcBorders>
            <w:noWrap w:val="0"/>
            <w:vAlign w:val="center"/>
          </w:tcPr>
          <w:p w14:paraId="160362CC">
            <w:pPr>
              <w:bidi w:val="0"/>
              <w:jc w:val="center"/>
              <w:rPr>
                <w:rFonts w:hint="default" w:ascii="Times New Roman" w:hAnsi="Times New Roman" w:cs="Times New Roman"/>
                <w:lang w:eastAsia="zh-CN"/>
              </w:rPr>
            </w:pPr>
            <w:r>
              <w:rPr>
                <w:rFonts w:hint="default" w:ascii="Times New Roman" w:hAnsi="Times New Roman" w:cs="Times New Roman"/>
                <w:lang w:eastAsia="zh-CN"/>
              </w:rPr>
              <w:t>单位</w:t>
            </w:r>
          </w:p>
        </w:tc>
        <w:tc>
          <w:tcPr>
            <w:tcW w:w="2410" w:type="pct"/>
            <w:gridSpan w:val="3"/>
            <w:tcBorders>
              <w:tl2br w:val="nil"/>
              <w:tr2bl w:val="nil"/>
            </w:tcBorders>
            <w:noWrap w:val="0"/>
            <w:vAlign w:val="center"/>
          </w:tcPr>
          <w:p w14:paraId="03A996E1">
            <w:pPr>
              <w:bidi w:val="0"/>
              <w:jc w:val="center"/>
              <w:rPr>
                <w:rFonts w:hint="default" w:ascii="Times New Roman" w:hAnsi="Times New Roman" w:cs="Times New Roman"/>
                <w:lang w:eastAsia="zh-CN"/>
              </w:rPr>
            </w:pPr>
            <w:r>
              <w:rPr>
                <w:rFonts w:hint="default" w:ascii="Times New Roman" w:hAnsi="Times New Roman" w:cs="Times New Roman"/>
                <w:lang w:eastAsia="zh-CN"/>
              </w:rPr>
              <w:t>检测结果</w:t>
            </w:r>
          </w:p>
        </w:tc>
        <w:tc>
          <w:tcPr>
            <w:tcW w:w="633" w:type="pct"/>
            <w:vMerge w:val="restart"/>
            <w:tcBorders>
              <w:tl2br w:val="nil"/>
              <w:tr2bl w:val="nil"/>
            </w:tcBorders>
            <w:noWrap w:val="0"/>
            <w:vAlign w:val="center"/>
          </w:tcPr>
          <w:p w14:paraId="6AEA52DA">
            <w:pPr>
              <w:bidi w:val="0"/>
              <w:jc w:val="center"/>
              <w:rPr>
                <w:rFonts w:hint="default" w:ascii="Times New Roman" w:hAnsi="Times New Roman" w:cs="Times New Roman"/>
                <w:lang w:eastAsia="zh-CN"/>
              </w:rPr>
            </w:pPr>
            <w:r>
              <w:rPr>
                <w:rFonts w:hint="default" w:ascii="Times New Roman" w:hAnsi="Times New Roman" w:cs="Times New Roman"/>
                <w:lang w:eastAsia="zh-CN"/>
              </w:rPr>
              <w:t>标准限值</w:t>
            </w:r>
          </w:p>
        </w:tc>
      </w:tr>
      <w:tr w14:paraId="1A9050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blHeader/>
          <w:jc w:val="center"/>
        </w:trPr>
        <w:tc>
          <w:tcPr>
            <w:tcW w:w="572" w:type="pct"/>
            <w:vMerge w:val="continue"/>
            <w:tcBorders>
              <w:tl2br w:val="nil"/>
              <w:tr2bl w:val="nil"/>
            </w:tcBorders>
            <w:noWrap w:val="0"/>
            <w:vAlign w:val="center"/>
          </w:tcPr>
          <w:p w14:paraId="3E4CEE17">
            <w:pPr>
              <w:bidi w:val="0"/>
              <w:jc w:val="center"/>
              <w:rPr>
                <w:rFonts w:hint="default" w:ascii="Times New Roman" w:hAnsi="Times New Roman" w:cs="Times New Roman"/>
                <w:lang w:eastAsia="zh-CN"/>
              </w:rPr>
            </w:pPr>
          </w:p>
        </w:tc>
        <w:tc>
          <w:tcPr>
            <w:tcW w:w="830" w:type="pct"/>
            <w:vMerge w:val="continue"/>
            <w:tcBorders>
              <w:tl2br w:val="nil"/>
              <w:tr2bl w:val="nil"/>
            </w:tcBorders>
            <w:noWrap w:val="0"/>
            <w:vAlign w:val="center"/>
          </w:tcPr>
          <w:p w14:paraId="27EE7C54">
            <w:pPr>
              <w:bidi w:val="0"/>
              <w:jc w:val="center"/>
              <w:rPr>
                <w:rFonts w:hint="default" w:ascii="Times New Roman" w:hAnsi="Times New Roman" w:cs="Times New Roman"/>
                <w:lang w:eastAsia="zh-CN"/>
              </w:rPr>
            </w:pPr>
          </w:p>
        </w:tc>
        <w:tc>
          <w:tcPr>
            <w:tcW w:w="552" w:type="pct"/>
            <w:vMerge w:val="continue"/>
            <w:tcBorders>
              <w:tl2br w:val="nil"/>
              <w:tr2bl w:val="nil"/>
            </w:tcBorders>
            <w:noWrap w:val="0"/>
            <w:vAlign w:val="center"/>
          </w:tcPr>
          <w:p w14:paraId="53D55CF4">
            <w:pPr>
              <w:bidi w:val="0"/>
              <w:jc w:val="center"/>
              <w:rPr>
                <w:rFonts w:hint="default" w:ascii="Times New Roman" w:hAnsi="Times New Roman" w:cs="Times New Roman"/>
                <w:lang w:eastAsia="zh-CN"/>
              </w:rPr>
            </w:pPr>
          </w:p>
        </w:tc>
        <w:tc>
          <w:tcPr>
            <w:tcW w:w="803" w:type="pct"/>
            <w:tcBorders>
              <w:tl2br w:val="nil"/>
              <w:tr2bl w:val="nil"/>
            </w:tcBorders>
            <w:noWrap w:val="0"/>
            <w:vAlign w:val="center"/>
          </w:tcPr>
          <w:p w14:paraId="158AE3D5">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2025.10.31</w:t>
            </w:r>
          </w:p>
        </w:tc>
        <w:tc>
          <w:tcPr>
            <w:tcW w:w="803" w:type="pct"/>
            <w:tcBorders>
              <w:tl2br w:val="nil"/>
              <w:tr2bl w:val="nil"/>
            </w:tcBorders>
            <w:noWrap w:val="0"/>
            <w:vAlign w:val="center"/>
          </w:tcPr>
          <w:p w14:paraId="0DD9FED6">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2025.11.01</w:t>
            </w:r>
          </w:p>
        </w:tc>
        <w:tc>
          <w:tcPr>
            <w:tcW w:w="803" w:type="pct"/>
            <w:tcBorders>
              <w:tl2br w:val="nil"/>
              <w:tr2bl w:val="nil"/>
            </w:tcBorders>
            <w:noWrap w:val="0"/>
            <w:vAlign w:val="center"/>
          </w:tcPr>
          <w:p w14:paraId="45BD1B90">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2025.11.02</w:t>
            </w:r>
          </w:p>
        </w:tc>
        <w:tc>
          <w:tcPr>
            <w:tcW w:w="633" w:type="pct"/>
            <w:vMerge w:val="continue"/>
            <w:tcBorders>
              <w:tl2br w:val="nil"/>
              <w:tr2bl w:val="nil"/>
            </w:tcBorders>
            <w:noWrap w:val="0"/>
            <w:vAlign w:val="center"/>
          </w:tcPr>
          <w:p w14:paraId="6A7C5C4F">
            <w:pPr>
              <w:bidi w:val="0"/>
              <w:jc w:val="center"/>
              <w:rPr>
                <w:rFonts w:hint="default" w:ascii="Times New Roman" w:hAnsi="Times New Roman" w:cs="Times New Roman"/>
                <w:lang w:eastAsia="zh-CN"/>
              </w:rPr>
            </w:pPr>
          </w:p>
        </w:tc>
      </w:tr>
      <w:tr w14:paraId="43446E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restart"/>
            <w:tcBorders>
              <w:tl2br w:val="nil"/>
              <w:tr2bl w:val="nil"/>
            </w:tcBorders>
            <w:noWrap w:val="0"/>
            <w:vAlign w:val="center"/>
          </w:tcPr>
          <w:p w14:paraId="08F29AE9">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S1排污口上游200m</w:t>
            </w:r>
          </w:p>
          <w:p w14:paraId="1DFB2E9C">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51801413">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pH</w:t>
            </w:r>
          </w:p>
        </w:tc>
        <w:tc>
          <w:tcPr>
            <w:tcW w:w="552" w:type="pct"/>
            <w:tcBorders>
              <w:tl2br w:val="nil"/>
              <w:tr2bl w:val="nil"/>
            </w:tcBorders>
            <w:noWrap w:val="0"/>
            <w:vAlign w:val="center"/>
          </w:tcPr>
          <w:p w14:paraId="700DD1E9">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无量纲</w:t>
            </w:r>
          </w:p>
        </w:tc>
        <w:tc>
          <w:tcPr>
            <w:tcW w:w="803" w:type="pct"/>
            <w:tcBorders>
              <w:tl2br w:val="nil"/>
              <w:tr2bl w:val="nil"/>
            </w:tcBorders>
            <w:noWrap w:val="0"/>
            <w:vAlign w:val="center"/>
          </w:tcPr>
          <w:p w14:paraId="55E0E363">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7.3</w:t>
            </w:r>
          </w:p>
        </w:tc>
        <w:tc>
          <w:tcPr>
            <w:tcW w:w="803" w:type="pct"/>
            <w:tcBorders>
              <w:tl2br w:val="nil"/>
              <w:tr2bl w:val="nil"/>
            </w:tcBorders>
            <w:noWrap w:val="0"/>
            <w:vAlign w:val="center"/>
          </w:tcPr>
          <w:p w14:paraId="5638F75B">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7.4</w:t>
            </w:r>
          </w:p>
        </w:tc>
        <w:tc>
          <w:tcPr>
            <w:tcW w:w="803" w:type="pct"/>
            <w:tcBorders>
              <w:tl2br w:val="nil"/>
              <w:tr2bl w:val="nil"/>
            </w:tcBorders>
            <w:noWrap w:val="0"/>
            <w:vAlign w:val="center"/>
          </w:tcPr>
          <w:p w14:paraId="5A449FE6">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7.3</w:t>
            </w:r>
          </w:p>
        </w:tc>
        <w:tc>
          <w:tcPr>
            <w:tcW w:w="633" w:type="pct"/>
            <w:tcBorders>
              <w:tl2br w:val="nil"/>
              <w:tr2bl w:val="nil"/>
            </w:tcBorders>
            <w:noWrap w:val="0"/>
            <w:vAlign w:val="center"/>
          </w:tcPr>
          <w:p w14:paraId="5825481B">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6-9</w:t>
            </w:r>
          </w:p>
        </w:tc>
      </w:tr>
      <w:tr w14:paraId="7EC215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6F1698F9">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527982F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色度</w:t>
            </w:r>
          </w:p>
        </w:tc>
        <w:tc>
          <w:tcPr>
            <w:tcW w:w="552" w:type="pct"/>
            <w:tcBorders>
              <w:tl2br w:val="nil"/>
              <w:tr2bl w:val="nil"/>
            </w:tcBorders>
            <w:noWrap w:val="0"/>
            <w:vAlign w:val="center"/>
          </w:tcPr>
          <w:p w14:paraId="0249E80F">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倍</w:t>
            </w:r>
          </w:p>
        </w:tc>
        <w:tc>
          <w:tcPr>
            <w:tcW w:w="803" w:type="pct"/>
            <w:tcBorders>
              <w:tl2br w:val="nil"/>
              <w:tr2bl w:val="nil"/>
            </w:tcBorders>
            <w:noWrap w:val="0"/>
            <w:vAlign w:val="center"/>
          </w:tcPr>
          <w:p w14:paraId="326D74F0">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2</w:t>
            </w:r>
          </w:p>
        </w:tc>
        <w:tc>
          <w:tcPr>
            <w:tcW w:w="803" w:type="pct"/>
            <w:tcBorders>
              <w:tl2br w:val="nil"/>
              <w:tr2bl w:val="nil"/>
            </w:tcBorders>
            <w:noWrap w:val="0"/>
            <w:vAlign w:val="center"/>
          </w:tcPr>
          <w:p w14:paraId="00D0E305">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2</w:t>
            </w:r>
          </w:p>
        </w:tc>
        <w:tc>
          <w:tcPr>
            <w:tcW w:w="803" w:type="pct"/>
            <w:tcBorders>
              <w:tl2br w:val="nil"/>
              <w:tr2bl w:val="nil"/>
            </w:tcBorders>
            <w:noWrap w:val="0"/>
            <w:vAlign w:val="center"/>
          </w:tcPr>
          <w:p w14:paraId="2F6F792B">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2</w:t>
            </w:r>
          </w:p>
        </w:tc>
        <w:tc>
          <w:tcPr>
            <w:tcW w:w="633" w:type="pct"/>
            <w:tcBorders>
              <w:tl2br w:val="nil"/>
              <w:tr2bl w:val="nil"/>
            </w:tcBorders>
            <w:noWrap w:val="0"/>
            <w:vAlign w:val="center"/>
          </w:tcPr>
          <w:p w14:paraId="62F6BD2E">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w:t>
            </w:r>
          </w:p>
        </w:tc>
      </w:tr>
      <w:tr w14:paraId="4B0E1C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16BCABCD">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17B1974F">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化学需氧量</w:t>
            </w:r>
          </w:p>
        </w:tc>
        <w:tc>
          <w:tcPr>
            <w:tcW w:w="552" w:type="pct"/>
            <w:tcBorders>
              <w:tl2br w:val="nil"/>
              <w:tr2bl w:val="nil"/>
            </w:tcBorders>
            <w:noWrap w:val="0"/>
            <w:vAlign w:val="center"/>
          </w:tcPr>
          <w:p w14:paraId="7778335D">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mg/L</w:t>
            </w:r>
          </w:p>
        </w:tc>
        <w:tc>
          <w:tcPr>
            <w:tcW w:w="803" w:type="pct"/>
            <w:tcBorders>
              <w:tl2br w:val="nil"/>
              <w:tr2bl w:val="nil"/>
            </w:tcBorders>
            <w:noWrap w:val="0"/>
            <w:vAlign w:val="center"/>
          </w:tcPr>
          <w:p w14:paraId="0EEC94FF">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11</w:t>
            </w:r>
          </w:p>
        </w:tc>
        <w:tc>
          <w:tcPr>
            <w:tcW w:w="803" w:type="pct"/>
            <w:tcBorders>
              <w:tl2br w:val="nil"/>
              <w:tr2bl w:val="nil"/>
            </w:tcBorders>
            <w:noWrap w:val="0"/>
            <w:vAlign w:val="center"/>
          </w:tcPr>
          <w:p w14:paraId="5CB67A93">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12</w:t>
            </w:r>
          </w:p>
        </w:tc>
        <w:tc>
          <w:tcPr>
            <w:tcW w:w="803" w:type="pct"/>
            <w:tcBorders>
              <w:tl2br w:val="nil"/>
              <w:tr2bl w:val="nil"/>
            </w:tcBorders>
            <w:noWrap w:val="0"/>
            <w:vAlign w:val="center"/>
          </w:tcPr>
          <w:p w14:paraId="16F2E826">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11</w:t>
            </w:r>
          </w:p>
        </w:tc>
        <w:tc>
          <w:tcPr>
            <w:tcW w:w="633" w:type="pct"/>
            <w:tcBorders>
              <w:tl2br w:val="nil"/>
              <w:tr2bl w:val="nil"/>
            </w:tcBorders>
            <w:noWrap w:val="0"/>
            <w:vAlign w:val="center"/>
          </w:tcPr>
          <w:p w14:paraId="23253129">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≤20</w:t>
            </w:r>
          </w:p>
        </w:tc>
      </w:tr>
      <w:tr w14:paraId="50A379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2F8CADCC">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74CC282B">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五日生化需氧量</w:t>
            </w:r>
          </w:p>
        </w:tc>
        <w:tc>
          <w:tcPr>
            <w:tcW w:w="552" w:type="pct"/>
            <w:tcBorders>
              <w:tl2br w:val="nil"/>
              <w:tr2bl w:val="nil"/>
            </w:tcBorders>
            <w:noWrap w:val="0"/>
            <w:vAlign w:val="center"/>
          </w:tcPr>
          <w:p w14:paraId="4C20D22C">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mg/L</w:t>
            </w:r>
          </w:p>
        </w:tc>
        <w:tc>
          <w:tcPr>
            <w:tcW w:w="803" w:type="pct"/>
            <w:tcBorders>
              <w:tl2br w:val="nil"/>
              <w:tr2bl w:val="nil"/>
            </w:tcBorders>
            <w:noWrap w:val="0"/>
            <w:vAlign w:val="center"/>
          </w:tcPr>
          <w:p w14:paraId="7BA2A5FC">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2.6</w:t>
            </w:r>
          </w:p>
        </w:tc>
        <w:tc>
          <w:tcPr>
            <w:tcW w:w="803" w:type="pct"/>
            <w:tcBorders>
              <w:tl2br w:val="nil"/>
              <w:tr2bl w:val="nil"/>
            </w:tcBorders>
            <w:noWrap w:val="0"/>
            <w:vAlign w:val="center"/>
          </w:tcPr>
          <w:p w14:paraId="05439183">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2.4</w:t>
            </w:r>
          </w:p>
        </w:tc>
        <w:tc>
          <w:tcPr>
            <w:tcW w:w="803" w:type="pct"/>
            <w:tcBorders>
              <w:tl2br w:val="nil"/>
              <w:tr2bl w:val="nil"/>
            </w:tcBorders>
            <w:noWrap w:val="0"/>
            <w:vAlign w:val="center"/>
          </w:tcPr>
          <w:p w14:paraId="4DF44E55">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2.5</w:t>
            </w:r>
          </w:p>
        </w:tc>
        <w:tc>
          <w:tcPr>
            <w:tcW w:w="633" w:type="pct"/>
            <w:tcBorders>
              <w:tl2br w:val="nil"/>
              <w:tr2bl w:val="nil"/>
            </w:tcBorders>
            <w:noWrap w:val="0"/>
            <w:vAlign w:val="center"/>
          </w:tcPr>
          <w:p w14:paraId="0DFFC9FC">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≤4</w:t>
            </w:r>
          </w:p>
        </w:tc>
      </w:tr>
      <w:tr w14:paraId="0AC56A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78E2C858">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2A53003C">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氨氮</w:t>
            </w:r>
          </w:p>
        </w:tc>
        <w:tc>
          <w:tcPr>
            <w:tcW w:w="552" w:type="pct"/>
            <w:tcBorders>
              <w:tl2br w:val="nil"/>
              <w:tr2bl w:val="nil"/>
            </w:tcBorders>
            <w:noWrap w:val="0"/>
            <w:vAlign w:val="center"/>
          </w:tcPr>
          <w:p w14:paraId="7B126E72">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mg/L</w:t>
            </w:r>
          </w:p>
        </w:tc>
        <w:tc>
          <w:tcPr>
            <w:tcW w:w="803" w:type="pct"/>
            <w:tcBorders>
              <w:tl2br w:val="nil"/>
              <w:tr2bl w:val="nil"/>
            </w:tcBorders>
            <w:noWrap w:val="0"/>
            <w:vAlign w:val="center"/>
          </w:tcPr>
          <w:p w14:paraId="529538A2">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0.176</w:t>
            </w:r>
          </w:p>
        </w:tc>
        <w:tc>
          <w:tcPr>
            <w:tcW w:w="803" w:type="pct"/>
            <w:tcBorders>
              <w:tl2br w:val="nil"/>
              <w:tr2bl w:val="nil"/>
            </w:tcBorders>
            <w:noWrap w:val="0"/>
            <w:vAlign w:val="center"/>
          </w:tcPr>
          <w:p w14:paraId="42EBA75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0.169</w:t>
            </w:r>
          </w:p>
        </w:tc>
        <w:tc>
          <w:tcPr>
            <w:tcW w:w="803" w:type="pct"/>
            <w:tcBorders>
              <w:tl2br w:val="nil"/>
              <w:tr2bl w:val="nil"/>
            </w:tcBorders>
            <w:noWrap w:val="0"/>
            <w:vAlign w:val="center"/>
          </w:tcPr>
          <w:p w14:paraId="5441BD58">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0188</w:t>
            </w:r>
          </w:p>
        </w:tc>
        <w:tc>
          <w:tcPr>
            <w:tcW w:w="633" w:type="pct"/>
            <w:tcBorders>
              <w:tl2br w:val="nil"/>
              <w:tr2bl w:val="nil"/>
            </w:tcBorders>
            <w:noWrap w:val="0"/>
            <w:vAlign w:val="center"/>
          </w:tcPr>
          <w:p w14:paraId="613D60AA">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≤1.0</w:t>
            </w:r>
          </w:p>
        </w:tc>
      </w:tr>
      <w:tr w14:paraId="518672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0ED459D7">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379FAA7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总磷</w:t>
            </w:r>
          </w:p>
        </w:tc>
        <w:tc>
          <w:tcPr>
            <w:tcW w:w="552" w:type="pct"/>
            <w:tcBorders>
              <w:tl2br w:val="nil"/>
              <w:tr2bl w:val="nil"/>
            </w:tcBorders>
            <w:noWrap w:val="0"/>
            <w:vAlign w:val="center"/>
          </w:tcPr>
          <w:p w14:paraId="4673510E">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mg/L</w:t>
            </w:r>
          </w:p>
        </w:tc>
        <w:tc>
          <w:tcPr>
            <w:tcW w:w="803" w:type="pct"/>
            <w:tcBorders>
              <w:tl2br w:val="nil"/>
              <w:tr2bl w:val="nil"/>
            </w:tcBorders>
            <w:noWrap w:val="0"/>
            <w:vAlign w:val="center"/>
          </w:tcPr>
          <w:p w14:paraId="79947A7A">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0.04</w:t>
            </w:r>
          </w:p>
        </w:tc>
        <w:tc>
          <w:tcPr>
            <w:tcW w:w="803" w:type="pct"/>
            <w:tcBorders>
              <w:tl2br w:val="nil"/>
              <w:tr2bl w:val="nil"/>
            </w:tcBorders>
            <w:noWrap w:val="0"/>
            <w:vAlign w:val="center"/>
          </w:tcPr>
          <w:p w14:paraId="3C43D996">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0.03</w:t>
            </w:r>
          </w:p>
        </w:tc>
        <w:tc>
          <w:tcPr>
            <w:tcW w:w="803" w:type="pct"/>
            <w:tcBorders>
              <w:tl2br w:val="nil"/>
              <w:tr2bl w:val="nil"/>
            </w:tcBorders>
            <w:noWrap w:val="0"/>
            <w:vAlign w:val="center"/>
          </w:tcPr>
          <w:p w14:paraId="73C91265">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0.02</w:t>
            </w:r>
          </w:p>
        </w:tc>
        <w:tc>
          <w:tcPr>
            <w:tcW w:w="633" w:type="pct"/>
            <w:tcBorders>
              <w:tl2br w:val="nil"/>
              <w:tr2bl w:val="nil"/>
            </w:tcBorders>
            <w:noWrap w:val="0"/>
            <w:vAlign w:val="center"/>
          </w:tcPr>
          <w:p w14:paraId="49F94644">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≤0.2</w:t>
            </w:r>
          </w:p>
        </w:tc>
      </w:tr>
      <w:tr w14:paraId="615BE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79759C59">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68C13183">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总氮</w:t>
            </w:r>
          </w:p>
        </w:tc>
        <w:tc>
          <w:tcPr>
            <w:tcW w:w="552" w:type="pct"/>
            <w:tcBorders>
              <w:tl2br w:val="nil"/>
              <w:tr2bl w:val="nil"/>
            </w:tcBorders>
            <w:noWrap w:val="0"/>
            <w:vAlign w:val="center"/>
          </w:tcPr>
          <w:p w14:paraId="5AE9F5C7">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mg/L</w:t>
            </w:r>
          </w:p>
        </w:tc>
        <w:tc>
          <w:tcPr>
            <w:tcW w:w="803" w:type="pct"/>
            <w:tcBorders>
              <w:tl2br w:val="nil"/>
              <w:tr2bl w:val="nil"/>
            </w:tcBorders>
            <w:noWrap w:val="0"/>
            <w:vAlign w:val="center"/>
          </w:tcPr>
          <w:p w14:paraId="7D5B83A8">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0.289</w:t>
            </w:r>
          </w:p>
        </w:tc>
        <w:tc>
          <w:tcPr>
            <w:tcW w:w="803" w:type="pct"/>
            <w:tcBorders>
              <w:tl2br w:val="nil"/>
              <w:tr2bl w:val="nil"/>
            </w:tcBorders>
            <w:noWrap w:val="0"/>
            <w:vAlign w:val="center"/>
          </w:tcPr>
          <w:p w14:paraId="06C5B5A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0.290</w:t>
            </w:r>
          </w:p>
        </w:tc>
        <w:tc>
          <w:tcPr>
            <w:tcW w:w="803" w:type="pct"/>
            <w:tcBorders>
              <w:tl2br w:val="nil"/>
              <w:tr2bl w:val="nil"/>
            </w:tcBorders>
            <w:noWrap w:val="0"/>
            <w:vAlign w:val="center"/>
          </w:tcPr>
          <w:p w14:paraId="01F4CECA">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0.285</w:t>
            </w:r>
          </w:p>
        </w:tc>
        <w:tc>
          <w:tcPr>
            <w:tcW w:w="633" w:type="pct"/>
            <w:tcBorders>
              <w:tl2br w:val="nil"/>
              <w:tr2bl w:val="nil"/>
            </w:tcBorders>
            <w:noWrap w:val="0"/>
            <w:vAlign w:val="center"/>
          </w:tcPr>
          <w:p w14:paraId="4974958E">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≤1.0</w:t>
            </w:r>
          </w:p>
        </w:tc>
      </w:tr>
      <w:tr w14:paraId="02A2E8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01131B89">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04F98C6E">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悬浮物</w:t>
            </w:r>
          </w:p>
        </w:tc>
        <w:tc>
          <w:tcPr>
            <w:tcW w:w="552" w:type="pct"/>
            <w:tcBorders>
              <w:tl2br w:val="nil"/>
              <w:tr2bl w:val="nil"/>
            </w:tcBorders>
            <w:noWrap w:val="0"/>
            <w:vAlign w:val="center"/>
          </w:tcPr>
          <w:p w14:paraId="0E5591E9">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mg/L</w:t>
            </w:r>
          </w:p>
        </w:tc>
        <w:tc>
          <w:tcPr>
            <w:tcW w:w="803" w:type="pct"/>
            <w:tcBorders>
              <w:tl2br w:val="nil"/>
              <w:tr2bl w:val="nil"/>
            </w:tcBorders>
            <w:noWrap w:val="0"/>
            <w:vAlign w:val="center"/>
          </w:tcPr>
          <w:p w14:paraId="21440D24">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3</w:t>
            </w:r>
          </w:p>
        </w:tc>
        <w:tc>
          <w:tcPr>
            <w:tcW w:w="803" w:type="pct"/>
            <w:tcBorders>
              <w:tl2br w:val="nil"/>
              <w:tr2bl w:val="nil"/>
            </w:tcBorders>
            <w:noWrap w:val="0"/>
            <w:vAlign w:val="center"/>
          </w:tcPr>
          <w:p w14:paraId="1E29D6E5">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4</w:t>
            </w:r>
          </w:p>
        </w:tc>
        <w:tc>
          <w:tcPr>
            <w:tcW w:w="803" w:type="pct"/>
            <w:tcBorders>
              <w:tl2br w:val="nil"/>
              <w:tr2bl w:val="nil"/>
            </w:tcBorders>
            <w:noWrap w:val="0"/>
            <w:vAlign w:val="center"/>
          </w:tcPr>
          <w:p w14:paraId="16A6D0A0">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4</w:t>
            </w:r>
          </w:p>
        </w:tc>
        <w:tc>
          <w:tcPr>
            <w:tcW w:w="633" w:type="pct"/>
            <w:tcBorders>
              <w:tl2br w:val="nil"/>
              <w:tr2bl w:val="nil"/>
            </w:tcBorders>
            <w:noWrap w:val="0"/>
            <w:vAlign w:val="center"/>
          </w:tcPr>
          <w:p w14:paraId="064C6CA8">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w:t>
            </w:r>
          </w:p>
        </w:tc>
      </w:tr>
      <w:tr w14:paraId="4A6E60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4C86FA44">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55261B98">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阴离子表面活性剂</w:t>
            </w:r>
          </w:p>
        </w:tc>
        <w:tc>
          <w:tcPr>
            <w:tcW w:w="552" w:type="pct"/>
            <w:tcBorders>
              <w:tl2br w:val="nil"/>
              <w:tr2bl w:val="nil"/>
            </w:tcBorders>
            <w:noWrap w:val="0"/>
            <w:vAlign w:val="center"/>
          </w:tcPr>
          <w:p w14:paraId="3CEF4D8E">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mg/L</w:t>
            </w:r>
          </w:p>
        </w:tc>
        <w:tc>
          <w:tcPr>
            <w:tcW w:w="803" w:type="pct"/>
            <w:tcBorders>
              <w:tl2br w:val="nil"/>
              <w:tr2bl w:val="nil"/>
            </w:tcBorders>
            <w:noWrap w:val="0"/>
            <w:vAlign w:val="center"/>
          </w:tcPr>
          <w:p w14:paraId="5C20AFA4">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0.05L</w:t>
            </w:r>
          </w:p>
        </w:tc>
        <w:tc>
          <w:tcPr>
            <w:tcW w:w="803" w:type="pct"/>
            <w:tcBorders>
              <w:tl2br w:val="nil"/>
              <w:tr2bl w:val="nil"/>
            </w:tcBorders>
            <w:noWrap w:val="0"/>
            <w:vAlign w:val="center"/>
          </w:tcPr>
          <w:p w14:paraId="406CCBCB">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0.05L</w:t>
            </w:r>
          </w:p>
        </w:tc>
        <w:tc>
          <w:tcPr>
            <w:tcW w:w="803" w:type="pct"/>
            <w:tcBorders>
              <w:tl2br w:val="nil"/>
              <w:tr2bl w:val="nil"/>
            </w:tcBorders>
            <w:noWrap w:val="0"/>
            <w:vAlign w:val="center"/>
          </w:tcPr>
          <w:p w14:paraId="65F2D876">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0.05L</w:t>
            </w:r>
          </w:p>
        </w:tc>
        <w:tc>
          <w:tcPr>
            <w:tcW w:w="633" w:type="pct"/>
            <w:tcBorders>
              <w:tl2br w:val="nil"/>
              <w:tr2bl w:val="nil"/>
            </w:tcBorders>
            <w:noWrap w:val="0"/>
            <w:vAlign w:val="center"/>
          </w:tcPr>
          <w:p w14:paraId="7E8C781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≤0.2</w:t>
            </w:r>
          </w:p>
        </w:tc>
      </w:tr>
      <w:tr w14:paraId="0E06CA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restart"/>
            <w:tcBorders>
              <w:tl2br w:val="nil"/>
              <w:tr2bl w:val="nil"/>
            </w:tcBorders>
            <w:noWrap w:val="0"/>
            <w:vAlign w:val="center"/>
          </w:tcPr>
          <w:p w14:paraId="7F927776">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S2排污口下游1000m</w:t>
            </w:r>
          </w:p>
          <w:p w14:paraId="4CCDC39E">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34F71BD9">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pH</w:t>
            </w:r>
          </w:p>
        </w:tc>
        <w:tc>
          <w:tcPr>
            <w:tcW w:w="552" w:type="pct"/>
            <w:tcBorders>
              <w:tl2br w:val="nil"/>
              <w:tr2bl w:val="nil"/>
            </w:tcBorders>
            <w:noWrap w:val="0"/>
            <w:vAlign w:val="center"/>
          </w:tcPr>
          <w:p w14:paraId="4CBAACBE">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无量纲</w:t>
            </w:r>
          </w:p>
        </w:tc>
        <w:tc>
          <w:tcPr>
            <w:tcW w:w="803" w:type="pct"/>
            <w:tcBorders>
              <w:tl2br w:val="nil"/>
              <w:tr2bl w:val="nil"/>
            </w:tcBorders>
            <w:noWrap w:val="0"/>
            <w:vAlign w:val="center"/>
          </w:tcPr>
          <w:p w14:paraId="54C79DE7">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6.7</w:t>
            </w:r>
          </w:p>
        </w:tc>
        <w:tc>
          <w:tcPr>
            <w:tcW w:w="803" w:type="pct"/>
            <w:tcBorders>
              <w:tl2br w:val="nil"/>
              <w:tr2bl w:val="nil"/>
            </w:tcBorders>
            <w:noWrap w:val="0"/>
            <w:vAlign w:val="center"/>
          </w:tcPr>
          <w:p w14:paraId="62BC4573">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6.8</w:t>
            </w:r>
          </w:p>
        </w:tc>
        <w:tc>
          <w:tcPr>
            <w:tcW w:w="803" w:type="pct"/>
            <w:tcBorders>
              <w:tl2br w:val="nil"/>
              <w:tr2bl w:val="nil"/>
            </w:tcBorders>
            <w:noWrap w:val="0"/>
            <w:vAlign w:val="center"/>
          </w:tcPr>
          <w:p w14:paraId="694D3674">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6.7</w:t>
            </w:r>
          </w:p>
        </w:tc>
        <w:tc>
          <w:tcPr>
            <w:tcW w:w="633" w:type="pct"/>
            <w:tcBorders>
              <w:tl2br w:val="nil"/>
              <w:tr2bl w:val="nil"/>
            </w:tcBorders>
            <w:noWrap w:val="0"/>
            <w:vAlign w:val="center"/>
          </w:tcPr>
          <w:p w14:paraId="41C21C13">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6-9</w:t>
            </w:r>
          </w:p>
        </w:tc>
      </w:tr>
      <w:tr w14:paraId="17CAE7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6123D13B">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4601A009">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色度</w:t>
            </w:r>
          </w:p>
        </w:tc>
        <w:tc>
          <w:tcPr>
            <w:tcW w:w="552" w:type="pct"/>
            <w:tcBorders>
              <w:tl2br w:val="nil"/>
              <w:tr2bl w:val="nil"/>
            </w:tcBorders>
            <w:noWrap w:val="0"/>
            <w:vAlign w:val="center"/>
          </w:tcPr>
          <w:p w14:paraId="6F3A9510">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倍</w:t>
            </w:r>
          </w:p>
        </w:tc>
        <w:tc>
          <w:tcPr>
            <w:tcW w:w="803" w:type="pct"/>
            <w:tcBorders>
              <w:tl2br w:val="nil"/>
              <w:tr2bl w:val="nil"/>
            </w:tcBorders>
            <w:noWrap w:val="0"/>
            <w:vAlign w:val="center"/>
          </w:tcPr>
          <w:p w14:paraId="2A73833A">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6</w:t>
            </w:r>
          </w:p>
        </w:tc>
        <w:tc>
          <w:tcPr>
            <w:tcW w:w="803" w:type="pct"/>
            <w:tcBorders>
              <w:tl2br w:val="nil"/>
              <w:tr2bl w:val="nil"/>
            </w:tcBorders>
            <w:noWrap w:val="0"/>
            <w:vAlign w:val="center"/>
          </w:tcPr>
          <w:p w14:paraId="1EC52AF4">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7</w:t>
            </w:r>
          </w:p>
        </w:tc>
        <w:tc>
          <w:tcPr>
            <w:tcW w:w="803" w:type="pct"/>
            <w:tcBorders>
              <w:tl2br w:val="nil"/>
              <w:tr2bl w:val="nil"/>
            </w:tcBorders>
            <w:noWrap w:val="0"/>
            <w:vAlign w:val="center"/>
          </w:tcPr>
          <w:p w14:paraId="3F468F92">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6</w:t>
            </w:r>
          </w:p>
        </w:tc>
        <w:tc>
          <w:tcPr>
            <w:tcW w:w="633" w:type="pct"/>
            <w:tcBorders>
              <w:tl2br w:val="nil"/>
              <w:tr2bl w:val="nil"/>
            </w:tcBorders>
            <w:noWrap w:val="0"/>
            <w:vAlign w:val="center"/>
          </w:tcPr>
          <w:p w14:paraId="76DA17D7">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w:t>
            </w:r>
          </w:p>
        </w:tc>
      </w:tr>
      <w:tr w14:paraId="09870D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34C8536E">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507A35C5">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化学需氧量</w:t>
            </w:r>
          </w:p>
        </w:tc>
        <w:tc>
          <w:tcPr>
            <w:tcW w:w="552" w:type="pct"/>
            <w:tcBorders>
              <w:tl2br w:val="nil"/>
              <w:tr2bl w:val="nil"/>
            </w:tcBorders>
            <w:noWrap w:val="0"/>
            <w:vAlign w:val="center"/>
          </w:tcPr>
          <w:p w14:paraId="374F80D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mg/L</w:t>
            </w:r>
          </w:p>
        </w:tc>
        <w:tc>
          <w:tcPr>
            <w:tcW w:w="803" w:type="pct"/>
            <w:tcBorders>
              <w:tl2br w:val="nil"/>
              <w:tr2bl w:val="nil"/>
            </w:tcBorders>
            <w:noWrap w:val="0"/>
            <w:vAlign w:val="center"/>
          </w:tcPr>
          <w:p w14:paraId="13B63D55">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14</w:t>
            </w:r>
          </w:p>
        </w:tc>
        <w:tc>
          <w:tcPr>
            <w:tcW w:w="803" w:type="pct"/>
            <w:tcBorders>
              <w:tl2br w:val="nil"/>
              <w:tr2bl w:val="nil"/>
            </w:tcBorders>
            <w:noWrap w:val="0"/>
            <w:vAlign w:val="center"/>
          </w:tcPr>
          <w:p w14:paraId="204A2B7D">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13</w:t>
            </w:r>
          </w:p>
        </w:tc>
        <w:tc>
          <w:tcPr>
            <w:tcW w:w="803" w:type="pct"/>
            <w:tcBorders>
              <w:tl2br w:val="nil"/>
              <w:tr2bl w:val="nil"/>
            </w:tcBorders>
            <w:noWrap w:val="0"/>
            <w:vAlign w:val="center"/>
          </w:tcPr>
          <w:p w14:paraId="46CCB993">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13</w:t>
            </w:r>
          </w:p>
        </w:tc>
        <w:tc>
          <w:tcPr>
            <w:tcW w:w="633" w:type="pct"/>
            <w:tcBorders>
              <w:tl2br w:val="nil"/>
              <w:tr2bl w:val="nil"/>
            </w:tcBorders>
            <w:noWrap w:val="0"/>
            <w:vAlign w:val="center"/>
          </w:tcPr>
          <w:p w14:paraId="1A8F3997">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≤20</w:t>
            </w:r>
          </w:p>
        </w:tc>
      </w:tr>
      <w:tr w14:paraId="75DE75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38B845F7">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6FEC5F8C">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五日生化需氧量</w:t>
            </w:r>
          </w:p>
        </w:tc>
        <w:tc>
          <w:tcPr>
            <w:tcW w:w="552" w:type="pct"/>
            <w:tcBorders>
              <w:tl2br w:val="nil"/>
              <w:tr2bl w:val="nil"/>
            </w:tcBorders>
            <w:noWrap w:val="0"/>
            <w:vAlign w:val="center"/>
          </w:tcPr>
          <w:p w14:paraId="38E0C724">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mg/L</w:t>
            </w:r>
          </w:p>
        </w:tc>
        <w:tc>
          <w:tcPr>
            <w:tcW w:w="803" w:type="pct"/>
            <w:tcBorders>
              <w:tl2br w:val="nil"/>
              <w:tr2bl w:val="nil"/>
            </w:tcBorders>
            <w:noWrap w:val="0"/>
            <w:vAlign w:val="center"/>
          </w:tcPr>
          <w:p w14:paraId="5C6A941B">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2.8</w:t>
            </w:r>
          </w:p>
        </w:tc>
        <w:tc>
          <w:tcPr>
            <w:tcW w:w="803" w:type="pct"/>
            <w:tcBorders>
              <w:tl2br w:val="nil"/>
              <w:tr2bl w:val="nil"/>
            </w:tcBorders>
            <w:noWrap w:val="0"/>
            <w:vAlign w:val="center"/>
          </w:tcPr>
          <w:p w14:paraId="149214BC">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2.9</w:t>
            </w:r>
          </w:p>
        </w:tc>
        <w:tc>
          <w:tcPr>
            <w:tcW w:w="803" w:type="pct"/>
            <w:tcBorders>
              <w:tl2br w:val="nil"/>
              <w:tr2bl w:val="nil"/>
            </w:tcBorders>
            <w:noWrap w:val="0"/>
            <w:vAlign w:val="center"/>
          </w:tcPr>
          <w:p w14:paraId="6994B6E7">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2.7</w:t>
            </w:r>
          </w:p>
        </w:tc>
        <w:tc>
          <w:tcPr>
            <w:tcW w:w="633" w:type="pct"/>
            <w:tcBorders>
              <w:tl2br w:val="nil"/>
              <w:tr2bl w:val="nil"/>
            </w:tcBorders>
            <w:noWrap w:val="0"/>
            <w:vAlign w:val="center"/>
          </w:tcPr>
          <w:p w14:paraId="4B3DE57D">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≤4</w:t>
            </w:r>
          </w:p>
        </w:tc>
      </w:tr>
      <w:tr w14:paraId="107A80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26536865">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06F94727">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氨氮</w:t>
            </w:r>
          </w:p>
        </w:tc>
        <w:tc>
          <w:tcPr>
            <w:tcW w:w="552" w:type="pct"/>
            <w:tcBorders>
              <w:tl2br w:val="nil"/>
              <w:tr2bl w:val="nil"/>
            </w:tcBorders>
            <w:noWrap w:val="0"/>
            <w:vAlign w:val="center"/>
          </w:tcPr>
          <w:p w14:paraId="6F950654">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mg/L</w:t>
            </w:r>
          </w:p>
        </w:tc>
        <w:tc>
          <w:tcPr>
            <w:tcW w:w="803" w:type="pct"/>
            <w:tcBorders>
              <w:tl2br w:val="nil"/>
              <w:tr2bl w:val="nil"/>
            </w:tcBorders>
            <w:noWrap w:val="0"/>
            <w:vAlign w:val="center"/>
          </w:tcPr>
          <w:p w14:paraId="0577CF22">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0.236</w:t>
            </w:r>
          </w:p>
        </w:tc>
        <w:tc>
          <w:tcPr>
            <w:tcW w:w="803" w:type="pct"/>
            <w:tcBorders>
              <w:tl2br w:val="nil"/>
              <w:tr2bl w:val="nil"/>
            </w:tcBorders>
            <w:noWrap w:val="0"/>
            <w:vAlign w:val="center"/>
          </w:tcPr>
          <w:p w14:paraId="1DB9BA0E">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0.274</w:t>
            </w:r>
          </w:p>
        </w:tc>
        <w:tc>
          <w:tcPr>
            <w:tcW w:w="803" w:type="pct"/>
            <w:tcBorders>
              <w:tl2br w:val="nil"/>
              <w:tr2bl w:val="nil"/>
            </w:tcBorders>
            <w:noWrap w:val="0"/>
            <w:vAlign w:val="center"/>
          </w:tcPr>
          <w:p w14:paraId="470CDDB7">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0.28</w:t>
            </w:r>
          </w:p>
        </w:tc>
        <w:tc>
          <w:tcPr>
            <w:tcW w:w="633" w:type="pct"/>
            <w:tcBorders>
              <w:tl2br w:val="nil"/>
              <w:tr2bl w:val="nil"/>
            </w:tcBorders>
            <w:noWrap w:val="0"/>
            <w:vAlign w:val="center"/>
          </w:tcPr>
          <w:p w14:paraId="246E41AE">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≤1.0</w:t>
            </w:r>
          </w:p>
        </w:tc>
      </w:tr>
      <w:tr w14:paraId="4C57B6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500966EB">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0FFF624F">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总磷</w:t>
            </w:r>
          </w:p>
        </w:tc>
        <w:tc>
          <w:tcPr>
            <w:tcW w:w="552" w:type="pct"/>
            <w:tcBorders>
              <w:tl2br w:val="nil"/>
              <w:tr2bl w:val="nil"/>
            </w:tcBorders>
            <w:noWrap w:val="0"/>
            <w:vAlign w:val="center"/>
          </w:tcPr>
          <w:p w14:paraId="6BDEA22F">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mg/L</w:t>
            </w:r>
          </w:p>
        </w:tc>
        <w:tc>
          <w:tcPr>
            <w:tcW w:w="803" w:type="pct"/>
            <w:tcBorders>
              <w:tl2br w:val="nil"/>
              <w:tr2bl w:val="nil"/>
            </w:tcBorders>
            <w:noWrap w:val="0"/>
            <w:vAlign w:val="center"/>
          </w:tcPr>
          <w:p w14:paraId="2637096B">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0.07</w:t>
            </w:r>
          </w:p>
        </w:tc>
        <w:tc>
          <w:tcPr>
            <w:tcW w:w="803" w:type="pct"/>
            <w:tcBorders>
              <w:tl2br w:val="nil"/>
              <w:tr2bl w:val="nil"/>
            </w:tcBorders>
            <w:noWrap w:val="0"/>
            <w:vAlign w:val="center"/>
          </w:tcPr>
          <w:p w14:paraId="2FA3381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0.07</w:t>
            </w:r>
          </w:p>
        </w:tc>
        <w:tc>
          <w:tcPr>
            <w:tcW w:w="803" w:type="pct"/>
            <w:tcBorders>
              <w:tl2br w:val="nil"/>
              <w:tr2bl w:val="nil"/>
            </w:tcBorders>
            <w:noWrap w:val="0"/>
            <w:vAlign w:val="center"/>
          </w:tcPr>
          <w:p w14:paraId="54762684">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0.06</w:t>
            </w:r>
          </w:p>
        </w:tc>
        <w:tc>
          <w:tcPr>
            <w:tcW w:w="633" w:type="pct"/>
            <w:tcBorders>
              <w:tl2br w:val="nil"/>
              <w:tr2bl w:val="nil"/>
            </w:tcBorders>
            <w:noWrap w:val="0"/>
            <w:vAlign w:val="center"/>
          </w:tcPr>
          <w:p w14:paraId="0A393226">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≤0.2</w:t>
            </w:r>
          </w:p>
        </w:tc>
      </w:tr>
      <w:tr w14:paraId="512692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03DCCCA7">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57F3683B">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总氮</w:t>
            </w:r>
          </w:p>
        </w:tc>
        <w:tc>
          <w:tcPr>
            <w:tcW w:w="552" w:type="pct"/>
            <w:tcBorders>
              <w:tl2br w:val="nil"/>
              <w:tr2bl w:val="nil"/>
            </w:tcBorders>
            <w:noWrap w:val="0"/>
            <w:vAlign w:val="center"/>
          </w:tcPr>
          <w:p w14:paraId="266F133F">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mg/L</w:t>
            </w:r>
          </w:p>
        </w:tc>
        <w:tc>
          <w:tcPr>
            <w:tcW w:w="803" w:type="pct"/>
            <w:tcBorders>
              <w:tl2br w:val="nil"/>
              <w:tr2bl w:val="nil"/>
            </w:tcBorders>
            <w:noWrap w:val="0"/>
            <w:vAlign w:val="center"/>
          </w:tcPr>
          <w:p w14:paraId="4781BFB7">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0.433</w:t>
            </w:r>
          </w:p>
        </w:tc>
        <w:tc>
          <w:tcPr>
            <w:tcW w:w="803" w:type="pct"/>
            <w:tcBorders>
              <w:tl2br w:val="nil"/>
              <w:tr2bl w:val="nil"/>
            </w:tcBorders>
            <w:noWrap w:val="0"/>
            <w:vAlign w:val="center"/>
          </w:tcPr>
          <w:p w14:paraId="5B918C1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0.448</w:t>
            </w:r>
          </w:p>
        </w:tc>
        <w:tc>
          <w:tcPr>
            <w:tcW w:w="803" w:type="pct"/>
            <w:tcBorders>
              <w:tl2br w:val="nil"/>
              <w:tr2bl w:val="nil"/>
            </w:tcBorders>
            <w:noWrap w:val="0"/>
            <w:vAlign w:val="center"/>
          </w:tcPr>
          <w:p w14:paraId="48B3BFAA">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0.459</w:t>
            </w:r>
          </w:p>
        </w:tc>
        <w:tc>
          <w:tcPr>
            <w:tcW w:w="633" w:type="pct"/>
            <w:tcBorders>
              <w:tl2br w:val="nil"/>
              <w:tr2bl w:val="nil"/>
            </w:tcBorders>
            <w:noWrap w:val="0"/>
            <w:vAlign w:val="center"/>
          </w:tcPr>
          <w:p w14:paraId="30ADABBF">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≤1.0</w:t>
            </w:r>
          </w:p>
        </w:tc>
      </w:tr>
      <w:tr w14:paraId="3593F1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4C9933C4">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265D1279">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悬浮物</w:t>
            </w:r>
          </w:p>
        </w:tc>
        <w:tc>
          <w:tcPr>
            <w:tcW w:w="552" w:type="pct"/>
            <w:tcBorders>
              <w:tl2br w:val="nil"/>
              <w:tr2bl w:val="nil"/>
            </w:tcBorders>
            <w:noWrap w:val="0"/>
            <w:vAlign w:val="center"/>
          </w:tcPr>
          <w:p w14:paraId="55E2F8C9">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mg/L</w:t>
            </w:r>
          </w:p>
        </w:tc>
        <w:tc>
          <w:tcPr>
            <w:tcW w:w="803" w:type="pct"/>
            <w:tcBorders>
              <w:tl2br w:val="nil"/>
              <w:tr2bl w:val="nil"/>
            </w:tcBorders>
            <w:noWrap w:val="0"/>
            <w:vAlign w:val="center"/>
          </w:tcPr>
          <w:p w14:paraId="5E70B767">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6</w:t>
            </w:r>
          </w:p>
        </w:tc>
        <w:tc>
          <w:tcPr>
            <w:tcW w:w="803" w:type="pct"/>
            <w:tcBorders>
              <w:tl2br w:val="nil"/>
              <w:tr2bl w:val="nil"/>
            </w:tcBorders>
            <w:noWrap w:val="0"/>
            <w:vAlign w:val="center"/>
          </w:tcPr>
          <w:p w14:paraId="56BD2BC9">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5</w:t>
            </w:r>
          </w:p>
        </w:tc>
        <w:tc>
          <w:tcPr>
            <w:tcW w:w="803" w:type="pct"/>
            <w:tcBorders>
              <w:tl2br w:val="nil"/>
              <w:tr2bl w:val="nil"/>
            </w:tcBorders>
            <w:noWrap w:val="0"/>
            <w:vAlign w:val="center"/>
          </w:tcPr>
          <w:p w14:paraId="7E1AA7C2">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5</w:t>
            </w:r>
          </w:p>
        </w:tc>
        <w:tc>
          <w:tcPr>
            <w:tcW w:w="633" w:type="pct"/>
            <w:tcBorders>
              <w:tl2br w:val="nil"/>
              <w:tr2bl w:val="nil"/>
            </w:tcBorders>
            <w:noWrap w:val="0"/>
            <w:vAlign w:val="center"/>
          </w:tcPr>
          <w:p w14:paraId="3272666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w:t>
            </w:r>
          </w:p>
        </w:tc>
      </w:tr>
      <w:tr w14:paraId="50924A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2" w:type="pct"/>
            <w:vMerge w:val="continue"/>
            <w:tcBorders>
              <w:tl2br w:val="nil"/>
              <w:tr2bl w:val="nil"/>
            </w:tcBorders>
            <w:noWrap w:val="0"/>
            <w:vAlign w:val="center"/>
          </w:tcPr>
          <w:p w14:paraId="16DA3C28">
            <w:pPr>
              <w:bidi w:val="0"/>
              <w:jc w:val="center"/>
              <w:rPr>
                <w:rFonts w:hint="default" w:ascii="Times New Roman" w:hAnsi="Times New Roman" w:cs="Times New Roman"/>
                <w:lang w:val="en-US" w:eastAsia="zh-CN"/>
              </w:rPr>
            </w:pPr>
          </w:p>
        </w:tc>
        <w:tc>
          <w:tcPr>
            <w:tcW w:w="830" w:type="pct"/>
            <w:tcBorders>
              <w:tl2br w:val="nil"/>
              <w:tr2bl w:val="nil"/>
            </w:tcBorders>
            <w:noWrap w:val="0"/>
            <w:vAlign w:val="center"/>
          </w:tcPr>
          <w:p w14:paraId="5EF82A37">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阴离子表面活性剂</w:t>
            </w:r>
          </w:p>
        </w:tc>
        <w:tc>
          <w:tcPr>
            <w:tcW w:w="552" w:type="pct"/>
            <w:tcBorders>
              <w:tl2br w:val="nil"/>
              <w:tr2bl w:val="nil"/>
            </w:tcBorders>
            <w:noWrap w:val="0"/>
            <w:vAlign w:val="center"/>
          </w:tcPr>
          <w:p w14:paraId="76E220D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mg/L</w:t>
            </w:r>
          </w:p>
        </w:tc>
        <w:tc>
          <w:tcPr>
            <w:tcW w:w="1455" w:type="dxa"/>
            <w:tcBorders>
              <w:tl2br w:val="nil"/>
              <w:tr2bl w:val="nil"/>
            </w:tcBorders>
            <w:noWrap w:val="0"/>
            <w:vAlign w:val="center"/>
          </w:tcPr>
          <w:p w14:paraId="780837F8">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0.05L</w:t>
            </w:r>
          </w:p>
        </w:tc>
        <w:tc>
          <w:tcPr>
            <w:tcW w:w="1455" w:type="dxa"/>
            <w:tcBorders>
              <w:tl2br w:val="nil"/>
              <w:tr2bl w:val="nil"/>
            </w:tcBorders>
            <w:noWrap w:val="0"/>
            <w:vAlign w:val="center"/>
          </w:tcPr>
          <w:p w14:paraId="6BBA9281">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0.05L</w:t>
            </w:r>
          </w:p>
        </w:tc>
        <w:tc>
          <w:tcPr>
            <w:tcW w:w="1455" w:type="dxa"/>
            <w:tcBorders>
              <w:tl2br w:val="nil"/>
              <w:tr2bl w:val="nil"/>
            </w:tcBorders>
            <w:noWrap w:val="0"/>
            <w:vAlign w:val="center"/>
          </w:tcPr>
          <w:p w14:paraId="0D6665CB">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0.05L</w:t>
            </w:r>
          </w:p>
        </w:tc>
        <w:tc>
          <w:tcPr>
            <w:tcW w:w="633" w:type="pct"/>
            <w:tcBorders>
              <w:tl2br w:val="nil"/>
              <w:tr2bl w:val="nil"/>
            </w:tcBorders>
            <w:noWrap w:val="0"/>
            <w:vAlign w:val="center"/>
          </w:tcPr>
          <w:p w14:paraId="354DEAB9">
            <w:pPr>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≤0.2</w:t>
            </w:r>
          </w:p>
        </w:tc>
      </w:tr>
      <w:tr w14:paraId="2C959C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000" w:type="pct"/>
            <w:gridSpan w:val="7"/>
            <w:tcBorders>
              <w:tl2br w:val="nil"/>
              <w:tr2bl w:val="nil"/>
            </w:tcBorders>
            <w:noWrap w:val="0"/>
            <w:vAlign w:val="center"/>
          </w:tcPr>
          <w:p w14:paraId="0A4B09EB">
            <w:pPr>
              <w:bidi w:val="0"/>
              <w:jc w:val="center"/>
              <w:rPr>
                <w:rFonts w:hint="default" w:ascii="Times New Roman" w:hAnsi="Times New Roman" w:cs="Times New Roman"/>
                <w:lang w:val="en-US" w:eastAsia="zh-CN"/>
              </w:rPr>
            </w:pPr>
            <w:r>
              <w:rPr>
                <w:rFonts w:hint="default" w:ascii="Times New Roman" w:hAnsi="Times New Roman" w:cs="Times New Roman"/>
                <w:lang w:eastAsia="zh-CN"/>
              </w:rPr>
              <w:t>备注：执行《地表水环境质量标准》（GB3838-2002）表1中Ⅲ类。</w:t>
            </w:r>
          </w:p>
        </w:tc>
      </w:tr>
    </w:tbl>
    <w:p w14:paraId="7FDB288F">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80" w:firstLineChars="200"/>
        <w:jc w:val="both"/>
        <w:textAlignment w:val="baseline"/>
        <w:rPr>
          <w:rFonts w:hint="default" w:ascii="Times New Roman" w:hAnsi="Times New Roman" w:eastAsia="宋体" w:cs="Times New Roman"/>
          <w:sz w:val="24"/>
          <w:szCs w:val="24"/>
          <w:lang w:eastAsia="zh-CN"/>
        </w:rPr>
      </w:pPr>
      <w:r>
        <w:rPr>
          <w:rFonts w:hint="default" w:ascii="Times New Roman" w:hAnsi="Times New Roman" w:cs="Times New Roman"/>
          <w:color w:val="000000" w:themeColor="text1"/>
          <w:sz w:val="24"/>
          <w:szCs w:val="24"/>
          <w:lang w:eastAsia="zh-CN"/>
          <w14:textFill>
            <w14:solidFill>
              <w14:schemeClr w14:val="tx1"/>
            </w14:solidFill>
          </w14:textFill>
        </w:rPr>
        <w:t>根据上表监测结果可知，</w:t>
      </w:r>
      <w:r>
        <w:rPr>
          <w:rFonts w:hint="eastAsia" w:ascii="Times New Roman" w:hAnsi="Times New Roman" w:cs="Times New Roman"/>
          <w:color w:val="000000" w:themeColor="text1"/>
          <w:sz w:val="24"/>
          <w:szCs w:val="24"/>
          <w:lang w:val="en-US" w:eastAsia="zh-CN"/>
          <w14:textFill>
            <w14:solidFill>
              <w14:schemeClr w14:val="tx1"/>
            </w14:solidFill>
          </w14:textFill>
        </w:rPr>
        <w:t>青山河</w:t>
      </w:r>
      <w:r>
        <w:rPr>
          <w:rFonts w:hint="default" w:ascii="Times New Roman" w:hAnsi="Times New Roman" w:cs="Times New Roman"/>
          <w:color w:val="000000" w:themeColor="text1"/>
          <w:sz w:val="24"/>
          <w:szCs w:val="24"/>
          <w:lang w:eastAsia="zh-CN"/>
          <w14:textFill>
            <w14:solidFill>
              <w14:schemeClr w14:val="tx1"/>
            </w14:solidFill>
          </w14:textFill>
        </w:rPr>
        <w:t>各监测点位各监测因子均能满足《地表水环境质量标准》（GB3838-2002）中</w:t>
      </w:r>
      <w:r>
        <w:rPr>
          <w:rFonts w:hint="default" w:ascii="Times New Roman" w:hAnsi="Times New Roman" w:eastAsia="宋体" w:cs="Times New Roman"/>
          <w:color w:val="000000" w:themeColor="text1"/>
          <w:position w:val="3"/>
          <w:sz w:val="24"/>
          <w:szCs w:val="24"/>
          <w:lang w:eastAsia="zh-CN" w:bidi="ar"/>
          <w14:textFill>
            <w14:solidFill>
              <w14:schemeClr w14:val="tx1"/>
            </w14:solidFill>
          </w14:textFill>
        </w:rPr>
        <w:t>III类</w:t>
      </w:r>
      <w:r>
        <w:rPr>
          <w:rFonts w:hint="default" w:ascii="Times New Roman" w:hAnsi="Times New Roman" w:cs="Times New Roman"/>
          <w:color w:val="000000" w:themeColor="text1"/>
          <w:sz w:val="24"/>
          <w:szCs w:val="24"/>
          <w:lang w:eastAsia="zh-CN"/>
          <w14:textFill>
            <w14:solidFill>
              <w14:schemeClr w14:val="tx1"/>
            </w14:solidFill>
          </w14:textFill>
        </w:rPr>
        <w:t>标准</w:t>
      </w:r>
      <w:r>
        <w:rPr>
          <w:rFonts w:hint="default" w:ascii="Times New Roman" w:hAnsi="Times New Roman" w:eastAsia="宋体" w:cs="Times New Roman"/>
          <w:color w:val="000000" w:themeColor="text1"/>
          <w:sz w:val="24"/>
          <w:szCs w:val="24"/>
          <w:lang w:eastAsia="zh-CN"/>
          <w14:textFill>
            <w14:solidFill>
              <w14:schemeClr w14:val="tx1"/>
            </w14:solidFill>
          </w14:textFill>
        </w:rPr>
        <w:t>，满足</w:t>
      </w:r>
      <w:r>
        <w:rPr>
          <w:rFonts w:hint="default" w:ascii="Times New Roman" w:hAnsi="Times New Roman" w:eastAsia="宋体" w:cs="Times New Roman"/>
          <w:sz w:val="24"/>
          <w:szCs w:val="24"/>
          <w:lang w:eastAsia="zh-CN"/>
        </w:rPr>
        <w:t>其水功能区</w:t>
      </w:r>
      <w:r>
        <w:rPr>
          <w:rFonts w:hint="default" w:ascii="Times New Roman" w:hAnsi="Times New Roman" w:eastAsia="宋体" w:cs="Times New Roman"/>
          <w:spacing w:val="-2"/>
          <w:sz w:val="24"/>
          <w:szCs w:val="24"/>
          <w:lang w:eastAsia="zh-CN"/>
        </w:rPr>
        <w:t>划管理目标。</w:t>
      </w:r>
    </w:p>
    <w:p w14:paraId="19D9162E">
      <w:pPr>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outlineLvl w:val="1"/>
        <w:rPr>
          <w:rFonts w:ascii="宋体" w:hAnsi="宋体" w:eastAsia="宋体" w:cs="宋体"/>
          <w:sz w:val="28"/>
          <w:szCs w:val="28"/>
          <w:lang w:eastAsia="zh-CN"/>
        </w:rPr>
      </w:pPr>
      <w:bookmarkStart w:id="121" w:name="bookmark22"/>
      <w:bookmarkEnd w:id="121"/>
      <w:bookmarkStart w:id="122" w:name="_Toc12187"/>
      <w:bookmarkStart w:id="123" w:name="_Toc12340"/>
      <w:r>
        <w:rPr>
          <w:rFonts w:ascii="Times New Roman" w:hAnsi="Times New Roman" w:eastAsia="Times New Roman" w:cs="Times New Roman"/>
          <w:b/>
          <w:bCs/>
          <w:spacing w:val="-2"/>
          <w:sz w:val="28"/>
          <w:szCs w:val="28"/>
          <w:lang w:eastAsia="zh-CN"/>
        </w:rPr>
        <w:t>4.</w:t>
      </w:r>
      <w:r>
        <w:rPr>
          <w:rFonts w:hint="eastAsia" w:ascii="Times New Roman" w:hAnsi="Times New Roman" w:eastAsia="Times New Roman" w:cs="Times New Roman"/>
          <w:b/>
          <w:bCs/>
          <w:spacing w:val="-2"/>
          <w:sz w:val="28"/>
          <w:szCs w:val="28"/>
          <w:lang w:val="en-US" w:eastAsia="zh-CN"/>
        </w:rPr>
        <w:t>3</w:t>
      </w:r>
      <w:r>
        <w:rPr>
          <w:rFonts w:ascii="宋体" w:hAnsi="宋体" w:eastAsia="宋体" w:cs="宋体"/>
          <w:b/>
          <w:bCs/>
          <w:spacing w:val="-2"/>
          <w:sz w:val="28"/>
          <w:szCs w:val="28"/>
          <w:lang w:eastAsia="zh-CN"/>
        </w:rPr>
        <w:t>水生态调查分析</w:t>
      </w:r>
      <w:bookmarkEnd w:id="122"/>
      <w:bookmarkEnd w:id="123"/>
    </w:p>
    <w:p w14:paraId="63FE6421">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80" w:firstLineChars="200"/>
        <w:jc w:val="both"/>
        <w:textAlignment w:val="baseline"/>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u w:val="single"/>
          <w:lang w:eastAsia="zh-CN"/>
          <w14:textFill>
            <w14:solidFill>
              <w14:schemeClr w14:val="tx1"/>
            </w14:solidFill>
          </w14:textFill>
        </w:rPr>
        <w:t>根据调查，</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项目水域河段浮游植物主要为硅藻、绿藻等。浮游动物包括无脊椎动物的大部分门类，在淡水水体中研究最多的是原生动物、轮虫、枝角类和桡足类，由于浮游动物摄取了大量藻类，所以使水体产生自净作用，它们也是几乎所有幼鱼和成鱼的饵料基础。项目区域浮游动物主要有纤毛虫属  、砂壳虫属、 似铃壳虫属、钟形虫属、泡轮虫属 、船卵蚤属 等。项目区域底栖动物主要为水生昆虫。 评价范围主要鱼类有鲤鱼、草鱼、青鱼、鳙鱼、鳜鱼、鳟、鲫鱼等，无珍稀鱼类资源的分布。项目论证范围河段不涉及珍稀鱼类资源、鱼类三场、洄游通道和种质资源保护区。</w:t>
      </w:r>
    </w:p>
    <w:p w14:paraId="612727C9">
      <w:pPr>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outlineLvl w:val="1"/>
        <w:rPr>
          <w:rFonts w:hint="default" w:ascii="Times New Roman" w:hAnsi="Times New Roman" w:eastAsia="宋体" w:cs="Times New Roman"/>
          <w:b/>
          <w:bCs/>
          <w:spacing w:val="-2"/>
          <w:sz w:val="28"/>
          <w:szCs w:val="28"/>
          <w:lang w:eastAsia="zh-CN"/>
        </w:rPr>
      </w:pPr>
      <w:bookmarkStart w:id="124" w:name="_Toc25875"/>
      <w:bookmarkStart w:id="125" w:name="_Toc4536"/>
      <w:r>
        <w:rPr>
          <w:rFonts w:hint="default" w:ascii="Times New Roman" w:hAnsi="Times New Roman" w:eastAsia="宋体" w:cs="Times New Roman"/>
          <w:b/>
          <w:bCs/>
          <w:spacing w:val="-2"/>
          <w:sz w:val="28"/>
          <w:szCs w:val="28"/>
          <w:lang w:eastAsia="zh-CN"/>
        </w:rPr>
        <w:t>4.</w:t>
      </w:r>
      <w:r>
        <w:rPr>
          <w:rFonts w:hint="eastAsia" w:ascii="Times New Roman" w:hAnsi="Times New Roman" w:eastAsia="宋体" w:cs="Times New Roman"/>
          <w:b/>
          <w:bCs/>
          <w:spacing w:val="-2"/>
          <w:sz w:val="28"/>
          <w:szCs w:val="28"/>
          <w:lang w:val="en-US" w:eastAsia="zh-CN"/>
        </w:rPr>
        <w:t>4</w:t>
      </w:r>
      <w:r>
        <w:rPr>
          <w:rFonts w:hint="default" w:ascii="Times New Roman" w:hAnsi="Times New Roman" w:eastAsia="宋体" w:cs="Times New Roman"/>
          <w:b/>
          <w:bCs/>
          <w:spacing w:val="-2"/>
          <w:sz w:val="28"/>
          <w:szCs w:val="28"/>
          <w:lang w:eastAsia="zh-CN"/>
        </w:rPr>
        <w:t>生态环境分区管控要求调查分析</w:t>
      </w:r>
      <w:bookmarkEnd w:id="124"/>
      <w:bookmarkEnd w:id="125"/>
    </w:p>
    <w:p w14:paraId="18A150F5">
      <w:pPr>
        <w:pStyle w:val="9"/>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rPr>
          <w:rFonts w:ascii="宋体" w:hAnsi="宋体" w:eastAsia="宋体" w:cs="宋体"/>
          <w:sz w:val="24"/>
          <w:szCs w:val="24"/>
          <w:lang w:eastAsia="zh-CN"/>
        </w:rPr>
      </w:pPr>
      <w:r>
        <w:rPr>
          <w:rFonts w:ascii="Times New Roman" w:hAnsi="Times New Roman" w:eastAsia="Times New Roman" w:cs="Times New Roman"/>
          <w:b/>
          <w:bCs/>
          <w:spacing w:val="-3"/>
          <w:sz w:val="24"/>
          <w:szCs w:val="24"/>
          <w:lang w:eastAsia="zh-CN"/>
        </w:rPr>
        <w:t>4.</w:t>
      </w:r>
      <w:r>
        <w:rPr>
          <w:rFonts w:hint="eastAsia" w:ascii="Times New Roman" w:hAnsi="Times New Roman" w:eastAsia="Times New Roman" w:cs="Times New Roman"/>
          <w:b/>
          <w:bCs/>
          <w:spacing w:val="-3"/>
          <w:sz w:val="24"/>
          <w:szCs w:val="24"/>
          <w:lang w:val="en-US" w:eastAsia="zh-CN"/>
        </w:rPr>
        <w:t>4</w:t>
      </w:r>
      <w:r>
        <w:rPr>
          <w:rFonts w:ascii="Times New Roman" w:hAnsi="Times New Roman" w:eastAsia="Times New Roman" w:cs="Times New Roman"/>
          <w:b/>
          <w:bCs/>
          <w:spacing w:val="-3"/>
          <w:sz w:val="24"/>
          <w:szCs w:val="24"/>
          <w:lang w:eastAsia="zh-CN"/>
        </w:rPr>
        <w:t>.1</w:t>
      </w:r>
      <w:r>
        <w:rPr>
          <w:rFonts w:ascii="宋体" w:hAnsi="宋体" w:eastAsia="宋体" w:cs="宋体"/>
          <w:b/>
          <w:bCs/>
          <w:spacing w:val="-3"/>
          <w:sz w:val="24"/>
          <w:szCs w:val="24"/>
          <w:lang w:eastAsia="zh-CN"/>
        </w:rPr>
        <w:t>与</w:t>
      </w:r>
      <w:r>
        <w:rPr>
          <w:rFonts w:hint="eastAsia" w:ascii="宋体" w:hAnsi="宋体" w:eastAsia="宋体" w:cs="宋体"/>
          <w:b/>
          <w:bCs/>
          <w:spacing w:val="-3"/>
          <w:sz w:val="24"/>
          <w:szCs w:val="24"/>
          <w:lang w:val="en-US" w:eastAsia="zh-CN"/>
        </w:rPr>
        <w:t>湘潭</w:t>
      </w:r>
      <w:r>
        <w:rPr>
          <w:rFonts w:ascii="宋体" w:hAnsi="宋体" w:eastAsia="宋体" w:cs="宋体"/>
          <w:b/>
          <w:bCs/>
          <w:spacing w:val="-3"/>
          <w:sz w:val="24"/>
          <w:szCs w:val="24"/>
          <w:lang w:eastAsia="zh-CN"/>
        </w:rPr>
        <w:t>市</w:t>
      </w:r>
      <w:r>
        <w:rPr>
          <w:rFonts w:hint="eastAsia" w:ascii="宋体" w:hAnsi="宋体" w:eastAsia="宋体" w:cs="宋体"/>
          <w:b/>
          <w:bCs/>
          <w:spacing w:val="-3"/>
          <w:sz w:val="24"/>
          <w:szCs w:val="24"/>
          <w:lang w:eastAsia="zh-CN"/>
        </w:rPr>
        <w:t>生态环境分区管控</w:t>
      </w:r>
      <w:r>
        <w:rPr>
          <w:rFonts w:ascii="宋体" w:hAnsi="宋体" w:eastAsia="宋体" w:cs="宋体"/>
          <w:b/>
          <w:bCs/>
          <w:spacing w:val="-3"/>
          <w:sz w:val="24"/>
          <w:szCs w:val="24"/>
          <w:lang w:eastAsia="zh-CN"/>
        </w:rPr>
        <w:t>符合性</w:t>
      </w:r>
      <w:r>
        <w:rPr>
          <w:rFonts w:ascii="宋体" w:hAnsi="宋体" w:eastAsia="宋体" w:cs="宋体"/>
          <w:b/>
          <w:bCs/>
          <w:spacing w:val="-4"/>
          <w:sz w:val="24"/>
          <w:szCs w:val="24"/>
          <w:lang w:eastAsia="zh-CN"/>
        </w:rPr>
        <w:t>分析</w:t>
      </w:r>
    </w:p>
    <w:p w14:paraId="3464DA00">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79"/>
        <w:jc w:val="both"/>
        <w:textAlignment w:val="baseline"/>
        <w:rPr>
          <w:rFonts w:hint="default" w:ascii="Times New Roman" w:hAnsi="Times New Roman" w:eastAsia="宋体" w:cs="Times New Roman"/>
          <w:sz w:val="24"/>
          <w:szCs w:val="24"/>
          <w:lang w:eastAsia="zh-CN"/>
        </w:rPr>
      </w:pPr>
      <w:r>
        <w:rPr>
          <w:rFonts w:hint="default" w:ascii="Times New Roman" w:hAnsi="Times New Roman" w:eastAsia="宋体" w:cs="Times New Roman"/>
          <w:spacing w:val="-3"/>
          <w:sz w:val="24"/>
          <w:szCs w:val="24"/>
          <w:lang w:eastAsia="zh-CN"/>
        </w:rPr>
        <w:t>入河排污口位于</w:t>
      </w:r>
      <w:r>
        <w:rPr>
          <w:rFonts w:hint="default" w:ascii="Times New Roman" w:hAnsi="Times New Roman" w:eastAsia="宋体" w:cs="Times New Roman"/>
          <w:spacing w:val="-3"/>
          <w:sz w:val="24"/>
          <w:szCs w:val="24"/>
          <w:lang w:val="en-US" w:eastAsia="zh-CN"/>
        </w:rPr>
        <w:t>湘潭县</w:t>
      </w:r>
      <w:r>
        <w:rPr>
          <w:rFonts w:hint="eastAsia" w:ascii="Times New Roman" w:hAnsi="Times New Roman" w:eastAsia="宋体" w:cs="Times New Roman"/>
          <w:spacing w:val="-3"/>
          <w:sz w:val="24"/>
          <w:szCs w:val="24"/>
          <w:lang w:val="en-US" w:eastAsia="zh-CN"/>
        </w:rPr>
        <w:t>石鼓镇</w:t>
      </w:r>
      <w:r>
        <w:rPr>
          <w:rFonts w:hint="default" w:ascii="Times New Roman" w:hAnsi="Times New Roman" w:eastAsia="宋体" w:cs="Times New Roman"/>
          <w:spacing w:val="-3"/>
          <w:sz w:val="24"/>
          <w:szCs w:val="24"/>
          <w:lang w:eastAsia="zh-CN"/>
        </w:rPr>
        <w:t>，根据《</w:t>
      </w:r>
      <w:r>
        <w:rPr>
          <w:rFonts w:hint="default" w:ascii="Times New Roman" w:hAnsi="Times New Roman" w:eastAsia="宋体" w:cs="Times New Roman"/>
          <w:spacing w:val="-4"/>
          <w:sz w:val="24"/>
          <w:szCs w:val="24"/>
          <w:lang w:eastAsia="zh-CN"/>
        </w:rPr>
        <w:t>《关于发布湘潭市生态环境分区管控动态更新成果（2023年版）的通知》（潭环发〔2024〕38号）</w:t>
      </w:r>
      <w:r>
        <w:rPr>
          <w:rFonts w:hint="default" w:ascii="Times New Roman" w:hAnsi="Times New Roman" w:eastAsia="宋体" w:cs="Times New Roman"/>
          <w:spacing w:val="3"/>
          <w:sz w:val="24"/>
          <w:szCs w:val="24"/>
          <w:lang w:eastAsia="zh-CN"/>
        </w:rPr>
        <w:t>可知，</w:t>
      </w:r>
      <w:r>
        <w:rPr>
          <w:rFonts w:hint="eastAsia" w:ascii="Times New Roman" w:hAnsi="Times New Roman" w:eastAsia="宋体" w:cs="Times New Roman"/>
          <w:spacing w:val="-3"/>
          <w:sz w:val="24"/>
          <w:szCs w:val="24"/>
          <w:lang w:val="en-US" w:eastAsia="zh-CN"/>
        </w:rPr>
        <w:t>石鼓镇</w:t>
      </w:r>
      <w:r>
        <w:rPr>
          <w:rFonts w:hint="default" w:ascii="Times New Roman" w:hAnsi="Times New Roman" w:eastAsia="宋体" w:cs="Times New Roman"/>
          <w:spacing w:val="2"/>
          <w:sz w:val="24"/>
          <w:szCs w:val="24"/>
          <w:lang w:eastAsia="zh-CN"/>
        </w:rPr>
        <w:t>属于</w:t>
      </w:r>
      <w:r>
        <w:rPr>
          <w:rFonts w:hint="default" w:ascii="Times New Roman" w:hAnsi="Times New Roman" w:eastAsia="宋体" w:cs="Times New Roman"/>
          <w:spacing w:val="2"/>
          <w:sz w:val="24"/>
          <w:szCs w:val="24"/>
          <w:lang w:val="en-US" w:eastAsia="zh-CN"/>
        </w:rPr>
        <w:t>一般管控单元</w:t>
      </w:r>
      <w:r>
        <w:rPr>
          <w:rFonts w:hint="default" w:ascii="Times New Roman" w:hAnsi="Times New Roman" w:eastAsia="宋体" w:cs="Times New Roman"/>
          <w:spacing w:val="-1"/>
          <w:sz w:val="24"/>
          <w:szCs w:val="24"/>
          <w:lang w:eastAsia="zh-CN"/>
        </w:rPr>
        <w:t>。</w:t>
      </w:r>
    </w:p>
    <w:p w14:paraId="39484557">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90"/>
        <w:jc w:val="both"/>
        <w:textAlignment w:val="baseline"/>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w:t>
      </w:r>
      <w:r>
        <w:rPr>
          <w:rFonts w:hint="default" w:ascii="Times New Roman" w:hAnsi="Times New Roman" w:eastAsia="Times New Roman" w:cs="Times New Roman"/>
          <w:sz w:val="24"/>
          <w:szCs w:val="24"/>
          <w:lang w:eastAsia="zh-CN"/>
        </w:rPr>
        <w:t>1</w:t>
      </w:r>
      <w:r>
        <w:rPr>
          <w:rFonts w:hint="default" w:ascii="Times New Roman" w:hAnsi="Times New Roman" w:eastAsia="宋体" w:cs="Times New Roman"/>
          <w:sz w:val="24"/>
          <w:szCs w:val="24"/>
          <w:lang w:eastAsia="zh-CN"/>
        </w:rPr>
        <w:t>）生态红线。</w:t>
      </w:r>
      <w:r>
        <w:rPr>
          <w:rFonts w:hint="default" w:ascii="Times New Roman" w:hAnsi="Times New Roman" w:eastAsia="Times New Roman" w:cs="Times New Roman"/>
          <w:sz w:val="24"/>
          <w:szCs w:val="24"/>
          <w:lang w:eastAsia="zh-CN"/>
        </w:rPr>
        <w:t>“</w:t>
      </w:r>
      <w:r>
        <w:rPr>
          <w:rFonts w:hint="default" w:ascii="Times New Roman" w:hAnsi="Times New Roman" w:eastAsia="宋体" w:cs="Times New Roman"/>
          <w:sz w:val="24"/>
          <w:szCs w:val="24"/>
          <w:lang w:eastAsia="zh-CN"/>
        </w:rPr>
        <w:t>生态保护红线</w:t>
      </w:r>
      <w:r>
        <w:rPr>
          <w:rFonts w:hint="default" w:ascii="Times New Roman" w:hAnsi="Times New Roman" w:eastAsia="Times New Roman" w:cs="Times New Roman"/>
          <w:sz w:val="24"/>
          <w:szCs w:val="24"/>
          <w:lang w:eastAsia="zh-CN"/>
        </w:rPr>
        <w:t>”</w:t>
      </w:r>
      <w:r>
        <w:rPr>
          <w:rFonts w:hint="default" w:ascii="Times New Roman" w:hAnsi="Times New Roman" w:eastAsia="宋体" w:cs="Times New Roman"/>
          <w:sz w:val="24"/>
          <w:szCs w:val="24"/>
          <w:lang w:eastAsia="zh-CN"/>
        </w:rPr>
        <w:t>是生态空间范围内具</w:t>
      </w:r>
      <w:r>
        <w:rPr>
          <w:rFonts w:hint="default" w:ascii="Times New Roman" w:hAnsi="Times New Roman" w:eastAsia="宋体" w:cs="Times New Roman"/>
          <w:spacing w:val="-1"/>
          <w:sz w:val="24"/>
          <w:szCs w:val="24"/>
          <w:lang w:eastAsia="zh-CN"/>
        </w:rPr>
        <w:t>有特殊重要生态功能必</w:t>
      </w:r>
      <w:r>
        <w:rPr>
          <w:rFonts w:hint="default" w:ascii="Times New Roman" w:hAnsi="Times New Roman" w:eastAsia="宋体" w:cs="Times New Roman"/>
          <w:spacing w:val="3"/>
          <w:sz w:val="24"/>
          <w:szCs w:val="24"/>
          <w:lang w:eastAsia="zh-CN"/>
        </w:rPr>
        <w:t>须实行强制性严格保护的区域。经核实，本项目拟建地</w:t>
      </w:r>
      <w:r>
        <w:rPr>
          <w:rFonts w:hint="default" w:ascii="Times New Roman" w:hAnsi="Times New Roman" w:eastAsia="宋体" w:cs="Times New Roman"/>
          <w:spacing w:val="2"/>
          <w:sz w:val="24"/>
          <w:szCs w:val="24"/>
          <w:lang w:eastAsia="zh-CN"/>
        </w:rPr>
        <w:t>不在生态红线范围内，符</w:t>
      </w:r>
      <w:r>
        <w:rPr>
          <w:rFonts w:hint="default" w:ascii="Times New Roman" w:hAnsi="Times New Roman" w:eastAsia="宋体" w:cs="Times New Roman"/>
          <w:spacing w:val="-2"/>
          <w:sz w:val="24"/>
          <w:szCs w:val="24"/>
          <w:lang w:eastAsia="zh-CN"/>
        </w:rPr>
        <w:t>合生态红线要求。</w:t>
      </w:r>
    </w:p>
    <w:p w14:paraId="000CE548">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90"/>
        <w:jc w:val="both"/>
        <w:textAlignment w:val="baseline"/>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w:t>
      </w:r>
      <w:r>
        <w:rPr>
          <w:rFonts w:hint="default" w:ascii="Times New Roman" w:hAnsi="Times New Roman" w:eastAsia="Times New Roman" w:cs="Times New Roman"/>
          <w:sz w:val="24"/>
          <w:szCs w:val="24"/>
          <w:lang w:eastAsia="zh-CN"/>
        </w:rPr>
        <w:t>2</w:t>
      </w:r>
      <w:r>
        <w:rPr>
          <w:rFonts w:hint="default" w:ascii="Times New Roman" w:hAnsi="Times New Roman" w:eastAsia="宋体" w:cs="Times New Roman"/>
          <w:sz w:val="24"/>
          <w:szCs w:val="24"/>
          <w:lang w:eastAsia="zh-CN"/>
        </w:rPr>
        <w:t>）环境质量底线。</w:t>
      </w:r>
      <w:r>
        <w:rPr>
          <w:rFonts w:hint="default" w:ascii="Times New Roman" w:hAnsi="Times New Roman" w:eastAsia="Times New Roman" w:cs="Times New Roman"/>
          <w:sz w:val="24"/>
          <w:szCs w:val="24"/>
          <w:lang w:eastAsia="zh-CN"/>
        </w:rPr>
        <w:t>“</w:t>
      </w:r>
      <w:r>
        <w:rPr>
          <w:rFonts w:hint="default" w:ascii="Times New Roman" w:hAnsi="Times New Roman" w:eastAsia="宋体" w:cs="Times New Roman"/>
          <w:sz w:val="24"/>
          <w:szCs w:val="24"/>
          <w:lang w:eastAsia="zh-CN"/>
        </w:rPr>
        <w:t>环境质量底线</w:t>
      </w:r>
      <w:r>
        <w:rPr>
          <w:rFonts w:hint="default" w:ascii="Times New Roman" w:hAnsi="Times New Roman" w:eastAsia="Times New Roman" w:cs="Times New Roman"/>
          <w:sz w:val="24"/>
          <w:szCs w:val="24"/>
          <w:lang w:eastAsia="zh-CN"/>
        </w:rPr>
        <w:t>”</w:t>
      </w:r>
      <w:r>
        <w:rPr>
          <w:rFonts w:hint="default" w:ascii="Times New Roman" w:hAnsi="Times New Roman" w:eastAsia="宋体" w:cs="Times New Roman"/>
          <w:sz w:val="24"/>
          <w:szCs w:val="24"/>
          <w:lang w:eastAsia="zh-CN"/>
        </w:rPr>
        <w:t>是国家和地方设</w:t>
      </w:r>
      <w:r>
        <w:rPr>
          <w:rFonts w:hint="default" w:ascii="Times New Roman" w:hAnsi="Times New Roman" w:eastAsia="宋体" w:cs="Times New Roman"/>
          <w:spacing w:val="-1"/>
          <w:sz w:val="24"/>
          <w:szCs w:val="24"/>
          <w:lang w:eastAsia="zh-CN"/>
        </w:rPr>
        <w:t>置的大气、水和土壤环境质量目标，也是改善环境质量的基准线。</w:t>
      </w:r>
      <w:r>
        <w:rPr>
          <w:rFonts w:hint="eastAsia" w:ascii="Times New Roman" w:hAnsi="Times New Roman" w:eastAsia="宋体" w:cs="Times New Roman"/>
          <w:spacing w:val="-1"/>
          <w:sz w:val="24"/>
          <w:szCs w:val="24"/>
          <w:lang w:val="en-US" w:eastAsia="zh-CN"/>
        </w:rPr>
        <w:t>根据补充监测结果</w:t>
      </w:r>
      <w:r>
        <w:rPr>
          <w:rFonts w:hint="default" w:ascii="Times New Roman" w:hAnsi="Times New Roman" w:eastAsia="宋体" w:cs="Times New Roman"/>
          <w:spacing w:val="-1"/>
          <w:sz w:val="24"/>
          <w:szCs w:val="24"/>
          <w:lang w:eastAsia="zh-CN"/>
        </w:rPr>
        <w:t>区域地表水体满足相应功能要求。本项目建设符合环境质量底线要求的。</w:t>
      </w:r>
    </w:p>
    <w:p w14:paraId="29EB2878">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91"/>
        <w:jc w:val="both"/>
        <w:textAlignment w:val="baseline"/>
        <w:rPr>
          <w:rFonts w:hint="eastAsia" w:ascii="Times New Roman" w:hAnsi="Times New Roman" w:eastAsia="Times New Roman" w:cs="Times New Roman"/>
          <w:spacing w:val="-2"/>
          <w:sz w:val="24"/>
          <w:szCs w:val="24"/>
          <w:lang w:val="en-US" w:eastAsia="zh-CN"/>
        </w:rPr>
      </w:pPr>
      <w:r>
        <w:rPr>
          <w:rFonts w:hint="default" w:ascii="Times New Roman" w:hAnsi="Times New Roman" w:eastAsia="宋体" w:cs="Times New Roman"/>
          <w:sz w:val="24"/>
          <w:szCs w:val="24"/>
          <w:lang w:eastAsia="zh-CN"/>
        </w:rPr>
        <w:t>（</w:t>
      </w:r>
      <w:r>
        <w:rPr>
          <w:rFonts w:hint="default" w:ascii="Times New Roman" w:hAnsi="Times New Roman" w:eastAsia="Times New Roman" w:cs="Times New Roman"/>
          <w:sz w:val="24"/>
          <w:szCs w:val="24"/>
          <w:lang w:eastAsia="zh-CN"/>
        </w:rPr>
        <w:t>3</w:t>
      </w:r>
      <w:r>
        <w:rPr>
          <w:rFonts w:hint="default" w:ascii="Times New Roman" w:hAnsi="Times New Roman" w:eastAsia="宋体" w:cs="Times New Roman"/>
          <w:sz w:val="24"/>
          <w:szCs w:val="24"/>
          <w:lang w:eastAsia="zh-CN"/>
        </w:rPr>
        <w:t>）资源利用上线。资源是环境的载体，</w:t>
      </w:r>
      <w:r>
        <w:rPr>
          <w:rFonts w:hint="default" w:ascii="Times New Roman" w:hAnsi="Times New Roman" w:eastAsia="Times New Roman" w:cs="Times New Roman"/>
          <w:sz w:val="24"/>
          <w:szCs w:val="24"/>
          <w:lang w:eastAsia="zh-CN"/>
        </w:rPr>
        <w:t>“</w:t>
      </w:r>
      <w:r>
        <w:rPr>
          <w:rFonts w:hint="default" w:ascii="Times New Roman" w:hAnsi="Times New Roman" w:eastAsia="宋体" w:cs="Times New Roman"/>
          <w:sz w:val="24"/>
          <w:szCs w:val="24"/>
          <w:lang w:eastAsia="zh-CN"/>
        </w:rPr>
        <w:t>资源利</w:t>
      </w:r>
      <w:r>
        <w:rPr>
          <w:rFonts w:hint="default" w:ascii="Times New Roman" w:hAnsi="Times New Roman" w:eastAsia="宋体" w:cs="Times New Roman"/>
          <w:spacing w:val="-1"/>
          <w:sz w:val="24"/>
          <w:szCs w:val="24"/>
          <w:lang w:eastAsia="zh-CN"/>
        </w:rPr>
        <w:t>用上线</w:t>
      </w:r>
      <w:r>
        <w:rPr>
          <w:rFonts w:hint="default" w:ascii="Times New Roman" w:hAnsi="Times New Roman" w:eastAsia="Times New Roman" w:cs="Times New Roman"/>
          <w:spacing w:val="-1"/>
          <w:sz w:val="24"/>
          <w:szCs w:val="24"/>
          <w:lang w:eastAsia="zh-CN"/>
        </w:rPr>
        <w:t>”</w:t>
      </w:r>
      <w:r>
        <w:rPr>
          <w:rFonts w:hint="default" w:ascii="Times New Roman" w:hAnsi="Times New Roman" w:eastAsia="宋体" w:cs="Times New Roman"/>
          <w:spacing w:val="-1"/>
          <w:sz w:val="24"/>
          <w:szCs w:val="24"/>
          <w:lang w:eastAsia="zh-CN"/>
        </w:rPr>
        <w:t>地区能源、水、土</w:t>
      </w:r>
      <w:r>
        <w:rPr>
          <w:rFonts w:hint="default" w:ascii="Times New Roman" w:hAnsi="Times New Roman" w:eastAsia="宋体" w:cs="Times New Roman"/>
          <w:spacing w:val="-3"/>
          <w:sz w:val="24"/>
          <w:szCs w:val="24"/>
          <w:lang w:eastAsia="zh-CN"/>
        </w:rPr>
        <w:t>地等资源消耗不得突破的</w:t>
      </w:r>
      <w:r>
        <w:rPr>
          <w:rFonts w:hint="default" w:ascii="Times New Roman" w:hAnsi="Times New Roman" w:eastAsia="Times New Roman" w:cs="Times New Roman"/>
          <w:spacing w:val="-3"/>
          <w:sz w:val="24"/>
          <w:szCs w:val="24"/>
          <w:lang w:eastAsia="zh-CN"/>
        </w:rPr>
        <w:t>“</w:t>
      </w:r>
      <w:r>
        <w:rPr>
          <w:rFonts w:hint="default" w:ascii="Times New Roman" w:hAnsi="Times New Roman" w:eastAsia="宋体" w:cs="Times New Roman"/>
          <w:spacing w:val="-3"/>
          <w:sz w:val="24"/>
          <w:szCs w:val="24"/>
          <w:lang w:eastAsia="zh-CN"/>
        </w:rPr>
        <w:t>天花板</w:t>
      </w:r>
      <w:r>
        <w:rPr>
          <w:rFonts w:hint="default" w:ascii="Times New Roman" w:hAnsi="Times New Roman" w:eastAsia="Times New Roman" w:cs="Times New Roman"/>
          <w:spacing w:val="-3"/>
          <w:sz w:val="24"/>
          <w:szCs w:val="24"/>
          <w:lang w:eastAsia="zh-CN"/>
        </w:rPr>
        <w:t>”</w:t>
      </w:r>
      <w:r>
        <w:rPr>
          <w:rFonts w:hint="default" w:ascii="Times New Roman" w:hAnsi="Times New Roman" w:eastAsia="宋体" w:cs="Times New Roman"/>
          <w:spacing w:val="-3"/>
          <w:sz w:val="24"/>
          <w:szCs w:val="24"/>
          <w:lang w:eastAsia="zh-CN"/>
        </w:rPr>
        <w:t>。项目能源主要为电能，锅炉燃料采用生物质，所用能源属于清洁能源</w:t>
      </w:r>
      <w:r>
        <w:rPr>
          <w:rFonts w:hint="default" w:ascii="Times New Roman" w:hAnsi="Times New Roman" w:eastAsia="宋体" w:cs="Times New Roman"/>
          <w:spacing w:val="2"/>
          <w:sz w:val="24"/>
          <w:szCs w:val="24"/>
          <w:lang w:eastAsia="zh-CN"/>
        </w:rPr>
        <w:t>。因此，项目资源利</w:t>
      </w:r>
      <w:r>
        <w:rPr>
          <w:rFonts w:hint="default" w:ascii="Times New Roman" w:hAnsi="Times New Roman" w:eastAsia="宋体" w:cs="Times New Roman"/>
          <w:spacing w:val="-2"/>
          <w:sz w:val="24"/>
          <w:szCs w:val="24"/>
          <w:lang w:eastAsia="zh-CN"/>
        </w:rPr>
        <w:t>用满足要求</w:t>
      </w:r>
      <w:r>
        <w:rPr>
          <w:rFonts w:hint="eastAsia" w:ascii="Times New Roman" w:hAnsi="Times New Roman" w:eastAsia="宋体" w:cs="Times New Roman"/>
          <w:spacing w:val="-2"/>
          <w:sz w:val="24"/>
          <w:szCs w:val="24"/>
          <w:lang w:eastAsia="zh-CN"/>
        </w:rPr>
        <w:t>。</w:t>
      </w:r>
      <w:r>
        <w:rPr>
          <w:rFonts w:ascii="宋体" w:hAnsi="宋体" w:eastAsia="宋体" w:cs="宋体"/>
          <w:spacing w:val="-2"/>
          <w:sz w:val="24"/>
          <w:szCs w:val="24"/>
          <w:lang w:eastAsia="zh-CN"/>
        </w:rPr>
        <w:t>本项目与</w:t>
      </w:r>
      <w:r>
        <w:rPr>
          <w:rFonts w:hint="eastAsia" w:ascii="宋体" w:hAnsi="宋体" w:eastAsia="宋体" w:cs="宋体"/>
          <w:spacing w:val="-2"/>
          <w:sz w:val="24"/>
          <w:szCs w:val="24"/>
          <w:lang w:val="en-US" w:eastAsia="zh-CN"/>
        </w:rPr>
        <w:t>湘潭市生态环境分区管控文件</w:t>
      </w:r>
      <w:r>
        <w:rPr>
          <w:rFonts w:ascii="宋体" w:hAnsi="宋体" w:eastAsia="宋体" w:cs="宋体"/>
          <w:spacing w:val="-2"/>
          <w:sz w:val="24"/>
          <w:szCs w:val="24"/>
          <w:lang w:eastAsia="zh-CN"/>
        </w:rPr>
        <w:t>符合性分析详见表</w:t>
      </w:r>
      <w:r>
        <w:rPr>
          <w:rFonts w:ascii="Times New Roman" w:hAnsi="Times New Roman" w:eastAsia="Times New Roman" w:cs="Times New Roman"/>
          <w:spacing w:val="-2"/>
          <w:sz w:val="24"/>
          <w:szCs w:val="24"/>
          <w:lang w:eastAsia="zh-CN"/>
        </w:rPr>
        <w:t>4.5-</w:t>
      </w:r>
      <w:r>
        <w:rPr>
          <w:rFonts w:hint="eastAsia" w:ascii="Times New Roman" w:hAnsi="Times New Roman" w:eastAsia="Times New Roman" w:cs="Times New Roman"/>
          <w:spacing w:val="-2"/>
          <w:sz w:val="24"/>
          <w:szCs w:val="24"/>
          <w:lang w:val="en-US" w:eastAsia="zh-CN"/>
        </w:rPr>
        <w:t>1。</w:t>
      </w:r>
    </w:p>
    <w:p w14:paraId="278A1BBE">
      <w:pPr>
        <w:autoSpaceDE w:val="0"/>
        <w:autoSpaceDN w:val="0"/>
        <w:adjustRightInd w:val="0"/>
        <w:snapToGrid w:val="0"/>
        <w:jc w:val="center"/>
        <w:rPr>
          <w:rFonts w:hint="default" w:ascii="Times New Roman" w:hAnsi="Times New Roman" w:cs="Times New Roman"/>
          <w:b/>
          <w:color w:val="000000"/>
          <w:sz w:val="21"/>
          <w:szCs w:val="21"/>
          <w:u w:val="none" w:color="auto"/>
        </w:rPr>
      </w:pPr>
      <w:r>
        <w:rPr>
          <w:rFonts w:hint="default" w:ascii="Times New Roman" w:hAnsi="Times New Roman" w:cs="Times New Roman"/>
          <w:b/>
          <w:color w:val="000000"/>
          <w:sz w:val="21"/>
          <w:szCs w:val="21"/>
          <w:u w:val="none" w:color="auto"/>
        </w:rPr>
        <w:t>表</w:t>
      </w:r>
      <w:r>
        <w:rPr>
          <w:rFonts w:hint="eastAsia" w:ascii="Times New Roman" w:hAnsi="Times New Roman" w:eastAsia="宋体" w:cs="Times New Roman"/>
          <w:b/>
          <w:color w:val="000000"/>
          <w:sz w:val="21"/>
          <w:szCs w:val="21"/>
          <w:u w:val="none" w:color="auto"/>
          <w:lang w:val="en-US" w:eastAsia="zh-CN"/>
        </w:rPr>
        <w:t>4.5-1</w:t>
      </w:r>
      <w:r>
        <w:rPr>
          <w:rFonts w:hint="default" w:ascii="Times New Roman" w:hAnsi="Times New Roman" w:cs="Times New Roman"/>
          <w:b/>
          <w:color w:val="000000"/>
          <w:sz w:val="21"/>
          <w:szCs w:val="21"/>
          <w:u w:val="none" w:color="auto"/>
        </w:rPr>
        <w:t>与</w:t>
      </w:r>
      <w:r>
        <w:rPr>
          <w:rFonts w:hint="default" w:ascii="Times New Roman" w:hAnsi="Times New Roman" w:eastAsia="宋体" w:cs="Times New Roman"/>
          <w:b/>
          <w:color w:val="000000"/>
          <w:sz w:val="21"/>
          <w:szCs w:val="21"/>
          <w:u w:val="none" w:color="auto"/>
          <w:lang w:eastAsia="zh-CN"/>
        </w:rPr>
        <w:t>湘潭市</w:t>
      </w:r>
      <w:r>
        <w:rPr>
          <w:rFonts w:hint="default" w:ascii="Times New Roman" w:hAnsi="Times New Roman" w:eastAsia="宋体" w:cs="Times New Roman"/>
          <w:b/>
          <w:color w:val="000000"/>
          <w:sz w:val="21"/>
          <w:szCs w:val="21"/>
          <w:u w:val="none" w:color="auto"/>
        </w:rPr>
        <w:t>生态环境</w:t>
      </w:r>
      <w:r>
        <w:rPr>
          <w:rFonts w:hint="default" w:ascii="Times New Roman" w:hAnsi="Times New Roman" w:eastAsia="宋体" w:cs="Times New Roman"/>
          <w:b/>
          <w:color w:val="000000"/>
          <w:sz w:val="21"/>
          <w:szCs w:val="21"/>
          <w:u w:val="none" w:color="auto"/>
          <w:lang w:eastAsia="zh-CN"/>
        </w:rPr>
        <w:t>分区</w:t>
      </w:r>
      <w:r>
        <w:rPr>
          <w:rFonts w:hint="default" w:ascii="Times New Roman" w:hAnsi="Times New Roman" w:eastAsia="宋体" w:cs="Times New Roman"/>
          <w:b/>
          <w:color w:val="000000"/>
          <w:sz w:val="21"/>
          <w:szCs w:val="21"/>
          <w:u w:val="none" w:color="auto"/>
        </w:rPr>
        <w:t>管控</w:t>
      </w:r>
      <w:r>
        <w:rPr>
          <w:rFonts w:hint="default" w:ascii="Times New Roman" w:hAnsi="Times New Roman" w:eastAsia="宋体" w:cs="Times New Roman"/>
          <w:b/>
          <w:color w:val="000000"/>
          <w:sz w:val="21"/>
          <w:szCs w:val="21"/>
          <w:u w:val="none" w:color="auto"/>
          <w:lang w:eastAsia="zh-CN"/>
        </w:rPr>
        <w:t>意见</w:t>
      </w:r>
      <w:r>
        <w:rPr>
          <w:rFonts w:hint="default" w:ascii="Times New Roman" w:hAnsi="Times New Roman" w:cs="Times New Roman"/>
          <w:b/>
          <w:color w:val="000000"/>
          <w:sz w:val="21"/>
          <w:szCs w:val="21"/>
          <w:u w:val="none" w:color="auto"/>
        </w:rPr>
        <w:t>符合性分析</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7"/>
        <w:gridCol w:w="899"/>
        <w:gridCol w:w="845"/>
        <w:gridCol w:w="2335"/>
        <w:gridCol w:w="902"/>
        <w:gridCol w:w="1812"/>
        <w:gridCol w:w="732"/>
      </w:tblGrid>
      <w:tr w14:paraId="6FD1C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7F70108">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单元名称</w:t>
            </w:r>
          </w:p>
        </w:tc>
        <w:tc>
          <w:tcPr>
            <w:tcW w:w="528"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47B22B0">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单元分类</w:t>
            </w:r>
          </w:p>
        </w:tc>
        <w:tc>
          <w:tcPr>
            <w:tcW w:w="496"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2109ECD">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cs="Times New Roman"/>
                <w:strike w:val="0"/>
                <w:dstrike w:val="0"/>
                <w:color w:val="auto"/>
                <w:sz w:val="21"/>
                <w:szCs w:val="21"/>
                <w:highlight w:val="none"/>
                <w:u w:val="none" w:color="auto"/>
                <w:vertAlign w:val="baseline"/>
                <w:lang w:val="en-US" w:eastAsia="zh-CN"/>
              </w:rPr>
              <w:t>单元面积km</w:t>
            </w:r>
            <w:r>
              <w:rPr>
                <w:rFonts w:hint="default" w:ascii="Times New Roman" w:hAnsi="Times New Roman" w:cs="Times New Roman"/>
                <w:strike w:val="0"/>
                <w:dstrike w:val="0"/>
                <w:color w:val="auto"/>
                <w:sz w:val="21"/>
                <w:szCs w:val="21"/>
                <w:highlight w:val="none"/>
                <w:u w:val="none" w:color="auto"/>
                <w:vertAlign w:val="superscript"/>
                <w:lang w:val="en-US" w:eastAsia="zh-CN"/>
              </w:rPr>
              <w:t>2</w:t>
            </w:r>
          </w:p>
        </w:tc>
        <w:tc>
          <w:tcPr>
            <w:tcW w:w="1371"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5B89445">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cs="Times New Roman"/>
                <w:strike w:val="0"/>
                <w:dstrike w:val="0"/>
                <w:color w:val="auto"/>
                <w:sz w:val="21"/>
                <w:szCs w:val="21"/>
                <w:highlight w:val="none"/>
                <w:u w:val="none" w:color="auto"/>
                <w:vertAlign w:val="baseline"/>
                <w:lang w:val="en-US" w:eastAsia="zh-CN"/>
              </w:rPr>
              <w:t>主体功能定位</w:t>
            </w:r>
          </w:p>
        </w:tc>
        <w:tc>
          <w:tcPr>
            <w:tcW w:w="2024" w:type="pct"/>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24DD202D">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经济产业布局</w:t>
            </w:r>
          </w:p>
        </w:tc>
      </w:tr>
      <w:tr w14:paraId="0D752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58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FEFED82">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cs="Times New Roman"/>
                <w:strike w:val="0"/>
                <w:dstrike w:val="0"/>
                <w:color w:val="auto"/>
                <w:sz w:val="21"/>
                <w:szCs w:val="21"/>
                <w:highlight w:val="none"/>
                <w:u w:val="none" w:color="auto"/>
                <w:vertAlign w:val="baseline"/>
                <w:lang w:val="en-US" w:eastAsia="zh-CN"/>
              </w:rPr>
              <w:t>分水乡\排头乡\青山桥镇\石鼓</w:t>
            </w:r>
          </w:p>
        </w:tc>
        <w:tc>
          <w:tcPr>
            <w:tcW w:w="528"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9D574A1">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cs="Times New Roman"/>
                <w:strike w:val="0"/>
                <w:dstrike w:val="0"/>
                <w:color w:val="auto"/>
                <w:sz w:val="21"/>
                <w:szCs w:val="21"/>
                <w:highlight w:val="none"/>
                <w:u w:val="none" w:color="auto"/>
                <w:vertAlign w:val="baseline"/>
                <w:lang w:val="en-US" w:eastAsia="zh-CN"/>
              </w:rPr>
              <w:t>一般管控单元</w:t>
            </w:r>
          </w:p>
        </w:tc>
        <w:tc>
          <w:tcPr>
            <w:tcW w:w="496"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D222E06">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cs="Times New Roman"/>
                <w:strike w:val="0"/>
                <w:dstrike w:val="0"/>
                <w:color w:val="auto"/>
                <w:sz w:val="21"/>
                <w:szCs w:val="21"/>
                <w:highlight w:val="none"/>
                <w:u w:val="none" w:color="auto"/>
                <w:vertAlign w:val="baseline"/>
                <w:lang w:val="en-US" w:eastAsia="zh-CN"/>
              </w:rPr>
              <w:t>415.23</w:t>
            </w:r>
          </w:p>
        </w:tc>
        <w:tc>
          <w:tcPr>
            <w:tcW w:w="1371"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58DC1D7">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农产品主产区</w:t>
            </w:r>
            <w:r>
              <w:rPr>
                <w:rFonts w:hint="default" w:ascii="Times New Roman" w:hAnsi="Times New Roman" w:cs="Times New Roman"/>
                <w:strike w:val="0"/>
                <w:dstrike w:val="0"/>
                <w:color w:val="auto"/>
                <w:sz w:val="21"/>
                <w:szCs w:val="21"/>
                <w:highlight w:val="none"/>
                <w:u w:val="none" w:color="auto"/>
                <w:vertAlign w:val="baseline"/>
                <w:lang w:val="en-US" w:eastAsia="zh-CN"/>
              </w:rPr>
              <w:t>；</w:t>
            </w: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排头乡</w:t>
            </w:r>
            <w:r>
              <w:rPr>
                <w:rFonts w:hint="default" w:ascii="Times New Roman" w:hAnsi="Times New Roman" w:cs="Times New Roman"/>
                <w:strike w:val="0"/>
                <w:dstrike w:val="0"/>
                <w:color w:val="auto"/>
                <w:sz w:val="21"/>
                <w:szCs w:val="21"/>
                <w:highlight w:val="none"/>
                <w:u w:val="none" w:color="auto"/>
                <w:vertAlign w:val="baseline"/>
                <w:lang w:val="en-US" w:eastAsia="zh-CN"/>
              </w:rPr>
              <w:t>：</w:t>
            </w: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历史文化资</w:t>
            </w:r>
          </w:p>
          <w:p w14:paraId="37EF6A66">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源富集区</w:t>
            </w:r>
          </w:p>
        </w:tc>
        <w:tc>
          <w:tcPr>
            <w:tcW w:w="2024" w:type="pct"/>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1B805CDF">
            <w:pPr>
              <w:autoSpaceDE w:val="0"/>
              <w:autoSpaceDN w:val="0"/>
              <w:adjustRightInd w:val="0"/>
              <w:snapToGrid w:val="0"/>
              <w:spacing w:line="240" w:lineRule="auto"/>
              <w:jc w:val="left"/>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分水乡\排头乡\青山桥镇\石鼓镇</w:t>
            </w:r>
            <w:r>
              <w:rPr>
                <w:rFonts w:hint="default" w:ascii="Times New Roman" w:hAnsi="Times New Roman" w:cs="Times New Roman"/>
                <w:strike w:val="0"/>
                <w:dstrike w:val="0"/>
                <w:color w:val="auto"/>
                <w:sz w:val="21"/>
                <w:szCs w:val="21"/>
                <w:highlight w:val="none"/>
                <w:u w:val="none" w:color="auto"/>
                <w:vertAlign w:val="baseline"/>
                <w:lang w:val="en-US" w:eastAsia="zh-CN"/>
              </w:rPr>
              <w:t>：</w:t>
            </w: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旅游、生态农业、养殖</w:t>
            </w:r>
            <w:r>
              <w:rPr>
                <w:rFonts w:hint="default" w:ascii="Times New Roman" w:hAnsi="Times New Roman" w:cs="Times New Roman"/>
                <w:strike w:val="0"/>
                <w:dstrike w:val="0"/>
                <w:color w:val="auto"/>
                <w:sz w:val="21"/>
                <w:szCs w:val="21"/>
                <w:highlight w:val="none"/>
                <w:u w:val="none" w:color="auto"/>
                <w:vertAlign w:val="baseline"/>
                <w:lang w:val="en-US" w:eastAsia="zh-CN"/>
              </w:rPr>
              <w:t>；</w:t>
            </w:r>
          </w:p>
        </w:tc>
      </w:tr>
      <w:tr w14:paraId="36728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A0A018F">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管控维度</w:t>
            </w:r>
          </w:p>
        </w:tc>
        <w:tc>
          <w:tcPr>
            <w:tcW w:w="2925" w:type="pct"/>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6706E3E6">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管控要求</w:t>
            </w:r>
          </w:p>
        </w:tc>
        <w:tc>
          <w:tcPr>
            <w:tcW w:w="106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0D1FCD2">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本项目情况</w:t>
            </w:r>
          </w:p>
        </w:tc>
        <w:tc>
          <w:tcPr>
            <w:tcW w:w="42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C0B58AD">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是否符合</w:t>
            </w:r>
          </w:p>
        </w:tc>
      </w:tr>
      <w:tr w14:paraId="26473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58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737940F">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空间布局约束</w:t>
            </w:r>
          </w:p>
        </w:tc>
        <w:tc>
          <w:tcPr>
            <w:tcW w:w="2925" w:type="pct"/>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32DAD414">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000000"/>
                <w:kern w:val="0"/>
                <w:sz w:val="21"/>
                <w:szCs w:val="21"/>
                <w:u w:val="none" w:color="auto"/>
                <w:lang w:val="en-US" w:eastAsia="zh-CN" w:bidi="ar"/>
              </w:rPr>
            </w:pPr>
            <w:r>
              <w:rPr>
                <w:rFonts w:hint="default" w:ascii="Times New Roman" w:hAnsi="Times New Roman" w:eastAsia="宋体" w:cs="Times New Roman"/>
                <w:color w:val="000000"/>
                <w:kern w:val="0"/>
                <w:sz w:val="21"/>
                <w:szCs w:val="21"/>
                <w:u w:val="none" w:color="auto"/>
                <w:lang w:val="en-US" w:eastAsia="zh-CN" w:bidi="ar"/>
              </w:rPr>
              <w:t>分水乡\排头乡\青山桥镇\石鼓镇</w:t>
            </w:r>
            <w:r>
              <w:rPr>
                <w:rFonts w:hint="default" w:ascii="Times New Roman" w:hAnsi="Times New Roman" w:cs="Times New Roman"/>
                <w:color w:val="000000"/>
                <w:kern w:val="0"/>
                <w:sz w:val="21"/>
                <w:szCs w:val="21"/>
                <w:u w:val="none" w:color="auto"/>
                <w:lang w:val="en-US" w:eastAsia="zh-CN" w:bidi="ar"/>
              </w:rPr>
              <w:t>：</w:t>
            </w:r>
          </w:p>
          <w:p w14:paraId="55229E81">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kern w:val="2"/>
                <w:sz w:val="21"/>
                <w:szCs w:val="21"/>
                <w:u w:val="none" w:color="auto"/>
                <w:vertAlign w:val="baseline"/>
                <w:lang w:val="en-US" w:eastAsia="zh-CN" w:bidi="ar-SA"/>
              </w:rPr>
            </w:pPr>
            <w:r>
              <w:rPr>
                <w:rFonts w:hint="default" w:ascii="Times New Roman" w:hAnsi="Times New Roman" w:cs="Times New Roman"/>
                <w:color w:val="000000"/>
                <w:kern w:val="0"/>
                <w:sz w:val="21"/>
                <w:szCs w:val="21"/>
                <w:u w:val="none" w:color="auto"/>
                <w:lang w:val="en-US" w:eastAsia="zh-CN" w:bidi="ar"/>
              </w:rPr>
              <w:t>（</w:t>
            </w:r>
            <w:r>
              <w:rPr>
                <w:rFonts w:hint="default" w:ascii="Times New Roman" w:hAnsi="Times New Roman" w:eastAsia="宋体" w:cs="Times New Roman"/>
                <w:color w:val="000000"/>
                <w:kern w:val="0"/>
                <w:sz w:val="21"/>
                <w:szCs w:val="21"/>
                <w:u w:val="none" w:color="auto"/>
                <w:lang w:val="en-US" w:eastAsia="zh-CN" w:bidi="ar"/>
              </w:rPr>
              <w:t>1.6</w:t>
            </w:r>
            <w:r>
              <w:rPr>
                <w:rFonts w:hint="default" w:ascii="Times New Roman" w:hAnsi="Times New Roman" w:cs="Times New Roman"/>
                <w:color w:val="000000"/>
                <w:kern w:val="0"/>
                <w:sz w:val="21"/>
                <w:szCs w:val="21"/>
                <w:u w:val="none" w:color="auto"/>
                <w:lang w:val="en-US" w:eastAsia="zh-CN" w:bidi="ar"/>
              </w:rPr>
              <w:t>）</w:t>
            </w:r>
            <w:r>
              <w:rPr>
                <w:rFonts w:hint="default" w:ascii="Times New Roman" w:hAnsi="Times New Roman" w:eastAsia="宋体" w:cs="Times New Roman"/>
                <w:color w:val="000000"/>
                <w:kern w:val="0"/>
                <w:sz w:val="21"/>
                <w:szCs w:val="21"/>
                <w:u w:val="none" w:color="auto"/>
                <w:lang w:val="en-US" w:eastAsia="zh-CN" w:bidi="ar"/>
              </w:rPr>
              <w:t>分水乡大冲垅村\大垅村\合家村\槐北村\旗山村\湾头村\永红村</w:t>
            </w:r>
            <w:r>
              <w:rPr>
                <w:rFonts w:hint="default" w:ascii="Times New Roman" w:hAnsi="Times New Roman" w:cs="Times New Roman"/>
                <w:color w:val="000000"/>
                <w:kern w:val="0"/>
                <w:sz w:val="21"/>
                <w:szCs w:val="21"/>
                <w:u w:val="none" w:color="auto"/>
                <w:lang w:val="en-US" w:eastAsia="zh-CN" w:bidi="ar"/>
              </w:rPr>
              <w:t>；</w:t>
            </w:r>
            <w:r>
              <w:rPr>
                <w:rFonts w:hint="default" w:ascii="Times New Roman" w:hAnsi="Times New Roman" w:eastAsia="宋体" w:cs="Times New Roman"/>
                <w:color w:val="000000"/>
                <w:kern w:val="0"/>
                <w:sz w:val="21"/>
                <w:szCs w:val="21"/>
                <w:u w:val="none" w:color="auto"/>
                <w:lang w:val="en-US" w:eastAsia="zh-CN" w:bidi="ar"/>
              </w:rPr>
              <w:t>排头乡辰山村\排头岭村\人雄山村\狮龙村\双联村\团结村\严冲村\隐山村</w:t>
            </w:r>
            <w:r>
              <w:rPr>
                <w:rFonts w:hint="default" w:ascii="Times New Roman" w:hAnsi="Times New Roman" w:cs="Times New Roman"/>
                <w:color w:val="000000"/>
                <w:kern w:val="0"/>
                <w:sz w:val="21"/>
                <w:szCs w:val="21"/>
                <w:u w:val="none" w:color="auto"/>
                <w:lang w:val="en-US" w:eastAsia="zh-CN" w:bidi="ar"/>
              </w:rPr>
              <w:t>；</w:t>
            </w:r>
            <w:r>
              <w:rPr>
                <w:rFonts w:hint="default" w:ascii="Times New Roman" w:hAnsi="Times New Roman" w:eastAsia="宋体" w:cs="Times New Roman"/>
                <w:color w:val="000000"/>
                <w:kern w:val="0"/>
                <w:sz w:val="21"/>
                <w:szCs w:val="21"/>
                <w:u w:val="none" w:color="auto"/>
                <w:lang w:val="en-US" w:eastAsia="zh-CN" w:bidi="ar"/>
              </w:rPr>
              <w:t>青山桥镇大兴塘村、扶冲村\福门村\高强村\观元村\龙舞村\马栏坝村\桥头铺村\青山桥村\三富村\天塘村\霞岭村</w:t>
            </w:r>
            <w:r>
              <w:rPr>
                <w:rFonts w:hint="default" w:ascii="Times New Roman" w:hAnsi="Times New Roman" w:cs="Times New Roman"/>
                <w:color w:val="000000"/>
                <w:kern w:val="0"/>
                <w:sz w:val="21"/>
                <w:szCs w:val="21"/>
                <w:u w:val="none" w:color="auto"/>
                <w:lang w:val="en-US" w:eastAsia="zh-CN" w:bidi="ar"/>
              </w:rPr>
              <w:t>：</w:t>
            </w:r>
            <w:r>
              <w:rPr>
                <w:rFonts w:hint="default" w:ascii="Times New Roman" w:hAnsi="Times New Roman" w:eastAsia="宋体" w:cs="Times New Roman"/>
                <w:color w:val="000000"/>
                <w:kern w:val="0"/>
                <w:sz w:val="21"/>
                <w:szCs w:val="21"/>
                <w:u w:val="none" w:color="auto"/>
                <w:lang w:val="en-US" w:eastAsia="zh-CN" w:bidi="ar"/>
              </w:rPr>
              <w:t>石鼓镇安乐村\福霞村高家坪村\路口村\七家坪村\铜梁村\西冲村\歇马村\沿红村\珠联村应全面保护天然林，强化湿地保护和恢复，综合治理农村生活污染，提倡绿色生产，发展生态经济。</w:t>
            </w:r>
          </w:p>
        </w:tc>
        <w:tc>
          <w:tcPr>
            <w:tcW w:w="106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784E937">
            <w:pPr>
              <w:keepNext w:val="0"/>
              <w:keepLines w:val="0"/>
              <w:widowControl/>
              <w:suppressLineNumbers w:val="0"/>
              <w:jc w:val="left"/>
              <w:rPr>
                <w:rFonts w:hint="default" w:ascii="Times New Roman" w:hAnsi="Times New Roman" w:eastAsia="宋体" w:cs="Times New Roman"/>
                <w:color w:val="auto"/>
                <w:kern w:val="0"/>
                <w:sz w:val="21"/>
                <w:szCs w:val="21"/>
                <w:u w:val="none" w:color="auto"/>
                <w:lang w:val="en-US" w:eastAsia="zh-CN" w:bidi="ar"/>
              </w:rPr>
            </w:pPr>
            <w:r>
              <w:rPr>
                <w:rFonts w:hint="default" w:ascii="Times New Roman" w:hAnsi="Times New Roman" w:eastAsia="宋体" w:cs="Times New Roman"/>
                <w:color w:val="auto"/>
                <w:kern w:val="0"/>
                <w:sz w:val="21"/>
                <w:szCs w:val="21"/>
                <w:u w:val="none" w:color="auto"/>
                <w:lang w:val="en-US" w:eastAsia="zh-CN" w:bidi="ar"/>
              </w:rPr>
              <w:t>本项目位于</w:t>
            </w:r>
            <w:r>
              <w:rPr>
                <w:rFonts w:hint="default" w:ascii="Times New Roman" w:hAnsi="Times New Roman" w:cs="Times New Roman"/>
                <w:color w:val="auto"/>
                <w:kern w:val="0"/>
                <w:sz w:val="21"/>
                <w:szCs w:val="21"/>
                <w:u w:val="none" w:color="auto"/>
                <w:lang w:val="en-US" w:eastAsia="zh-CN" w:bidi="ar"/>
              </w:rPr>
              <w:t>石鼓镇垅塅村上田组</w:t>
            </w:r>
            <w:r>
              <w:rPr>
                <w:rFonts w:hint="default" w:ascii="Times New Roman" w:hAnsi="Times New Roman" w:eastAsia="宋体" w:cs="Times New Roman"/>
                <w:color w:val="auto"/>
                <w:kern w:val="0"/>
                <w:sz w:val="21"/>
                <w:szCs w:val="21"/>
                <w:u w:val="none" w:color="auto"/>
                <w:lang w:val="en-US" w:eastAsia="zh-CN" w:bidi="ar"/>
              </w:rPr>
              <w:t>，属于食品制造业，为农副产品加工等劳动密集型产业，本项目营运期产生的废水、废气、噪声、固体废物等污染物经采取相应的治理措施，对周边环境的影响较小</w:t>
            </w:r>
          </w:p>
        </w:tc>
        <w:tc>
          <w:tcPr>
            <w:tcW w:w="42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1E2600B">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符合</w:t>
            </w:r>
          </w:p>
        </w:tc>
      </w:tr>
      <w:tr w14:paraId="75BF7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58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A437183">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污染物排放管控</w:t>
            </w:r>
          </w:p>
        </w:tc>
        <w:tc>
          <w:tcPr>
            <w:tcW w:w="2925" w:type="pct"/>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0D818B77">
            <w:pPr>
              <w:keepNext w:val="0"/>
              <w:keepLines w:val="0"/>
              <w:widowControl/>
              <w:suppressLineNumbers w:val="0"/>
              <w:jc w:val="left"/>
              <w:rPr>
                <w:rFonts w:hint="default" w:ascii="Times New Roman" w:hAnsi="Times New Roman" w:eastAsia="宋体" w:cs="Times New Roman"/>
                <w:color w:val="auto"/>
                <w:kern w:val="2"/>
                <w:sz w:val="21"/>
                <w:szCs w:val="21"/>
                <w:u w:val="none" w:color="auto"/>
                <w:vertAlign w:val="baseline"/>
                <w:lang w:val="en-US" w:eastAsia="zh-CN" w:bidi="ar-SA"/>
              </w:rPr>
            </w:pPr>
            <w:r>
              <w:rPr>
                <w:rFonts w:hint="default" w:ascii="Times New Roman" w:hAnsi="Times New Roman" w:cs="Times New Roman"/>
                <w:color w:val="auto"/>
                <w:kern w:val="2"/>
                <w:sz w:val="21"/>
                <w:szCs w:val="21"/>
                <w:u w:val="none" w:color="auto"/>
                <w:vertAlign w:val="baseline"/>
                <w:lang w:val="en-US" w:eastAsia="zh-CN" w:bidi="ar-SA"/>
              </w:rPr>
              <w:t>（</w:t>
            </w:r>
            <w:r>
              <w:rPr>
                <w:rFonts w:hint="default" w:ascii="Times New Roman" w:hAnsi="Times New Roman" w:eastAsia="宋体" w:cs="Times New Roman"/>
                <w:color w:val="auto"/>
                <w:kern w:val="2"/>
                <w:sz w:val="21"/>
                <w:szCs w:val="21"/>
                <w:u w:val="none" w:color="auto"/>
                <w:vertAlign w:val="baseline"/>
                <w:lang w:val="en-US" w:eastAsia="zh-CN" w:bidi="ar-SA"/>
              </w:rPr>
              <w:t>2.1</w:t>
            </w:r>
            <w:r>
              <w:rPr>
                <w:rFonts w:hint="default" w:ascii="Times New Roman" w:hAnsi="Times New Roman" w:cs="Times New Roman"/>
                <w:color w:val="auto"/>
                <w:kern w:val="2"/>
                <w:sz w:val="21"/>
                <w:szCs w:val="21"/>
                <w:u w:val="none" w:color="auto"/>
                <w:vertAlign w:val="baseline"/>
                <w:lang w:val="en-US" w:eastAsia="zh-CN" w:bidi="ar-SA"/>
              </w:rPr>
              <w:t>）</w:t>
            </w:r>
            <w:r>
              <w:rPr>
                <w:rFonts w:hint="default" w:ascii="Times New Roman" w:hAnsi="Times New Roman" w:eastAsia="宋体" w:cs="Times New Roman"/>
                <w:color w:val="auto"/>
                <w:kern w:val="2"/>
                <w:sz w:val="21"/>
                <w:szCs w:val="21"/>
                <w:u w:val="none" w:color="auto"/>
                <w:vertAlign w:val="baseline"/>
                <w:lang w:val="en-US" w:eastAsia="zh-CN" w:bidi="ar-SA"/>
              </w:rPr>
              <w:t>在湘潭市湘潭县石鼓镇铜梁水库饮用水水源保护区、湘潭县排头乡涓水饮用水水源保护区、湘潭县青山桥镇观元村地下水饮用水水源保护区一级保护区周边人类活动频繁的区城设置隔离防护设施。加强湘潭县分水乡自来水厂地下水水源地保护区水质监测，不断提升制水工艺，确保出厂水质达标。按相关法规开展保护区规范化建设。</w:t>
            </w:r>
          </w:p>
        </w:tc>
        <w:tc>
          <w:tcPr>
            <w:tcW w:w="106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1955313">
            <w:pPr>
              <w:keepNext w:val="0"/>
              <w:keepLines w:val="0"/>
              <w:widowControl/>
              <w:suppressLineNumbers w:val="0"/>
              <w:jc w:val="left"/>
              <w:rPr>
                <w:rFonts w:hint="default" w:ascii="Times New Roman" w:hAnsi="Times New Roman" w:eastAsia="宋体" w:cs="Times New Roman"/>
                <w:color w:val="auto"/>
                <w:kern w:val="0"/>
                <w:sz w:val="21"/>
                <w:szCs w:val="21"/>
                <w:u w:val="none" w:color="auto"/>
                <w:lang w:val="en-US" w:eastAsia="zh-CN" w:bidi="ar"/>
              </w:rPr>
            </w:pPr>
            <w:r>
              <w:rPr>
                <w:rFonts w:hint="default" w:ascii="Times New Roman" w:hAnsi="Times New Roman" w:cs="Times New Roman"/>
                <w:color w:val="auto"/>
                <w:kern w:val="0"/>
                <w:sz w:val="21"/>
                <w:szCs w:val="21"/>
                <w:u w:val="none" w:color="auto"/>
                <w:lang w:val="en-US" w:eastAsia="zh-CN" w:bidi="ar"/>
              </w:rPr>
              <w:t>本项目不在</w:t>
            </w:r>
            <w:r>
              <w:rPr>
                <w:rFonts w:hint="default" w:ascii="Times New Roman" w:hAnsi="Times New Roman" w:eastAsia="宋体" w:cs="Times New Roman"/>
                <w:color w:val="auto"/>
                <w:kern w:val="2"/>
                <w:sz w:val="21"/>
                <w:szCs w:val="21"/>
                <w:u w:val="none" w:color="auto"/>
                <w:vertAlign w:val="baseline"/>
                <w:lang w:val="en-US" w:eastAsia="zh-CN" w:bidi="ar-SA"/>
              </w:rPr>
              <w:t>石鼓镇铜梁水库饮用水水源保护区</w:t>
            </w:r>
            <w:r>
              <w:rPr>
                <w:rFonts w:hint="default" w:ascii="Times New Roman" w:hAnsi="Times New Roman" w:cs="Times New Roman"/>
                <w:color w:val="auto"/>
                <w:kern w:val="2"/>
                <w:sz w:val="21"/>
                <w:szCs w:val="21"/>
                <w:u w:val="none" w:color="auto"/>
                <w:vertAlign w:val="baseline"/>
                <w:lang w:val="en-US" w:eastAsia="zh-CN" w:bidi="ar-SA"/>
              </w:rPr>
              <w:t>内</w:t>
            </w:r>
          </w:p>
        </w:tc>
        <w:tc>
          <w:tcPr>
            <w:tcW w:w="42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A81D85B">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kern w:val="2"/>
                <w:sz w:val="21"/>
                <w:szCs w:val="21"/>
                <w:highlight w:val="none"/>
                <w:u w:val="none" w:color="auto"/>
                <w:vertAlign w:val="baseline"/>
                <w:lang w:val="en-US" w:eastAsia="zh-CN" w:bidi="ar-SA"/>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符合</w:t>
            </w:r>
          </w:p>
        </w:tc>
      </w:tr>
      <w:tr w14:paraId="482AD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4A9205C">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环境风险防控</w:t>
            </w:r>
          </w:p>
        </w:tc>
        <w:tc>
          <w:tcPr>
            <w:tcW w:w="2925" w:type="pct"/>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2B08B43C">
            <w:pPr>
              <w:keepNext w:val="0"/>
              <w:keepLines w:val="0"/>
              <w:widowControl/>
              <w:suppressLineNumbers w:val="0"/>
              <w:jc w:val="left"/>
              <w:rPr>
                <w:rFonts w:hint="default" w:ascii="Times New Roman" w:hAnsi="Times New Roman" w:eastAsia="宋体" w:cs="Times New Roman"/>
                <w:b w:val="0"/>
                <w:bCs/>
                <w:color w:val="auto"/>
                <w:kern w:val="2"/>
                <w:sz w:val="21"/>
                <w:szCs w:val="21"/>
                <w:u w:val="none" w:color="auto"/>
                <w:lang w:val="en-US" w:eastAsia="zh-CN" w:bidi="ar-SA"/>
              </w:rPr>
            </w:pPr>
            <w:r>
              <w:rPr>
                <w:rFonts w:hint="default" w:ascii="Times New Roman" w:hAnsi="Times New Roman" w:cs="Times New Roman"/>
                <w:color w:val="auto"/>
                <w:kern w:val="2"/>
                <w:sz w:val="21"/>
                <w:szCs w:val="21"/>
                <w:u w:val="none" w:color="auto"/>
                <w:vertAlign w:val="baseline"/>
                <w:lang w:val="en-US" w:eastAsia="zh-CN" w:bidi="ar-SA"/>
              </w:rPr>
              <w:t>（3</w:t>
            </w:r>
            <w:r>
              <w:rPr>
                <w:rFonts w:hint="default" w:ascii="Times New Roman" w:hAnsi="Times New Roman" w:eastAsia="宋体" w:cs="Times New Roman"/>
                <w:color w:val="auto"/>
                <w:kern w:val="2"/>
                <w:sz w:val="21"/>
                <w:szCs w:val="21"/>
                <w:u w:val="none" w:color="auto"/>
                <w:vertAlign w:val="baseline"/>
                <w:lang w:val="en-US" w:eastAsia="zh-CN" w:bidi="ar-SA"/>
              </w:rPr>
              <w:t>.1</w:t>
            </w:r>
            <w:r>
              <w:rPr>
                <w:rFonts w:hint="default" w:ascii="Times New Roman" w:hAnsi="Times New Roman" w:cs="Times New Roman"/>
                <w:color w:val="auto"/>
                <w:kern w:val="2"/>
                <w:sz w:val="21"/>
                <w:szCs w:val="21"/>
                <w:u w:val="none" w:color="auto"/>
                <w:vertAlign w:val="baseline"/>
                <w:lang w:val="en-US" w:eastAsia="zh-CN" w:bidi="ar-SA"/>
              </w:rPr>
              <w:t>）</w:t>
            </w:r>
            <w:r>
              <w:rPr>
                <w:rFonts w:hint="default" w:ascii="Times New Roman" w:hAnsi="Times New Roman" w:eastAsia="宋体" w:cs="Times New Roman"/>
                <w:color w:val="000000"/>
                <w:kern w:val="0"/>
                <w:sz w:val="21"/>
                <w:szCs w:val="21"/>
                <w:u w:val="none" w:color="auto"/>
                <w:lang w:val="en-US" w:eastAsia="zh-CN" w:bidi="ar"/>
              </w:rPr>
              <w:t>开展湘潭市湘潭县石鼓镇铜梁水库饮用水水源保护区湘潭县排头乡涓水饮用水水源保护区、湘潭县青山桥镇观元村地下水饮用水水源保护区湘潭县分水乡自来水厂地下水水源地保护区常规监测，加强饮用水水源地环境风险防控与应急能力建设，制定环境应急预案并开展应急演练。</w:t>
            </w:r>
          </w:p>
        </w:tc>
        <w:tc>
          <w:tcPr>
            <w:tcW w:w="106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FCB3ABF">
            <w:pPr>
              <w:autoSpaceDE w:val="0"/>
              <w:autoSpaceDN w:val="0"/>
              <w:adjustRightInd w:val="0"/>
              <w:snapToGrid w:val="0"/>
              <w:spacing w:line="240" w:lineRule="auto"/>
              <w:jc w:val="center"/>
              <w:rPr>
                <w:rFonts w:hint="default" w:ascii="Times New Roman" w:hAnsi="Times New Roman" w:eastAsia="宋体" w:cs="Times New Roman"/>
                <w:color w:val="auto"/>
                <w:kern w:val="2"/>
                <w:sz w:val="21"/>
                <w:szCs w:val="21"/>
                <w:u w:val="none" w:color="auto"/>
                <w:vertAlign w:val="baseline"/>
                <w:lang w:val="en-US" w:eastAsia="zh-CN" w:bidi="ar-SA"/>
              </w:rPr>
            </w:pPr>
            <w:r>
              <w:rPr>
                <w:rFonts w:hint="default" w:ascii="Times New Roman" w:hAnsi="Times New Roman" w:cs="Times New Roman"/>
                <w:color w:val="auto"/>
                <w:kern w:val="0"/>
                <w:sz w:val="21"/>
                <w:szCs w:val="21"/>
                <w:u w:val="none" w:color="auto"/>
                <w:lang w:val="en-US" w:eastAsia="zh-CN" w:bidi="ar"/>
              </w:rPr>
              <w:t>本项目不在</w:t>
            </w:r>
            <w:r>
              <w:rPr>
                <w:rFonts w:hint="default" w:ascii="Times New Roman" w:hAnsi="Times New Roman" w:eastAsia="宋体" w:cs="Times New Roman"/>
                <w:color w:val="auto"/>
                <w:kern w:val="2"/>
                <w:sz w:val="21"/>
                <w:szCs w:val="21"/>
                <w:u w:val="none" w:color="auto"/>
                <w:vertAlign w:val="baseline"/>
                <w:lang w:val="en-US" w:eastAsia="zh-CN" w:bidi="ar-SA"/>
              </w:rPr>
              <w:t>石鼓镇铜梁水库饮用水水源保护区</w:t>
            </w:r>
            <w:r>
              <w:rPr>
                <w:rFonts w:hint="default" w:ascii="Times New Roman" w:hAnsi="Times New Roman" w:cs="Times New Roman"/>
                <w:color w:val="auto"/>
                <w:kern w:val="2"/>
                <w:sz w:val="21"/>
                <w:szCs w:val="21"/>
                <w:u w:val="none" w:color="auto"/>
                <w:vertAlign w:val="baseline"/>
                <w:lang w:val="en-US" w:eastAsia="zh-CN" w:bidi="ar-SA"/>
              </w:rPr>
              <w:t>内</w:t>
            </w:r>
          </w:p>
        </w:tc>
        <w:tc>
          <w:tcPr>
            <w:tcW w:w="42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2F044FB">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符合</w:t>
            </w:r>
          </w:p>
        </w:tc>
      </w:tr>
      <w:tr w14:paraId="7BB63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34EF908">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资源开发效率要求</w:t>
            </w:r>
          </w:p>
        </w:tc>
        <w:tc>
          <w:tcPr>
            <w:tcW w:w="2925" w:type="pct"/>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7D8D5181">
            <w:pPr>
              <w:keepNext w:val="0"/>
              <w:keepLines w:val="0"/>
              <w:widowControl/>
              <w:suppressLineNumbers w:val="0"/>
              <w:jc w:val="left"/>
              <w:rPr>
                <w:rFonts w:hint="default" w:ascii="Times New Roman" w:hAnsi="Times New Roman" w:eastAsia="宋体" w:cs="Times New Roman"/>
                <w:b w:val="0"/>
                <w:bCs/>
                <w:color w:val="auto"/>
                <w:kern w:val="2"/>
                <w:sz w:val="21"/>
                <w:szCs w:val="21"/>
                <w:u w:val="none" w:color="auto"/>
                <w:lang w:val="en-US" w:eastAsia="zh-CN" w:bidi="ar-SA"/>
              </w:rPr>
            </w:pPr>
            <w:r>
              <w:rPr>
                <w:rFonts w:hint="default" w:ascii="Times New Roman" w:hAnsi="Times New Roman" w:cs="Times New Roman"/>
                <w:color w:val="auto"/>
                <w:kern w:val="2"/>
                <w:sz w:val="21"/>
                <w:szCs w:val="21"/>
                <w:u w:val="none" w:color="auto"/>
                <w:vertAlign w:val="baseline"/>
                <w:lang w:val="en-US" w:eastAsia="zh-CN" w:bidi="ar-SA"/>
              </w:rPr>
              <w:t>（4</w:t>
            </w:r>
            <w:r>
              <w:rPr>
                <w:rFonts w:hint="default" w:ascii="Times New Roman" w:hAnsi="Times New Roman" w:eastAsia="宋体" w:cs="Times New Roman"/>
                <w:color w:val="auto"/>
                <w:kern w:val="2"/>
                <w:sz w:val="21"/>
                <w:szCs w:val="21"/>
                <w:u w:val="none" w:color="auto"/>
                <w:vertAlign w:val="baseline"/>
                <w:lang w:val="en-US" w:eastAsia="zh-CN" w:bidi="ar-SA"/>
              </w:rPr>
              <w:t>.1</w:t>
            </w:r>
            <w:r>
              <w:rPr>
                <w:rFonts w:hint="default" w:ascii="Times New Roman" w:hAnsi="Times New Roman" w:cs="Times New Roman"/>
                <w:color w:val="auto"/>
                <w:kern w:val="2"/>
                <w:sz w:val="21"/>
                <w:szCs w:val="21"/>
                <w:u w:val="none" w:color="auto"/>
                <w:vertAlign w:val="baseline"/>
                <w:lang w:val="en-US" w:eastAsia="zh-CN" w:bidi="ar-SA"/>
              </w:rPr>
              <w:t>）</w:t>
            </w:r>
            <w:r>
              <w:rPr>
                <w:rFonts w:hint="default" w:ascii="Times New Roman" w:hAnsi="Times New Roman" w:eastAsia="宋体" w:cs="Times New Roman"/>
                <w:b w:val="0"/>
                <w:bCs/>
                <w:color w:val="auto"/>
                <w:kern w:val="2"/>
                <w:sz w:val="21"/>
                <w:szCs w:val="21"/>
                <w:u w:val="none" w:color="auto"/>
                <w:lang w:val="en-US" w:eastAsia="zh-CN" w:bidi="ar-SA"/>
              </w:rPr>
              <w:t>能源</w:t>
            </w:r>
            <w:r>
              <w:rPr>
                <w:rFonts w:hint="default" w:ascii="Times New Roman" w:hAnsi="Times New Roman" w:cs="Times New Roman"/>
                <w:b w:val="0"/>
                <w:bCs/>
                <w:color w:val="auto"/>
                <w:kern w:val="2"/>
                <w:sz w:val="21"/>
                <w:szCs w:val="21"/>
                <w:u w:val="none" w:color="auto"/>
                <w:lang w:val="en-US" w:eastAsia="zh-CN" w:bidi="ar-SA"/>
              </w:rPr>
              <w:t>：</w:t>
            </w:r>
            <w:r>
              <w:rPr>
                <w:rFonts w:hint="default" w:ascii="Times New Roman" w:hAnsi="Times New Roman" w:eastAsia="宋体" w:cs="Times New Roman"/>
                <w:b w:val="0"/>
                <w:bCs/>
                <w:color w:val="auto"/>
                <w:kern w:val="2"/>
                <w:sz w:val="21"/>
                <w:szCs w:val="21"/>
                <w:u w:val="none" w:color="auto"/>
                <w:lang w:val="en-US" w:eastAsia="zh-CN" w:bidi="ar-SA"/>
              </w:rPr>
              <w:t>优化调整能源结构。鼓励可再生能源、天然气、电力等优质能源替代，积极有序推进风电开发，大力发展分布式光伏发电</w:t>
            </w:r>
            <w:r>
              <w:rPr>
                <w:rFonts w:hint="default" w:ascii="Times New Roman" w:hAnsi="Times New Roman" w:cs="Times New Roman"/>
                <w:b w:val="0"/>
                <w:bCs/>
                <w:color w:val="auto"/>
                <w:kern w:val="2"/>
                <w:sz w:val="21"/>
                <w:szCs w:val="21"/>
                <w:u w:val="none" w:color="auto"/>
                <w:lang w:val="en-US" w:eastAsia="zh-CN" w:bidi="ar-SA"/>
              </w:rPr>
              <w:t>：</w:t>
            </w:r>
            <w:r>
              <w:rPr>
                <w:rFonts w:hint="default" w:ascii="Times New Roman" w:hAnsi="Times New Roman" w:eastAsia="宋体" w:cs="Times New Roman"/>
                <w:b w:val="0"/>
                <w:bCs/>
                <w:color w:val="auto"/>
                <w:kern w:val="2"/>
                <w:sz w:val="21"/>
                <w:szCs w:val="21"/>
                <w:u w:val="none" w:color="auto"/>
                <w:lang w:val="en-US" w:eastAsia="zh-CN" w:bidi="ar-SA"/>
              </w:rPr>
              <w:t>鼓励发展“A殖一沼气一农业”三位一体的生物质气化养殖模式，加快推进“气化湖南”工程建设，完善城乡天然气基础设施网络。</w:t>
            </w:r>
            <w:r>
              <w:rPr>
                <w:rFonts w:hint="default" w:ascii="Times New Roman" w:hAnsi="Times New Roman" w:cs="Times New Roman"/>
                <w:color w:val="auto"/>
                <w:kern w:val="2"/>
                <w:sz w:val="21"/>
                <w:szCs w:val="21"/>
                <w:u w:val="none" w:color="auto"/>
                <w:vertAlign w:val="baseline"/>
                <w:lang w:val="en-US" w:eastAsia="zh-CN" w:bidi="ar-SA"/>
              </w:rPr>
              <w:t>（4</w:t>
            </w:r>
            <w:r>
              <w:rPr>
                <w:rFonts w:hint="default" w:ascii="Times New Roman" w:hAnsi="Times New Roman" w:eastAsia="宋体" w:cs="Times New Roman"/>
                <w:color w:val="auto"/>
                <w:kern w:val="2"/>
                <w:sz w:val="21"/>
                <w:szCs w:val="21"/>
                <w:u w:val="none" w:color="auto"/>
                <w:vertAlign w:val="baseline"/>
                <w:lang w:val="en-US" w:eastAsia="zh-CN" w:bidi="ar-SA"/>
              </w:rPr>
              <w:t>.</w:t>
            </w:r>
            <w:r>
              <w:rPr>
                <w:rFonts w:hint="default" w:ascii="Times New Roman" w:hAnsi="Times New Roman" w:cs="Times New Roman"/>
                <w:color w:val="auto"/>
                <w:kern w:val="2"/>
                <w:sz w:val="21"/>
                <w:szCs w:val="21"/>
                <w:u w:val="none" w:color="auto"/>
                <w:vertAlign w:val="baseline"/>
                <w:lang w:val="en-US" w:eastAsia="zh-CN" w:bidi="ar-SA"/>
              </w:rPr>
              <w:t>2）</w:t>
            </w:r>
            <w:r>
              <w:rPr>
                <w:rFonts w:hint="default" w:ascii="Times New Roman" w:hAnsi="Times New Roman" w:eastAsia="宋体" w:cs="Times New Roman"/>
                <w:b w:val="0"/>
                <w:bCs/>
                <w:color w:val="auto"/>
                <w:kern w:val="2"/>
                <w:sz w:val="21"/>
                <w:szCs w:val="21"/>
                <w:u w:val="none" w:color="auto"/>
                <w:lang w:val="en-US" w:eastAsia="zh-CN" w:bidi="ar-SA"/>
              </w:rPr>
              <w:t>水资源</w:t>
            </w:r>
            <w:r>
              <w:rPr>
                <w:rFonts w:hint="default" w:ascii="Times New Roman" w:hAnsi="Times New Roman" w:cs="Times New Roman"/>
                <w:b w:val="0"/>
                <w:bCs/>
                <w:color w:val="auto"/>
                <w:kern w:val="2"/>
                <w:sz w:val="21"/>
                <w:szCs w:val="21"/>
                <w:u w:val="none" w:color="auto"/>
                <w:lang w:val="en-US" w:eastAsia="zh-CN" w:bidi="ar-SA"/>
              </w:rPr>
              <w:t>：</w:t>
            </w:r>
            <w:r>
              <w:rPr>
                <w:rFonts w:hint="default" w:ascii="Times New Roman" w:hAnsi="Times New Roman" w:eastAsia="宋体" w:cs="Times New Roman"/>
                <w:b w:val="0"/>
                <w:bCs/>
                <w:color w:val="auto"/>
                <w:kern w:val="2"/>
                <w:sz w:val="21"/>
                <w:szCs w:val="21"/>
                <w:u w:val="none" w:color="auto"/>
                <w:lang w:val="en-US" w:eastAsia="zh-CN" w:bidi="ar-SA"/>
              </w:rPr>
              <w:t>加大农业节水力度。通过提升节水灌溉技术、改善节水灌溉工程、加强工程管理等措施提高农田灌溉水有效利用系数，可促进农业节水。</w:t>
            </w:r>
          </w:p>
          <w:p w14:paraId="59F269F6">
            <w:pPr>
              <w:keepNext w:val="0"/>
              <w:keepLines w:val="0"/>
              <w:widowControl/>
              <w:suppressLineNumbers w:val="0"/>
              <w:jc w:val="left"/>
              <w:rPr>
                <w:rFonts w:hint="default" w:ascii="Times New Roman" w:hAnsi="Times New Roman" w:eastAsia="宋体" w:cs="Times New Roman"/>
                <w:b w:val="0"/>
                <w:bCs/>
                <w:color w:val="auto"/>
                <w:kern w:val="2"/>
                <w:sz w:val="21"/>
                <w:szCs w:val="21"/>
                <w:u w:val="none" w:color="auto"/>
                <w:lang w:val="en-US" w:eastAsia="zh-CN" w:bidi="ar-SA"/>
              </w:rPr>
            </w:pPr>
            <w:r>
              <w:rPr>
                <w:rFonts w:hint="default" w:ascii="Times New Roman" w:hAnsi="Times New Roman" w:cs="Times New Roman"/>
                <w:color w:val="auto"/>
                <w:kern w:val="2"/>
                <w:sz w:val="21"/>
                <w:szCs w:val="21"/>
                <w:u w:val="none" w:color="auto"/>
                <w:vertAlign w:val="baseline"/>
                <w:lang w:val="en-US" w:eastAsia="zh-CN" w:bidi="ar-SA"/>
              </w:rPr>
              <w:t>（4</w:t>
            </w:r>
            <w:r>
              <w:rPr>
                <w:rFonts w:hint="default" w:ascii="Times New Roman" w:hAnsi="Times New Roman" w:eastAsia="宋体" w:cs="Times New Roman"/>
                <w:color w:val="auto"/>
                <w:kern w:val="2"/>
                <w:sz w:val="21"/>
                <w:szCs w:val="21"/>
                <w:u w:val="none" w:color="auto"/>
                <w:vertAlign w:val="baseline"/>
                <w:lang w:val="en-US" w:eastAsia="zh-CN" w:bidi="ar-SA"/>
              </w:rPr>
              <w:t>.</w:t>
            </w:r>
            <w:r>
              <w:rPr>
                <w:rFonts w:hint="default" w:ascii="Times New Roman" w:hAnsi="Times New Roman" w:cs="Times New Roman"/>
                <w:color w:val="auto"/>
                <w:kern w:val="2"/>
                <w:sz w:val="21"/>
                <w:szCs w:val="21"/>
                <w:u w:val="none" w:color="auto"/>
                <w:vertAlign w:val="baseline"/>
                <w:lang w:val="en-US" w:eastAsia="zh-CN" w:bidi="ar-SA"/>
              </w:rPr>
              <w:t>3）</w:t>
            </w:r>
            <w:r>
              <w:rPr>
                <w:rFonts w:hint="default" w:ascii="Times New Roman" w:hAnsi="Times New Roman" w:eastAsia="宋体" w:cs="Times New Roman"/>
                <w:b w:val="0"/>
                <w:bCs/>
                <w:color w:val="auto"/>
                <w:kern w:val="2"/>
                <w:sz w:val="21"/>
                <w:szCs w:val="21"/>
                <w:u w:val="none" w:color="auto"/>
                <w:lang w:val="en-US" w:eastAsia="zh-CN" w:bidi="ar-SA"/>
              </w:rPr>
              <w:t>土地资源</w:t>
            </w:r>
            <w:r>
              <w:rPr>
                <w:rFonts w:hint="default" w:ascii="Times New Roman" w:hAnsi="Times New Roman" w:cs="Times New Roman"/>
                <w:b w:val="0"/>
                <w:bCs/>
                <w:color w:val="auto"/>
                <w:kern w:val="2"/>
                <w:sz w:val="21"/>
                <w:szCs w:val="21"/>
                <w:u w:val="none" w:color="auto"/>
                <w:lang w:val="en-US" w:eastAsia="zh-CN" w:bidi="ar-SA"/>
              </w:rPr>
              <w:t>：</w:t>
            </w:r>
            <w:r>
              <w:rPr>
                <w:rFonts w:hint="default" w:ascii="Times New Roman" w:hAnsi="Times New Roman" w:eastAsia="宋体" w:cs="Times New Roman"/>
                <w:b w:val="0"/>
                <w:bCs/>
                <w:color w:val="auto"/>
                <w:kern w:val="2"/>
                <w:sz w:val="21"/>
                <w:szCs w:val="21"/>
                <w:u w:val="none" w:color="auto"/>
                <w:lang w:val="en-US" w:eastAsia="zh-CN" w:bidi="ar-SA"/>
              </w:rPr>
              <w:t>推动土地资源合理配置和集约高效利用，加强土地用途管制</w:t>
            </w:r>
            <w:r>
              <w:rPr>
                <w:rFonts w:hint="default" w:ascii="Times New Roman" w:hAnsi="Times New Roman" w:cs="Times New Roman"/>
                <w:b w:val="0"/>
                <w:bCs/>
                <w:color w:val="auto"/>
                <w:kern w:val="2"/>
                <w:sz w:val="21"/>
                <w:szCs w:val="21"/>
                <w:u w:val="none" w:color="auto"/>
                <w:lang w:val="en-US" w:eastAsia="zh-CN" w:bidi="ar-SA"/>
              </w:rPr>
              <w:t>；</w:t>
            </w:r>
            <w:r>
              <w:rPr>
                <w:rFonts w:hint="default" w:ascii="Times New Roman" w:hAnsi="Times New Roman" w:eastAsia="宋体" w:cs="Times New Roman"/>
                <w:b w:val="0"/>
                <w:bCs/>
                <w:color w:val="auto"/>
                <w:kern w:val="2"/>
                <w:sz w:val="21"/>
                <w:szCs w:val="21"/>
                <w:u w:val="none" w:color="auto"/>
                <w:lang w:val="en-US" w:eastAsia="zh-CN" w:bidi="ar-SA"/>
              </w:rPr>
              <w:t>落实最严格的耕地保护和节约用地制度，推行“田长制”，严禁耕地“3农化”、防止耕地““非粮化”</w:t>
            </w:r>
            <w:r>
              <w:rPr>
                <w:rFonts w:hint="default" w:ascii="Times New Roman" w:hAnsi="Times New Roman" w:cs="Times New Roman"/>
                <w:b w:val="0"/>
                <w:bCs/>
                <w:color w:val="auto"/>
                <w:kern w:val="2"/>
                <w:sz w:val="21"/>
                <w:szCs w:val="21"/>
                <w:u w:val="none" w:color="auto"/>
                <w:lang w:val="en-US" w:eastAsia="zh-CN" w:bidi="ar-SA"/>
              </w:rPr>
              <w:t>：</w:t>
            </w:r>
            <w:r>
              <w:rPr>
                <w:rFonts w:hint="default" w:ascii="Times New Roman" w:hAnsi="Times New Roman" w:eastAsia="宋体" w:cs="Times New Roman"/>
                <w:b w:val="0"/>
                <w:bCs/>
                <w:color w:val="auto"/>
                <w:kern w:val="2"/>
                <w:sz w:val="21"/>
                <w:szCs w:val="21"/>
                <w:u w:val="none" w:color="auto"/>
                <w:lang w:val="en-US" w:eastAsia="zh-CN" w:bidi="ar-SA"/>
              </w:rPr>
              <w:t>开展土地综合整治，积极推进土地复合利用。</w:t>
            </w:r>
          </w:p>
        </w:tc>
        <w:tc>
          <w:tcPr>
            <w:tcW w:w="106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F87330F">
            <w:pPr>
              <w:pStyle w:val="9"/>
              <w:keepNext w:val="0"/>
              <w:keepLines w:val="0"/>
              <w:pageBreakBefore w:val="0"/>
              <w:kinsoku/>
              <w:wordWrap/>
              <w:overflowPunct/>
              <w:topLinePunct w:val="0"/>
              <w:bidi w:val="0"/>
              <w:snapToGrid w:val="0"/>
              <w:spacing w:before="0" w:after="0" w:line="240" w:lineRule="auto"/>
              <w:ind w:right="0" w:rightChars="0"/>
              <w:jc w:val="center"/>
              <w:textAlignment w:val="auto"/>
              <w:rPr>
                <w:rFonts w:hint="default" w:ascii="Times New Roman" w:hAnsi="Times New Roman" w:eastAsia="宋体" w:cs="Times New Roman"/>
                <w:color w:val="auto"/>
                <w:kern w:val="0"/>
                <w:sz w:val="21"/>
                <w:szCs w:val="21"/>
                <w:u w:val="none" w:color="auto"/>
                <w:lang w:val="en-US" w:eastAsia="zh-CN" w:bidi="ar-SA"/>
              </w:rPr>
            </w:pPr>
            <w:r>
              <w:rPr>
                <w:rFonts w:hint="default" w:ascii="Times New Roman" w:hAnsi="Times New Roman" w:eastAsia="宋体" w:cs="Times New Roman"/>
                <w:color w:val="auto"/>
                <w:sz w:val="21"/>
                <w:szCs w:val="21"/>
                <w:u w:val="none" w:color="auto"/>
                <w:lang w:val="en-US" w:eastAsia="zh-CN"/>
              </w:rPr>
              <w:t>本项目主要能源为电能和水，不涉及高污染燃料的使用；项目不占用基本农田</w:t>
            </w:r>
          </w:p>
        </w:tc>
        <w:tc>
          <w:tcPr>
            <w:tcW w:w="42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F1DF2F0">
            <w:pPr>
              <w:autoSpaceDE w:val="0"/>
              <w:autoSpaceDN w:val="0"/>
              <w:adjustRightInd w:val="0"/>
              <w:snapToGrid w:val="0"/>
              <w:spacing w:line="240" w:lineRule="auto"/>
              <w:jc w:val="center"/>
              <w:rPr>
                <w:rFonts w:hint="default" w:ascii="Times New Roman" w:hAnsi="Times New Roman" w:eastAsia="宋体" w:cs="Times New Roman"/>
                <w:strike w:val="0"/>
                <w:dstrike w:val="0"/>
                <w:color w:val="auto"/>
                <w:sz w:val="21"/>
                <w:szCs w:val="21"/>
                <w:highlight w:val="none"/>
                <w:u w:val="none" w:color="auto"/>
                <w:vertAlign w:val="baseline"/>
                <w:lang w:val="en-US" w:eastAsia="zh-CN"/>
              </w:rPr>
            </w:pPr>
            <w:r>
              <w:rPr>
                <w:rFonts w:hint="default" w:ascii="Times New Roman" w:hAnsi="Times New Roman" w:eastAsia="宋体" w:cs="Times New Roman"/>
                <w:strike w:val="0"/>
                <w:dstrike w:val="0"/>
                <w:color w:val="auto"/>
                <w:sz w:val="21"/>
                <w:szCs w:val="21"/>
                <w:highlight w:val="none"/>
                <w:u w:val="none" w:color="auto"/>
                <w:vertAlign w:val="baseline"/>
                <w:lang w:val="en-US" w:eastAsia="zh-CN"/>
              </w:rPr>
              <w:t>符合</w:t>
            </w:r>
          </w:p>
        </w:tc>
      </w:tr>
    </w:tbl>
    <w:p w14:paraId="5A3B1676">
      <w:pPr>
        <w:keepNext w:val="0"/>
        <w:keepLines w:val="0"/>
        <w:pageBreakBefore w:val="0"/>
        <w:widowControl/>
        <w:kinsoku w:val="0"/>
        <w:wordWrap/>
        <w:overflowPunct/>
        <w:topLinePunct w:val="0"/>
        <w:autoSpaceDE w:val="0"/>
        <w:autoSpaceDN w:val="0"/>
        <w:bidi w:val="0"/>
        <w:adjustRightInd w:val="0"/>
        <w:snapToGrid w:val="0"/>
        <w:spacing w:line="360" w:lineRule="auto"/>
        <w:ind w:right="0"/>
        <w:jc w:val="center"/>
        <w:textAlignment w:val="baseline"/>
        <w:rPr>
          <w:rFonts w:ascii="Times New Roman" w:hAnsi="Times New Roman" w:eastAsia="Times New Roman" w:cs="Times New Roman"/>
          <w:spacing w:val="-2"/>
          <w:sz w:val="24"/>
          <w:szCs w:val="24"/>
          <w:lang w:eastAsia="zh-CN"/>
        </w:rPr>
      </w:pPr>
    </w:p>
    <w:p w14:paraId="403FFFAD">
      <w:pPr>
        <w:spacing w:line="219" w:lineRule="auto"/>
        <w:rPr>
          <w:rFonts w:ascii="宋体" w:hAnsi="宋体" w:eastAsia="宋体" w:cs="宋体"/>
          <w:sz w:val="24"/>
          <w:szCs w:val="24"/>
          <w:lang w:eastAsia="zh-CN"/>
        </w:rPr>
        <w:sectPr>
          <w:footerReference r:id="rId8" w:type="default"/>
          <w:pgSz w:w="11905" w:h="16838"/>
          <w:pgMar w:top="1440" w:right="1803" w:bottom="1440" w:left="1803" w:header="828" w:footer="794" w:gutter="0"/>
          <w:pgNumType w:fmt="decimal"/>
          <w:cols w:space="0" w:num="1"/>
          <w:rtlGutter w:val="0"/>
          <w:docGrid w:linePitch="0" w:charSpace="0"/>
        </w:sectPr>
      </w:pPr>
    </w:p>
    <w:p w14:paraId="38FDAE39">
      <w:pPr>
        <w:keepNext w:val="0"/>
        <w:keepLines w:val="0"/>
        <w:pageBreakBefore w:val="0"/>
        <w:widowControl/>
        <w:kinsoku w:val="0"/>
        <w:wordWrap/>
        <w:overflowPunct/>
        <w:topLinePunct w:val="0"/>
        <w:autoSpaceDE w:val="0"/>
        <w:autoSpaceDN w:val="0"/>
        <w:bidi w:val="0"/>
        <w:adjustRightInd w:val="0"/>
        <w:snapToGrid w:val="0"/>
        <w:spacing w:before="334" w:line="360" w:lineRule="auto"/>
        <w:jc w:val="center"/>
        <w:textAlignment w:val="baseline"/>
        <w:outlineLvl w:val="0"/>
        <w:rPr>
          <w:rFonts w:hint="default" w:ascii="Times New Roman" w:hAnsi="Times New Roman" w:eastAsia="宋体" w:cs="Times New Roman"/>
          <w:b/>
          <w:bCs/>
          <w:spacing w:val="6"/>
          <w:sz w:val="31"/>
          <w:szCs w:val="31"/>
          <w:lang w:eastAsia="zh-CN"/>
        </w:rPr>
      </w:pPr>
      <w:bookmarkStart w:id="126" w:name="_Toc29141"/>
      <w:bookmarkStart w:id="127" w:name="_Toc9128"/>
      <w:r>
        <w:rPr>
          <w:rFonts w:hint="default" w:ascii="Times New Roman" w:hAnsi="Times New Roman" w:eastAsia="宋体" w:cs="Times New Roman"/>
          <w:b/>
          <w:bCs/>
          <w:spacing w:val="6"/>
          <w:sz w:val="31"/>
          <w:szCs w:val="31"/>
          <w:lang w:eastAsia="zh-CN"/>
        </w:rPr>
        <w:t>5入河排污口设置方案设计</w:t>
      </w:r>
      <w:bookmarkEnd w:id="126"/>
      <w:bookmarkEnd w:id="127"/>
    </w:p>
    <w:p w14:paraId="01CE1C37">
      <w:pPr>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outlineLvl w:val="1"/>
        <w:rPr>
          <w:rFonts w:hint="default" w:ascii="Times New Roman" w:hAnsi="Times New Roman" w:eastAsia="宋体" w:cs="Times New Roman"/>
          <w:b/>
          <w:bCs/>
          <w:spacing w:val="-2"/>
          <w:sz w:val="28"/>
          <w:szCs w:val="28"/>
          <w:lang w:eastAsia="zh-CN"/>
        </w:rPr>
      </w:pPr>
      <w:bookmarkStart w:id="128" w:name="_Toc12788"/>
      <w:bookmarkStart w:id="129" w:name="_Toc30497"/>
      <w:r>
        <w:rPr>
          <w:rFonts w:hint="default" w:ascii="Times New Roman" w:hAnsi="Times New Roman" w:eastAsia="宋体" w:cs="Times New Roman"/>
          <w:b/>
          <w:bCs/>
          <w:spacing w:val="-2"/>
          <w:sz w:val="28"/>
          <w:szCs w:val="28"/>
          <w:lang w:eastAsia="zh-CN"/>
        </w:rPr>
        <w:t>5.1入河排污口设置基本情况</w:t>
      </w:r>
      <w:bookmarkEnd w:id="128"/>
      <w:bookmarkEnd w:id="129"/>
    </w:p>
    <w:p w14:paraId="643C20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Cs/>
          <w:color w:val="000000"/>
          <w:sz w:val="24"/>
          <w:szCs w:val="24"/>
          <w:u w:val="single" w:color="auto"/>
          <w:lang w:val="en-US" w:eastAsia="zh-CN"/>
        </w:rPr>
      </w:pPr>
      <w:r>
        <w:rPr>
          <w:rFonts w:hint="eastAsia" w:ascii="Times New Roman" w:hAnsi="Times New Roman" w:eastAsia="宋体" w:cs="Times New Roman"/>
          <w:bCs/>
          <w:color w:val="000000"/>
          <w:sz w:val="24"/>
          <w:szCs w:val="24"/>
          <w:u w:val="single" w:color="auto"/>
          <w:lang w:val="en-US" w:eastAsia="zh-CN"/>
        </w:rPr>
        <w:t>本排污口设置比选方案如下表：</w:t>
      </w:r>
    </w:p>
    <w:p w14:paraId="23C774CC">
      <w:pPr>
        <w:autoSpaceDE w:val="0"/>
        <w:autoSpaceDN w:val="0"/>
        <w:snapToGrid w:val="0"/>
        <w:spacing w:line="240" w:lineRule="auto"/>
        <w:jc w:val="center"/>
        <w:rPr>
          <w:rFonts w:hint="eastAsia" w:ascii="Times New Roman" w:hAnsi="Times New Roman" w:cs="Times New Roman"/>
          <w:b/>
          <w:bCs/>
          <w:color w:val="auto"/>
          <w:sz w:val="21"/>
          <w:szCs w:val="21"/>
          <w:highlight w:val="none"/>
          <w:u w:val="single" w:color="auto"/>
          <w:lang w:val="en-US" w:eastAsia="zh-CN"/>
        </w:rPr>
      </w:pPr>
      <w:r>
        <w:rPr>
          <w:rFonts w:hint="eastAsia" w:ascii="Times New Roman" w:hAnsi="Times New Roman" w:cs="Times New Roman"/>
          <w:b/>
          <w:bCs/>
          <w:color w:val="auto"/>
          <w:sz w:val="21"/>
          <w:szCs w:val="21"/>
          <w:highlight w:val="none"/>
          <w:u w:val="single" w:color="auto"/>
          <w:lang w:val="en-US" w:eastAsia="zh-CN"/>
        </w:rPr>
        <w:t>表5.1-1本排污口设置比选方案一览表</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941"/>
        <w:gridCol w:w="1809"/>
        <w:gridCol w:w="871"/>
        <w:gridCol w:w="691"/>
        <w:gridCol w:w="638"/>
        <w:gridCol w:w="650"/>
        <w:gridCol w:w="800"/>
        <w:gridCol w:w="870"/>
        <w:gridCol w:w="730"/>
      </w:tblGrid>
      <w:tr w14:paraId="71D87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vAlign w:val="center"/>
          </w:tcPr>
          <w:p w14:paraId="65BF4047">
            <w:pPr>
              <w:autoSpaceDE w:val="0"/>
              <w:autoSpaceDN w:val="0"/>
              <w:snapToGrid w:val="0"/>
              <w:spacing w:line="240" w:lineRule="auto"/>
              <w:jc w:val="center"/>
              <w:rPr>
                <w:rFonts w:hint="default" w:ascii="Times New Roman" w:hAnsi="Times New Roman" w:cs="Times New Roman"/>
                <w:b/>
                <w:bCs/>
                <w:color w:val="auto"/>
                <w:sz w:val="21"/>
                <w:szCs w:val="21"/>
                <w:highlight w:val="none"/>
                <w:u w:val="single" w:color="auto"/>
                <w:vertAlign w:val="baseline"/>
                <w:lang w:val="en-US" w:eastAsia="zh-CN"/>
              </w:rPr>
            </w:pPr>
            <w:r>
              <w:rPr>
                <w:rFonts w:hint="eastAsia" w:ascii="Times New Roman" w:hAnsi="Times New Roman" w:cs="Times New Roman"/>
                <w:b/>
                <w:bCs/>
                <w:color w:val="auto"/>
                <w:sz w:val="21"/>
                <w:szCs w:val="21"/>
                <w:highlight w:val="none"/>
                <w:u w:val="single" w:color="auto"/>
                <w:vertAlign w:val="baseline"/>
                <w:lang w:val="en-US" w:eastAsia="zh-CN"/>
              </w:rPr>
              <w:t>序号</w:t>
            </w:r>
          </w:p>
        </w:tc>
        <w:tc>
          <w:tcPr>
            <w:tcW w:w="941" w:type="dxa"/>
            <w:vAlign w:val="center"/>
          </w:tcPr>
          <w:p w14:paraId="3AB0BE54">
            <w:pPr>
              <w:autoSpaceDE w:val="0"/>
              <w:autoSpaceDN w:val="0"/>
              <w:snapToGrid w:val="0"/>
              <w:spacing w:line="240" w:lineRule="auto"/>
              <w:jc w:val="center"/>
              <w:rPr>
                <w:rFonts w:hint="default" w:ascii="Times New Roman" w:hAnsi="Times New Roman" w:cs="Times New Roman"/>
                <w:b/>
                <w:bCs/>
                <w:color w:val="auto"/>
                <w:sz w:val="21"/>
                <w:szCs w:val="21"/>
                <w:highlight w:val="none"/>
                <w:u w:val="single" w:color="auto"/>
                <w:vertAlign w:val="baseline"/>
                <w:lang w:val="en-US" w:eastAsia="zh-CN"/>
              </w:rPr>
            </w:pPr>
            <w:r>
              <w:rPr>
                <w:rFonts w:hint="eastAsia" w:ascii="Times New Roman" w:hAnsi="Times New Roman" w:cs="Times New Roman"/>
                <w:b/>
                <w:bCs/>
                <w:color w:val="auto"/>
                <w:sz w:val="21"/>
                <w:szCs w:val="21"/>
                <w:highlight w:val="none"/>
                <w:u w:val="single" w:color="auto"/>
                <w:vertAlign w:val="baseline"/>
                <w:lang w:val="en-US" w:eastAsia="zh-CN"/>
              </w:rPr>
              <w:t>排污口入河位置</w:t>
            </w:r>
          </w:p>
        </w:tc>
        <w:tc>
          <w:tcPr>
            <w:tcW w:w="1809" w:type="dxa"/>
            <w:vAlign w:val="center"/>
          </w:tcPr>
          <w:p w14:paraId="2F0332FF">
            <w:pPr>
              <w:autoSpaceDE w:val="0"/>
              <w:autoSpaceDN w:val="0"/>
              <w:snapToGrid w:val="0"/>
              <w:spacing w:line="240" w:lineRule="auto"/>
              <w:jc w:val="center"/>
              <w:rPr>
                <w:rFonts w:hint="default" w:ascii="Times New Roman" w:hAnsi="Times New Roman" w:cs="Times New Roman"/>
                <w:b/>
                <w:bCs/>
                <w:color w:val="auto"/>
                <w:sz w:val="21"/>
                <w:szCs w:val="21"/>
                <w:highlight w:val="none"/>
                <w:u w:val="single" w:color="auto"/>
                <w:vertAlign w:val="baseline"/>
                <w:lang w:val="en-US" w:eastAsia="zh-CN"/>
              </w:rPr>
            </w:pPr>
            <w:r>
              <w:rPr>
                <w:rFonts w:hint="eastAsia" w:ascii="Times New Roman" w:hAnsi="Times New Roman" w:cs="Times New Roman"/>
                <w:b/>
                <w:bCs/>
                <w:color w:val="auto"/>
                <w:sz w:val="21"/>
                <w:szCs w:val="21"/>
                <w:highlight w:val="none"/>
                <w:u w:val="single" w:color="auto"/>
                <w:vertAlign w:val="baseline"/>
                <w:lang w:val="en-US" w:eastAsia="zh-CN"/>
              </w:rPr>
              <w:t>排污口具体坐标</w:t>
            </w:r>
          </w:p>
        </w:tc>
        <w:tc>
          <w:tcPr>
            <w:tcW w:w="871" w:type="dxa"/>
            <w:vAlign w:val="center"/>
          </w:tcPr>
          <w:p w14:paraId="30209B47">
            <w:pPr>
              <w:autoSpaceDE w:val="0"/>
              <w:autoSpaceDN w:val="0"/>
              <w:snapToGrid w:val="0"/>
              <w:spacing w:line="240" w:lineRule="auto"/>
              <w:jc w:val="center"/>
              <w:rPr>
                <w:rFonts w:hint="default" w:ascii="Times New Roman" w:hAnsi="Times New Roman" w:cs="Times New Roman"/>
                <w:b/>
                <w:bCs/>
                <w:color w:val="auto"/>
                <w:sz w:val="21"/>
                <w:szCs w:val="21"/>
                <w:highlight w:val="none"/>
                <w:u w:val="single" w:color="auto"/>
                <w:vertAlign w:val="baseline"/>
                <w:lang w:val="en-US" w:eastAsia="zh-CN"/>
              </w:rPr>
            </w:pPr>
            <w:r>
              <w:rPr>
                <w:rFonts w:hint="eastAsia" w:ascii="Times New Roman" w:hAnsi="Times New Roman" w:cs="Times New Roman"/>
                <w:b/>
                <w:bCs/>
                <w:color w:val="auto"/>
                <w:sz w:val="21"/>
                <w:szCs w:val="21"/>
                <w:highlight w:val="none"/>
                <w:u w:val="single" w:color="auto"/>
                <w:vertAlign w:val="baseline"/>
                <w:lang w:val="en-US" w:eastAsia="zh-CN"/>
              </w:rPr>
              <w:t>设置专管长度</w:t>
            </w:r>
          </w:p>
        </w:tc>
        <w:tc>
          <w:tcPr>
            <w:tcW w:w="691" w:type="dxa"/>
            <w:vAlign w:val="center"/>
          </w:tcPr>
          <w:p w14:paraId="37E6CDAA">
            <w:pPr>
              <w:autoSpaceDE w:val="0"/>
              <w:autoSpaceDN w:val="0"/>
              <w:snapToGrid w:val="0"/>
              <w:spacing w:line="240" w:lineRule="auto"/>
              <w:jc w:val="center"/>
              <w:rPr>
                <w:rFonts w:hint="default" w:ascii="Times New Roman" w:hAnsi="Times New Roman" w:cs="Times New Roman"/>
                <w:b/>
                <w:bCs/>
                <w:color w:val="auto"/>
                <w:sz w:val="21"/>
                <w:szCs w:val="21"/>
                <w:highlight w:val="none"/>
                <w:u w:val="single" w:color="auto"/>
                <w:vertAlign w:val="baseline"/>
                <w:lang w:val="en-US" w:eastAsia="zh-CN"/>
              </w:rPr>
            </w:pPr>
            <w:r>
              <w:rPr>
                <w:rFonts w:hint="eastAsia" w:ascii="Times New Roman" w:hAnsi="Times New Roman" w:cs="Times New Roman"/>
                <w:b/>
                <w:bCs/>
                <w:color w:val="auto"/>
                <w:sz w:val="21"/>
                <w:szCs w:val="21"/>
                <w:highlight w:val="none"/>
                <w:u w:val="single" w:color="auto"/>
                <w:vertAlign w:val="baseline"/>
                <w:lang w:val="en-US" w:eastAsia="zh-CN"/>
              </w:rPr>
              <w:t>占地面积</w:t>
            </w:r>
          </w:p>
        </w:tc>
        <w:tc>
          <w:tcPr>
            <w:tcW w:w="638" w:type="dxa"/>
            <w:vAlign w:val="center"/>
          </w:tcPr>
          <w:p w14:paraId="5214240A">
            <w:pPr>
              <w:autoSpaceDE w:val="0"/>
              <w:autoSpaceDN w:val="0"/>
              <w:snapToGrid w:val="0"/>
              <w:spacing w:line="240" w:lineRule="auto"/>
              <w:jc w:val="center"/>
              <w:rPr>
                <w:rFonts w:hint="default" w:ascii="Times New Roman" w:hAnsi="Times New Roman" w:cs="Times New Roman"/>
                <w:b/>
                <w:bCs/>
                <w:color w:val="auto"/>
                <w:sz w:val="21"/>
                <w:szCs w:val="21"/>
                <w:highlight w:val="none"/>
                <w:u w:val="single" w:color="auto"/>
                <w:vertAlign w:val="baseline"/>
                <w:lang w:val="en-US" w:eastAsia="zh-CN"/>
              </w:rPr>
            </w:pPr>
            <w:r>
              <w:rPr>
                <w:rFonts w:hint="eastAsia" w:ascii="Times New Roman" w:hAnsi="Times New Roman" w:cs="Times New Roman"/>
                <w:b/>
                <w:bCs/>
                <w:color w:val="auto"/>
                <w:sz w:val="21"/>
                <w:szCs w:val="21"/>
                <w:highlight w:val="none"/>
                <w:u w:val="single" w:color="auto"/>
                <w:vertAlign w:val="baseline"/>
                <w:lang w:val="en-US" w:eastAsia="zh-CN"/>
              </w:rPr>
              <w:t>造价</w:t>
            </w:r>
          </w:p>
        </w:tc>
        <w:tc>
          <w:tcPr>
            <w:tcW w:w="650" w:type="dxa"/>
            <w:vAlign w:val="center"/>
          </w:tcPr>
          <w:p w14:paraId="1A206093">
            <w:pPr>
              <w:autoSpaceDE w:val="0"/>
              <w:autoSpaceDN w:val="0"/>
              <w:snapToGrid w:val="0"/>
              <w:spacing w:line="240" w:lineRule="auto"/>
              <w:jc w:val="center"/>
              <w:rPr>
                <w:rFonts w:hint="default" w:ascii="Times New Roman" w:hAnsi="Times New Roman" w:cs="Times New Roman"/>
                <w:b/>
                <w:bCs/>
                <w:color w:val="auto"/>
                <w:sz w:val="21"/>
                <w:szCs w:val="21"/>
                <w:highlight w:val="none"/>
                <w:u w:val="single" w:color="auto"/>
                <w:vertAlign w:val="baseline"/>
                <w:lang w:val="en-US" w:eastAsia="zh-CN"/>
              </w:rPr>
            </w:pPr>
            <w:r>
              <w:rPr>
                <w:rFonts w:hint="eastAsia" w:ascii="Times New Roman" w:hAnsi="Times New Roman" w:cs="Times New Roman"/>
                <w:b/>
                <w:bCs/>
                <w:color w:val="auto"/>
                <w:sz w:val="21"/>
                <w:szCs w:val="21"/>
                <w:highlight w:val="none"/>
                <w:u w:val="single" w:color="auto"/>
                <w:vertAlign w:val="baseline"/>
                <w:lang w:val="en-US" w:eastAsia="zh-CN"/>
              </w:rPr>
              <w:t>施工难度</w:t>
            </w:r>
          </w:p>
        </w:tc>
        <w:tc>
          <w:tcPr>
            <w:tcW w:w="800" w:type="dxa"/>
            <w:vAlign w:val="center"/>
          </w:tcPr>
          <w:p w14:paraId="53D25FEE">
            <w:pPr>
              <w:autoSpaceDE w:val="0"/>
              <w:autoSpaceDN w:val="0"/>
              <w:snapToGrid w:val="0"/>
              <w:spacing w:line="240" w:lineRule="auto"/>
              <w:jc w:val="center"/>
              <w:rPr>
                <w:rFonts w:hint="default" w:ascii="Times New Roman" w:hAnsi="Times New Roman" w:cs="Times New Roman"/>
                <w:b/>
                <w:bCs/>
                <w:color w:val="auto"/>
                <w:sz w:val="21"/>
                <w:szCs w:val="21"/>
                <w:highlight w:val="none"/>
                <w:u w:val="single" w:color="auto"/>
                <w:vertAlign w:val="baseline"/>
                <w:lang w:val="en-US" w:eastAsia="zh-CN"/>
              </w:rPr>
            </w:pPr>
            <w:r>
              <w:rPr>
                <w:rFonts w:hint="eastAsia" w:ascii="Times New Roman" w:hAnsi="Times New Roman" w:cs="Times New Roman"/>
                <w:b/>
                <w:bCs/>
                <w:color w:val="auto"/>
                <w:sz w:val="21"/>
                <w:szCs w:val="21"/>
                <w:highlight w:val="none"/>
                <w:u w:val="single" w:color="auto"/>
                <w:vertAlign w:val="baseline"/>
                <w:lang w:val="en-US" w:eastAsia="zh-CN"/>
              </w:rPr>
              <w:t>维护情况</w:t>
            </w:r>
          </w:p>
        </w:tc>
        <w:tc>
          <w:tcPr>
            <w:tcW w:w="870" w:type="dxa"/>
            <w:vAlign w:val="center"/>
          </w:tcPr>
          <w:p w14:paraId="269258FE">
            <w:pPr>
              <w:autoSpaceDE w:val="0"/>
              <w:autoSpaceDN w:val="0"/>
              <w:snapToGrid w:val="0"/>
              <w:spacing w:line="240" w:lineRule="auto"/>
              <w:jc w:val="center"/>
              <w:rPr>
                <w:rFonts w:hint="default" w:ascii="Times New Roman" w:hAnsi="Times New Roman" w:cs="Times New Roman"/>
                <w:b/>
                <w:bCs/>
                <w:color w:val="auto"/>
                <w:sz w:val="21"/>
                <w:szCs w:val="21"/>
                <w:highlight w:val="none"/>
                <w:u w:val="single" w:color="auto"/>
                <w:vertAlign w:val="baseline"/>
                <w:lang w:val="en-US" w:eastAsia="zh-CN"/>
              </w:rPr>
            </w:pPr>
            <w:r>
              <w:rPr>
                <w:rFonts w:hint="eastAsia" w:ascii="Times New Roman" w:hAnsi="Times New Roman" w:cs="Times New Roman"/>
                <w:b/>
                <w:bCs/>
                <w:color w:val="auto"/>
                <w:sz w:val="21"/>
                <w:szCs w:val="21"/>
                <w:highlight w:val="none"/>
                <w:u w:val="single" w:color="auto"/>
                <w:vertAlign w:val="baseline"/>
                <w:lang w:val="en-US" w:eastAsia="zh-CN"/>
              </w:rPr>
              <w:t>对水质影响</w:t>
            </w:r>
          </w:p>
        </w:tc>
        <w:tc>
          <w:tcPr>
            <w:tcW w:w="730" w:type="dxa"/>
            <w:vAlign w:val="center"/>
          </w:tcPr>
          <w:p w14:paraId="4FA194EF">
            <w:pPr>
              <w:autoSpaceDE w:val="0"/>
              <w:autoSpaceDN w:val="0"/>
              <w:snapToGrid w:val="0"/>
              <w:spacing w:line="240" w:lineRule="auto"/>
              <w:jc w:val="center"/>
              <w:rPr>
                <w:rFonts w:hint="default" w:ascii="Times New Roman" w:hAnsi="Times New Roman" w:cs="Times New Roman"/>
                <w:b/>
                <w:bCs/>
                <w:color w:val="auto"/>
                <w:sz w:val="21"/>
                <w:szCs w:val="21"/>
                <w:highlight w:val="none"/>
                <w:u w:val="single" w:color="auto"/>
                <w:vertAlign w:val="baseline"/>
                <w:lang w:val="en-US" w:eastAsia="zh-CN"/>
              </w:rPr>
            </w:pPr>
            <w:r>
              <w:rPr>
                <w:rFonts w:hint="eastAsia" w:ascii="Times New Roman" w:hAnsi="Times New Roman" w:cs="Times New Roman"/>
                <w:b/>
                <w:bCs/>
                <w:color w:val="auto"/>
                <w:sz w:val="21"/>
                <w:szCs w:val="21"/>
                <w:highlight w:val="none"/>
                <w:u w:val="single" w:color="auto"/>
                <w:vertAlign w:val="baseline"/>
                <w:lang w:val="en-US" w:eastAsia="zh-CN"/>
              </w:rPr>
              <w:t>比选结果</w:t>
            </w:r>
          </w:p>
        </w:tc>
      </w:tr>
      <w:tr w14:paraId="4E4E7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vAlign w:val="center"/>
          </w:tcPr>
          <w:p w14:paraId="63BE104D">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1</w:t>
            </w:r>
          </w:p>
        </w:tc>
        <w:tc>
          <w:tcPr>
            <w:tcW w:w="941" w:type="dxa"/>
            <w:vAlign w:val="center"/>
          </w:tcPr>
          <w:p w14:paraId="7CF9FCB3">
            <w:pPr>
              <w:autoSpaceDE w:val="0"/>
              <w:autoSpaceDN w:val="0"/>
              <w:snapToGrid w:val="0"/>
              <w:spacing w:line="240" w:lineRule="auto"/>
              <w:jc w:val="center"/>
              <w:rPr>
                <w:rFonts w:hint="eastAsia"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青山河</w:t>
            </w:r>
          </w:p>
          <w:p w14:paraId="0A749F64">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左岸</w:t>
            </w:r>
          </w:p>
        </w:tc>
        <w:tc>
          <w:tcPr>
            <w:tcW w:w="1809" w:type="dxa"/>
            <w:vAlign w:val="center"/>
          </w:tcPr>
          <w:p w14:paraId="3B74410B">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eastAsia="宋体" w:cs="Times New Roman"/>
                <w:sz w:val="21"/>
                <w:szCs w:val="21"/>
                <w:u w:val="single" w:color="auto"/>
                <w:lang w:val="en-US" w:eastAsia="zh-CN"/>
              </w:rPr>
              <w:t>E112</w:t>
            </w:r>
            <w:r>
              <w:rPr>
                <w:rFonts w:ascii="Times New Roman" w:hAnsi="Times New Roman" w:eastAsia="宋体" w:cs="Times New Roman"/>
                <w:sz w:val="21"/>
                <w:szCs w:val="21"/>
                <w:u w:val="single" w:color="auto"/>
                <w:lang w:eastAsia="zh-CN"/>
              </w:rPr>
              <w:t>°</w:t>
            </w:r>
            <w:r>
              <w:rPr>
                <w:rFonts w:hint="eastAsia" w:ascii="Times New Roman" w:hAnsi="Times New Roman" w:eastAsia="宋体" w:cs="Times New Roman"/>
                <w:sz w:val="21"/>
                <w:szCs w:val="21"/>
                <w:u w:val="single" w:color="auto"/>
                <w:lang w:val="en-US" w:eastAsia="zh-CN"/>
              </w:rPr>
              <w:t>30</w:t>
            </w:r>
            <w:r>
              <w:rPr>
                <w:rFonts w:ascii="Times New Roman" w:hAnsi="Times New Roman" w:eastAsia="宋体" w:cs="Times New Roman"/>
                <w:sz w:val="21"/>
                <w:szCs w:val="21"/>
                <w:u w:val="single" w:color="auto"/>
                <w:lang w:eastAsia="zh-CN"/>
              </w:rPr>
              <w:t>′</w:t>
            </w:r>
            <w:r>
              <w:rPr>
                <w:rFonts w:hint="eastAsia" w:ascii="Times New Roman" w:hAnsi="Times New Roman" w:eastAsia="宋体" w:cs="Times New Roman"/>
                <w:sz w:val="21"/>
                <w:szCs w:val="21"/>
                <w:u w:val="single" w:color="auto"/>
                <w:lang w:val="en-US" w:eastAsia="zh-CN"/>
              </w:rPr>
              <w:t>56.928</w:t>
            </w:r>
            <w:r>
              <w:rPr>
                <w:rFonts w:ascii="Times New Roman" w:hAnsi="Times New Roman" w:eastAsia="宋体" w:cs="Times New Roman"/>
                <w:sz w:val="21"/>
                <w:szCs w:val="21"/>
                <w:u w:val="single" w:color="auto"/>
                <w:lang w:eastAsia="zh-CN"/>
              </w:rPr>
              <w:t>″</w:t>
            </w:r>
            <w:r>
              <w:rPr>
                <w:rFonts w:hint="eastAsia" w:ascii="Times New Roman" w:hAnsi="Times New Roman" w:eastAsia="宋体" w:cs="Times New Roman"/>
                <w:sz w:val="21"/>
                <w:szCs w:val="21"/>
                <w:u w:val="single" w:color="auto"/>
                <w:lang w:val="en-US" w:eastAsia="zh-CN"/>
              </w:rPr>
              <w:t>，N27</w:t>
            </w:r>
            <w:r>
              <w:rPr>
                <w:rFonts w:ascii="Times New Roman" w:hAnsi="Times New Roman" w:eastAsia="宋体" w:cs="Times New Roman"/>
                <w:sz w:val="21"/>
                <w:szCs w:val="21"/>
                <w:u w:val="single" w:color="auto"/>
                <w:lang w:eastAsia="zh-CN"/>
              </w:rPr>
              <w:t>°</w:t>
            </w:r>
            <w:r>
              <w:rPr>
                <w:rFonts w:hint="eastAsia" w:ascii="Times New Roman" w:hAnsi="Times New Roman" w:eastAsia="宋体" w:cs="Times New Roman"/>
                <w:sz w:val="21"/>
                <w:szCs w:val="21"/>
                <w:u w:val="single" w:color="auto"/>
                <w:lang w:val="en-US" w:eastAsia="zh-CN"/>
              </w:rPr>
              <w:t>30</w:t>
            </w:r>
            <w:r>
              <w:rPr>
                <w:rFonts w:ascii="Times New Roman" w:hAnsi="Times New Roman" w:eastAsia="宋体" w:cs="Times New Roman"/>
                <w:sz w:val="21"/>
                <w:szCs w:val="21"/>
                <w:u w:val="single" w:color="auto"/>
                <w:lang w:eastAsia="zh-CN"/>
              </w:rPr>
              <w:t>′</w:t>
            </w:r>
            <w:r>
              <w:rPr>
                <w:rFonts w:hint="eastAsia" w:ascii="Times New Roman" w:hAnsi="Times New Roman" w:eastAsia="宋体" w:cs="Times New Roman"/>
                <w:sz w:val="21"/>
                <w:szCs w:val="21"/>
                <w:u w:val="single" w:color="auto"/>
                <w:lang w:val="en-US" w:eastAsia="zh-CN"/>
              </w:rPr>
              <w:t>50.536</w:t>
            </w:r>
            <w:r>
              <w:rPr>
                <w:rFonts w:ascii="Times New Roman" w:hAnsi="Times New Roman" w:eastAsia="宋体" w:cs="Times New Roman"/>
                <w:sz w:val="21"/>
                <w:szCs w:val="21"/>
                <w:u w:val="single" w:color="auto"/>
                <w:lang w:eastAsia="zh-CN"/>
              </w:rPr>
              <w:t>″</w:t>
            </w:r>
          </w:p>
        </w:tc>
        <w:tc>
          <w:tcPr>
            <w:tcW w:w="871" w:type="dxa"/>
            <w:vAlign w:val="center"/>
          </w:tcPr>
          <w:p w14:paraId="24B6A295">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310m</w:t>
            </w:r>
          </w:p>
        </w:tc>
        <w:tc>
          <w:tcPr>
            <w:tcW w:w="691" w:type="dxa"/>
            <w:vAlign w:val="center"/>
          </w:tcPr>
          <w:p w14:paraId="738CA16C">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少</w:t>
            </w:r>
          </w:p>
        </w:tc>
        <w:tc>
          <w:tcPr>
            <w:tcW w:w="638" w:type="dxa"/>
            <w:vAlign w:val="center"/>
          </w:tcPr>
          <w:p w14:paraId="7377CCD5">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低</w:t>
            </w:r>
          </w:p>
        </w:tc>
        <w:tc>
          <w:tcPr>
            <w:tcW w:w="650" w:type="dxa"/>
            <w:vAlign w:val="center"/>
          </w:tcPr>
          <w:p w14:paraId="44BD09EC">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简单</w:t>
            </w:r>
          </w:p>
        </w:tc>
        <w:tc>
          <w:tcPr>
            <w:tcW w:w="800" w:type="dxa"/>
            <w:vAlign w:val="center"/>
          </w:tcPr>
          <w:p w14:paraId="5D228F66">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好维护</w:t>
            </w:r>
          </w:p>
        </w:tc>
        <w:tc>
          <w:tcPr>
            <w:tcW w:w="870" w:type="dxa"/>
            <w:vAlign w:val="center"/>
          </w:tcPr>
          <w:p w14:paraId="29D91C38">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所在排污口位于青山河保留区，污水经处理后对水质影响较小</w:t>
            </w:r>
          </w:p>
        </w:tc>
        <w:tc>
          <w:tcPr>
            <w:tcW w:w="730" w:type="dxa"/>
            <w:vAlign w:val="center"/>
          </w:tcPr>
          <w:p w14:paraId="38AFCDBA">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可行</w:t>
            </w:r>
          </w:p>
        </w:tc>
      </w:tr>
      <w:tr w14:paraId="07A65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vAlign w:val="center"/>
          </w:tcPr>
          <w:p w14:paraId="6E692AF1">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2</w:t>
            </w:r>
          </w:p>
        </w:tc>
        <w:tc>
          <w:tcPr>
            <w:tcW w:w="941" w:type="dxa"/>
            <w:vAlign w:val="center"/>
          </w:tcPr>
          <w:p w14:paraId="38CD0C69">
            <w:pPr>
              <w:autoSpaceDE w:val="0"/>
              <w:autoSpaceDN w:val="0"/>
              <w:snapToGrid w:val="0"/>
              <w:spacing w:line="240" w:lineRule="auto"/>
              <w:jc w:val="center"/>
              <w:rPr>
                <w:rFonts w:hint="eastAsia"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青山河</w:t>
            </w:r>
          </w:p>
          <w:p w14:paraId="37C1C1E9">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左岸</w:t>
            </w:r>
          </w:p>
        </w:tc>
        <w:tc>
          <w:tcPr>
            <w:tcW w:w="1809" w:type="dxa"/>
            <w:vAlign w:val="center"/>
          </w:tcPr>
          <w:p w14:paraId="1C502827">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eastAsia="宋体" w:cs="Times New Roman"/>
                <w:sz w:val="21"/>
                <w:szCs w:val="21"/>
                <w:u w:val="single" w:color="auto"/>
                <w:lang w:val="en-US" w:eastAsia="zh-CN"/>
              </w:rPr>
              <w:t>E112</w:t>
            </w:r>
            <w:r>
              <w:rPr>
                <w:rFonts w:ascii="Times New Roman" w:hAnsi="Times New Roman" w:eastAsia="宋体" w:cs="Times New Roman"/>
                <w:sz w:val="21"/>
                <w:szCs w:val="21"/>
                <w:u w:val="single" w:color="auto"/>
                <w:lang w:eastAsia="zh-CN"/>
              </w:rPr>
              <w:t>°</w:t>
            </w:r>
            <w:r>
              <w:rPr>
                <w:rFonts w:hint="eastAsia" w:ascii="Times New Roman" w:hAnsi="Times New Roman" w:eastAsia="宋体" w:cs="Times New Roman"/>
                <w:sz w:val="21"/>
                <w:szCs w:val="21"/>
                <w:u w:val="single" w:color="auto"/>
                <w:lang w:val="en-US" w:eastAsia="zh-CN"/>
              </w:rPr>
              <w:t>30</w:t>
            </w:r>
            <w:r>
              <w:rPr>
                <w:rFonts w:ascii="Times New Roman" w:hAnsi="Times New Roman" w:eastAsia="宋体" w:cs="Times New Roman"/>
                <w:sz w:val="21"/>
                <w:szCs w:val="21"/>
                <w:u w:val="single" w:color="auto"/>
                <w:lang w:eastAsia="zh-CN"/>
              </w:rPr>
              <w:t>′</w:t>
            </w:r>
            <w:r>
              <w:rPr>
                <w:rFonts w:hint="eastAsia" w:ascii="Times New Roman" w:hAnsi="Times New Roman" w:eastAsia="宋体" w:cs="Times New Roman"/>
                <w:sz w:val="21"/>
                <w:szCs w:val="21"/>
                <w:u w:val="single" w:color="auto"/>
                <w:lang w:val="en-US" w:eastAsia="zh-CN"/>
              </w:rPr>
              <w:t>19.776</w:t>
            </w:r>
            <w:r>
              <w:rPr>
                <w:rFonts w:ascii="Times New Roman" w:hAnsi="Times New Roman" w:eastAsia="宋体" w:cs="Times New Roman"/>
                <w:sz w:val="21"/>
                <w:szCs w:val="21"/>
                <w:u w:val="single" w:color="auto"/>
                <w:lang w:eastAsia="zh-CN"/>
              </w:rPr>
              <w:t>″</w:t>
            </w:r>
            <w:r>
              <w:rPr>
                <w:rFonts w:hint="eastAsia" w:ascii="Times New Roman" w:hAnsi="Times New Roman" w:eastAsia="宋体" w:cs="Times New Roman"/>
                <w:sz w:val="21"/>
                <w:szCs w:val="21"/>
                <w:u w:val="single" w:color="auto"/>
                <w:lang w:val="en-US" w:eastAsia="zh-CN"/>
              </w:rPr>
              <w:t>，N27</w:t>
            </w:r>
            <w:r>
              <w:rPr>
                <w:rFonts w:ascii="Times New Roman" w:hAnsi="Times New Roman" w:eastAsia="宋体" w:cs="Times New Roman"/>
                <w:sz w:val="21"/>
                <w:szCs w:val="21"/>
                <w:u w:val="single" w:color="auto"/>
                <w:lang w:eastAsia="zh-CN"/>
              </w:rPr>
              <w:t>°</w:t>
            </w:r>
            <w:r>
              <w:rPr>
                <w:rFonts w:hint="eastAsia" w:ascii="Times New Roman" w:hAnsi="Times New Roman" w:eastAsia="宋体" w:cs="Times New Roman"/>
                <w:sz w:val="21"/>
                <w:szCs w:val="21"/>
                <w:u w:val="single" w:color="auto"/>
                <w:lang w:val="en-US" w:eastAsia="zh-CN"/>
              </w:rPr>
              <w:t>31</w:t>
            </w:r>
            <w:r>
              <w:rPr>
                <w:rFonts w:ascii="Times New Roman" w:hAnsi="Times New Roman" w:eastAsia="宋体" w:cs="Times New Roman"/>
                <w:sz w:val="21"/>
                <w:szCs w:val="21"/>
                <w:u w:val="single" w:color="auto"/>
                <w:lang w:eastAsia="zh-CN"/>
              </w:rPr>
              <w:t>′</w:t>
            </w:r>
            <w:r>
              <w:rPr>
                <w:rFonts w:hint="eastAsia" w:ascii="Times New Roman" w:hAnsi="Times New Roman" w:eastAsia="宋体" w:cs="Times New Roman"/>
                <w:sz w:val="21"/>
                <w:szCs w:val="21"/>
                <w:u w:val="single" w:color="auto"/>
                <w:lang w:val="en-US" w:eastAsia="zh-CN"/>
              </w:rPr>
              <w:t>25.034</w:t>
            </w:r>
            <w:r>
              <w:rPr>
                <w:rFonts w:ascii="Times New Roman" w:hAnsi="Times New Roman" w:eastAsia="宋体" w:cs="Times New Roman"/>
                <w:sz w:val="21"/>
                <w:szCs w:val="21"/>
                <w:u w:val="single" w:color="auto"/>
                <w:lang w:eastAsia="zh-CN"/>
              </w:rPr>
              <w:t>″</w:t>
            </w:r>
          </w:p>
        </w:tc>
        <w:tc>
          <w:tcPr>
            <w:tcW w:w="871" w:type="dxa"/>
            <w:vAlign w:val="center"/>
          </w:tcPr>
          <w:p w14:paraId="55C080D4">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1723m</w:t>
            </w:r>
          </w:p>
        </w:tc>
        <w:tc>
          <w:tcPr>
            <w:tcW w:w="691" w:type="dxa"/>
            <w:vAlign w:val="center"/>
          </w:tcPr>
          <w:p w14:paraId="69D2BF23">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多</w:t>
            </w:r>
          </w:p>
        </w:tc>
        <w:tc>
          <w:tcPr>
            <w:tcW w:w="638" w:type="dxa"/>
            <w:vAlign w:val="center"/>
          </w:tcPr>
          <w:p w14:paraId="4074870F">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高</w:t>
            </w:r>
          </w:p>
        </w:tc>
        <w:tc>
          <w:tcPr>
            <w:tcW w:w="650" w:type="dxa"/>
            <w:vAlign w:val="center"/>
          </w:tcPr>
          <w:p w14:paraId="7AD21E7C">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难</w:t>
            </w:r>
          </w:p>
        </w:tc>
        <w:tc>
          <w:tcPr>
            <w:tcW w:w="800" w:type="dxa"/>
            <w:vAlign w:val="center"/>
          </w:tcPr>
          <w:p w14:paraId="7ED42ABB">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难维护</w:t>
            </w:r>
          </w:p>
        </w:tc>
        <w:tc>
          <w:tcPr>
            <w:tcW w:w="870" w:type="dxa"/>
            <w:vAlign w:val="center"/>
          </w:tcPr>
          <w:p w14:paraId="72765831">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所在排污口位于青山河源头水保护区，不可新建改扩建排污口</w:t>
            </w:r>
          </w:p>
        </w:tc>
        <w:tc>
          <w:tcPr>
            <w:tcW w:w="730" w:type="dxa"/>
            <w:vAlign w:val="center"/>
          </w:tcPr>
          <w:p w14:paraId="1D8CB8E2">
            <w:pPr>
              <w:autoSpaceDE w:val="0"/>
              <w:autoSpaceDN w:val="0"/>
              <w:snapToGrid w:val="0"/>
              <w:spacing w:line="240" w:lineRule="auto"/>
              <w:jc w:val="center"/>
              <w:rPr>
                <w:rFonts w:hint="default" w:ascii="Times New Roman" w:hAnsi="Times New Roman" w:cs="Times New Roman"/>
                <w:b w:val="0"/>
                <w:bCs w:val="0"/>
                <w:color w:val="auto"/>
                <w:sz w:val="21"/>
                <w:szCs w:val="21"/>
                <w:highlight w:val="none"/>
                <w:u w:val="single" w:color="auto"/>
                <w:vertAlign w:val="baseline"/>
                <w:lang w:val="en-US" w:eastAsia="zh-CN"/>
              </w:rPr>
            </w:pPr>
            <w:r>
              <w:rPr>
                <w:rFonts w:hint="eastAsia" w:ascii="Times New Roman" w:hAnsi="Times New Roman" w:cs="Times New Roman"/>
                <w:b w:val="0"/>
                <w:bCs w:val="0"/>
                <w:color w:val="auto"/>
                <w:sz w:val="21"/>
                <w:szCs w:val="21"/>
                <w:highlight w:val="none"/>
                <w:u w:val="single" w:color="auto"/>
                <w:vertAlign w:val="baseline"/>
                <w:lang w:val="en-US" w:eastAsia="zh-CN"/>
              </w:rPr>
              <w:t>不可行</w:t>
            </w:r>
          </w:p>
        </w:tc>
      </w:tr>
    </w:tbl>
    <w:p w14:paraId="160163F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000000"/>
          <w:sz w:val="24"/>
          <w:szCs w:val="24"/>
          <w:u w:val="none" w:color="auto"/>
          <w:lang w:val="en-US" w:eastAsia="zh-CN"/>
        </w:rPr>
      </w:pPr>
      <w:r>
        <w:rPr>
          <w:rFonts w:hint="default" w:ascii="Times New Roman" w:hAnsi="Times New Roman" w:eastAsia="宋体" w:cs="Times New Roman"/>
          <w:bCs/>
          <w:color w:val="000000"/>
          <w:sz w:val="24"/>
          <w:szCs w:val="24"/>
          <w:u w:val="single" w:color="auto"/>
          <w:lang w:val="en-US" w:eastAsia="zh-CN"/>
        </w:rPr>
        <w:t>由上表的比选结果，本入排污口设置在青山河左岸（坐标：</w:t>
      </w:r>
      <w:r>
        <w:rPr>
          <w:rFonts w:hint="default" w:ascii="Times New Roman" w:hAnsi="Times New Roman" w:eastAsia="宋体" w:cs="Times New Roman"/>
          <w:sz w:val="24"/>
          <w:szCs w:val="24"/>
          <w:u w:val="single" w:color="auto"/>
          <w:lang w:val="en-US" w:eastAsia="zh-CN"/>
        </w:rPr>
        <w:t>E112</w:t>
      </w:r>
      <w:r>
        <w:rPr>
          <w:rFonts w:hint="default" w:ascii="Times New Roman" w:hAnsi="Times New Roman" w:eastAsia="宋体" w:cs="Times New Roman"/>
          <w:sz w:val="24"/>
          <w:szCs w:val="24"/>
          <w:u w:val="single" w:color="auto"/>
          <w:lang w:eastAsia="zh-CN"/>
        </w:rPr>
        <w:t>°</w:t>
      </w:r>
      <w:r>
        <w:rPr>
          <w:rFonts w:hint="default" w:ascii="Times New Roman" w:hAnsi="Times New Roman" w:eastAsia="宋体" w:cs="Times New Roman"/>
          <w:sz w:val="24"/>
          <w:szCs w:val="24"/>
          <w:u w:val="single" w:color="auto"/>
          <w:lang w:val="en-US" w:eastAsia="zh-CN"/>
        </w:rPr>
        <w:t>30</w:t>
      </w:r>
      <w:r>
        <w:rPr>
          <w:rFonts w:hint="default" w:ascii="Times New Roman" w:hAnsi="Times New Roman" w:eastAsia="宋体" w:cs="Times New Roman"/>
          <w:sz w:val="24"/>
          <w:szCs w:val="24"/>
          <w:u w:val="single" w:color="auto"/>
          <w:lang w:eastAsia="zh-CN"/>
        </w:rPr>
        <w:t>′</w:t>
      </w:r>
      <w:r>
        <w:rPr>
          <w:rFonts w:hint="default" w:ascii="Times New Roman" w:hAnsi="Times New Roman" w:eastAsia="宋体" w:cs="Times New Roman"/>
          <w:sz w:val="24"/>
          <w:szCs w:val="24"/>
          <w:u w:val="single" w:color="auto"/>
          <w:lang w:val="en-US" w:eastAsia="zh-CN"/>
        </w:rPr>
        <w:t>56.928</w:t>
      </w:r>
      <w:r>
        <w:rPr>
          <w:rFonts w:hint="default" w:ascii="Times New Roman" w:hAnsi="Times New Roman" w:eastAsia="宋体" w:cs="Times New Roman"/>
          <w:sz w:val="24"/>
          <w:szCs w:val="24"/>
          <w:u w:val="single" w:color="auto"/>
          <w:lang w:eastAsia="zh-CN"/>
        </w:rPr>
        <w:t>″</w:t>
      </w:r>
      <w:r>
        <w:rPr>
          <w:rFonts w:hint="default" w:ascii="Times New Roman" w:hAnsi="Times New Roman" w:eastAsia="宋体" w:cs="Times New Roman"/>
          <w:sz w:val="24"/>
          <w:szCs w:val="24"/>
          <w:u w:val="single" w:color="auto"/>
          <w:lang w:val="en-US" w:eastAsia="zh-CN"/>
        </w:rPr>
        <w:t>，N27</w:t>
      </w:r>
      <w:r>
        <w:rPr>
          <w:rFonts w:hint="default" w:ascii="Times New Roman" w:hAnsi="Times New Roman" w:eastAsia="宋体" w:cs="Times New Roman"/>
          <w:sz w:val="24"/>
          <w:szCs w:val="24"/>
          <w:u w:val="single" w:color="auto"/>
          <w:lang w:eastAsia="zh-CN"/>
        </w:rPr>
        <w:t>°</w:t>
      </w:r>
      <w:r>
        <w:rPr>
          <w:rFonts w:hint="default" w:ascii="Times New Roman" w:hAnsi="Times New Roman" w:eastAsia="宋体" w:cs="Times New Roman"/>
          <w:sz w:val="24"/>
          <w:szCs w:val="24"/>
          <w:u w:val="single" w:color="auto"/>
          <w:lang w:val="en-US" w:eastAsia="zh-CN"/>
        </w:rPr>
        <w:t>30</w:t>
      </w:r>
      <w:r>
        <w:rPr>
          <w:rFonts w:hint="default" w:ascii="Times New Roman" w:hAnsi="Times New Roman" w:eastAsia="宋体" w:cs="Times New Roman"/>
          <w:sz w:val="24"/>
          <w:szCs w:val="24"/>
          <w:u w:val="single" w:color="auto"/>
          <w:lang w:eastAsia="zh-CN"/>
        </w:rPr>
        <w:t>′</w:t>
      </w:r>
      <w:r>
        <w:rPr>
          <w:rFonts w:hint="default" w:ascii="Times New Roman" w:hAnsi="Times New Roman" w:eastAsia="宋体" w:cs="Times New Roman"/>
          <w:sz w:val="24"/>
          <w:szCs w:val="24"/>
          <w:u w:val="single" w:color="auto"/>
          <w:lang w:val="en-US" w:eastAsia="zh-CN"/>
        </w:rPr>
        <w:t>50.536</w:t>
      </w:r>
      <w:r>
        <w:rPr>
          <w:rFonts w:hint="default" w:ascii="Times New Roman" w:hAnsi="Times New Roman" w:eastAsia="宋体" w:cs="Times New Roman"/>
          <w:sz w:val="24"/>
          <w:szCs w:val="24"/>
          <w:u w:val="single" w:color="auto"/>
          <w:lang w:eastAsia="zh-CN"/>
        </w:rPr>
        <w:t>″</w:t>
      </w:r>
      <w:r>
        <w:rPr>
          <w:rFonts w:hint="default" w:ascii="Times New Roman" w:hAnsi="Times New Roman" w:eastAsia="宋体" w:cs="Times New Roman"/>
          <w:bCs/>
          <w:color w:val="000000"/>
          <w:sz w:val="24"/>
          <w:szCs w:val="24"/>
          <w:u w:val="single" w:color="auto"/>
          <w:lang w:val="en-US" w:eastAsia="zh-CN"/>
        </w:rPr>
        <w:t>）合理可行。</w:t>
      </w:r>
    </w:p>
    <w:p w14:paraId="4FB155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000000"/>
          <w:sz w:val="24"/>
          <w:szCs w:val="24"/>
          <w:u w:val="none" w:color="auto"/>
          <w:lang w:val="en-US" w:eastAsia="zh-CN"/>
        </w:rPr>
      </w:pPr>
      <w:r>
        <w:rPr>
          <w:rFonts w:hint="default" w:ascii="Times New Roman" w:hAnsi="Times New Roman" w:eastAsia="宋体" w:cs="Times New Roman"/>
          <w:bCs/>
          <w:color w:val="000000"/>
          <w:sz w:val="24"/>
          <w:szCs w:val="24"/>
          <w:u w:val="none" w:color="auto"/>
          <w:lang w:val="en-US" w:eastAsia="zh-CN"/>
        </w:rPr>
        <w:t>本项目</w:t>
      </w:r>
      <w:r>
        <w:rPr>
          <w:rFonts w:hint="eastAsia" w:ascii="Times New Roman" w:hAnsi="Times New Roman" w:eastAsia="宋体" w:cs="Times New Roman"/>
          <w:bCs/>
          <w:color w:val="000000"/>
          <w:sz w:val="24"/>
          <w:szCs w:val="24"/>
          <w:u w:val="none" w:color="auto"/>
          <w:lang w:val="en-US" w:eastAsia="zh-CN"/>
        </w:rPr>
        <w:t>入河</w:t>
      </w:r>
      <w:r>
        <w:rPr>
          <w:rFonts w:hint="default" w:ascii="Times New Roman" w:hAnsi="Times New Roman" w:eastAsia="宋体" w:cs="Times New Roman"/>
          <w:bCs/>
          <w:color w:val="000000"/>
          <w:sz w:val="24"/>
          <w:szCs w:val="24"/>
          <w:u w:val="none" w:color="auto"/>
          <w:lang w:val="en-US" w:eastAsia="zh-CN"/>
        </w:rPr>
        <w:t>排污口设置在</w:t>
      </w:r>
      <w:r>
        <w:rPr>
          <w:rFonts w:hint="eastAsia" w:ascii="Times New Roman" w:hAnsi="Times New Roman" w:eastAsia="宋体" w:cs="Times New Roman"/>
          <w:bCs/>
          <w:color w:val="000000"/>
          <w:sz w:val="24"/>
          <w:szCs w:val="24"/>
          <w:u w:val="none" w:color="auto"/>
          <w:lang w:val="en-US" w:eastAsia="zh-CN"/>
        </w:rPr>
        <w:t>青山河左岸</w:t>
      </w:r>
      <w:r>
        <w:rPr>
          <w:rFonts w:hint="default" w:ascii="Times New Roman" w:hAnsi="Times New Roman" w:eastAsia="宋体" w:cs="Times New Roman"/>
          <w:bCs/>
          <w:color w:val="000000"/>
          <w:sz w:val="24"/>
          <w:szCs w:val="24"/>
          <w:u w:val="none" w:color="auto"/>
          <w:lang w:val="en-US" w:eastAsia="zh-CN"/>
        </w:rPr>
        <w:t>，外排水经</w:t>
      </w:r>
      <w:r>
        <w:rPr>
          <w:rFonts w:hint="eastAsia" w:ascii="Times New Roman" w:hAnsi="Times New Roman" w:eastAsia="宋体" w:cs="Times New Roman"/>
          <w:bCs/>
          <w:color w:val="000000"/>
          <w:sz w:val="24"/>
          <w:szCs w:val="24"/>
          <w:u w:val="none" w:color="auto"/>
          <w:lang w:val="en-US" w:eastAsia="zh-CN"/>
        </w:rPr>
        <w:t>自建排水管道</w:t>
      </w:r>
      <w:r>
        <w:rPr>
          <w:rFonts w:hint="default" w:ascii="Times New Roman" w:hAnsi="Times New Roman" w:eastAsia="宋体" w:cs="Times New Roman"/>
          <w:bCs/>
          <w:color w:val="000000"/>
          <w:sz w:val="24"/>
          <w:szCs w:val="24"/>
          <w:u w:val="none" w:color="auto"/>
          <w:lang w:val="en-US" w:eastAsia="zh-CN"/>
        </w:rPr>
        <w:t>进入</w:t>
      </w:r>
      <w:r>
        <w:rPr>
          <w:rFonts w:hint="eastAsia" w:ascii="Times New Roman" w:hAnsi="Times New Roman" w:eastAsia="宋体" w:cs="Times New Roman"/>
          <w:bCs/>
          <w:color w:val="000000"/>
          <w:sz w:val="24"/>
          <w:szCs w:val="24"/>
          <w:u w:val="none" w:color="auto"/>
          <w:lang w:val="en-US" w:eastAsia="zh-CN"/>
        </w:rPr>
        <w:t>青山河</w:t>
      </w:r>
      <w:r>
        <w:rPr>
          <w:rFonts w:hint="default" w:ascii="Times New Roman" w:hAnsi="Times New Roman" w:eastAsia="宋体" w:cs="Times New Roman"/>
          <w:bCs/>
          <w:color w:val="000000"/>
          <w:sz w:val="24"/>
          <w:szCs w:val="24"/>
          <w:u w:val="none" w:color="auto"/>
          <w:lang w:val="en-US" w:eastAsia="zh-CN"/>
        </w:rPr>
        <w:t>，排污口设置的基本情况见表</w:t>
      </w:r>
      <w:r>
        <w:rPr>
          <w:rFonts w:hint="eastAsia" w:ascii="Times New Roman" w:hAnsi="Times New Roman" w:eastAsia="宋体" w:cs="Times New Roman"/>
          <w:bCs/>
          <w:color w:val="000000"/>
          <w:sz w:val="24"/>
          <w:szCs w:val="24"/>
          <w:u w:val="none" w:color="auto"/>
          <w:lang w:val="en-US" w:eastAsia="zh-CN"/>
        </w:rPr>
        <w:t>5.1</w:t>
      </w:r>
      <w:r>
        <w:rPr>
          <w:rFonts w:hint="default" w:ascii="Times New Roman" w:hAnsi="Times New Roman" w:eastAsia="宋体" w:cs="Times New Roman"/>
          <w:bCs/>
          <w:color w:val="000000"/>
          <w:sz w:val="24"/>
          <w:szCs w:val="24"/>
          <w:u w:val="none" w:color="auto"/>
          <w:lang w:val="en-US" w:eastAsia="zh-CN"/>
        </w:rPr>
        <w:t>-1。</w:t>
      </w:r>
    </w:p>
    <w:p w14:paraId="287BE4F4">
      <w:pPr>
        <w:autoSpaceDE w:val="0"/>
        <w:autoSpaceDN w:val="0"/>
        <w:snapToGrid w:val="0"/>
        <w:spacing w:line="240" w:lineRule="auto"/>
        <w:jc w:val="center"/>
        <w:rPr>
          <w:rFonts w:hint="default" w:ascii="Times New Roman" w:hAnsi="Times New Roman" w:cs="Times New Roman"/>
          <w:b/>
          <w:bCs/>
          <w:color w:val="auto"/>
          <w:sz w:val="21"/>
          <w:szCs w:val="21"/>
          <w:highlight w:val="none"/>
          <w:u w:val="none" w:color="auto"/>
        </w:rPr>
      </w:pPr>
      <w:r>
        <w:rPr>
          <w:rFonts w:hint="default" w:ascii="Times New Roman" w:hAnsi="Times New Roman" w:cs="Times New Roman"/>
          <w:b/>
          <w:bCs/>
          <w:color w:val="auto"/>
          <w:sz w:val="21"/>
          <w:szCs w:val="21"/>
          <w:highlight w:val="none"/>
          <w:u w:val="none" w:color="auto"/>
        </w:rPr>
        <w:t>表</w:t>
      </w:r>
      <w:r>
        <w:rPr>
          <w:rFonts w:hint="eastAsia" w:ascii="Times New Roman" w:hAnsi="Times New Roman" w:cs="Times New Roman"/>
          <w:b/>
          <w:bCs/>
          <w:color w:val="auto"/>
          <w:sz w:val="21"/>
          <w:szCs w:val="21"/>
          <w:highlight w:val="none"/>
          <w:u w:val="none" w:color="auto"/>
          <w:lang w:val="en-US" w:eastAsia="zh-CN"/>
        </w:rPr>
        <w:t>5.1</w:t>
      </w:r>
      <w:r>
        <w:rPr>
          <w:rFonts w:hint="default" w:ascii="Times New Roman" w:hAnsi="Times New Roman" w:cs="Times New Roman"/>
          <w:b/>
          <w:bCs/>
          <w:color w:val="auto"/>
          <w:sz w:val="21"/>
          <w:szCs w:val="21"/>
          <w:highlight w:val="none"/>
          <w:u w:val="none" w:color="auto"/>
          <w:lang w:val="en-US" w:eastAsia="zh-CN"/>
        </w:rPr>
        <w:t>-1</w:t>
      </w:r>
      <w:r>
        <w:rPr>
          <w:rFonts w:hint="default" w:ascii="Times New Roman" w:hAnsi="Times New Roman" w:cs="Times New Roman"/>
          <w:b/>
          <w:bCs/>
          <w:color w:val="auto"/>
          <w:sz w:val="21"/>
          <w:szCs w:val="21"/>
          <w:highlight w:val="none"/>
          <w:u w:val="none" w:color="auto"/>
        </w:rPr>
        <w:t xml:space="preserve"> 排污口设置情况表</w:t>
      </w:r>
    </w:p>
    <w:tbl>
      <w:tblPr>
        <w:tblStyle w:val="24"/>
        <w:tblW w:w="5135"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530"/>
        <w:gridCol w:w="2837"/>
        <w:gridCol w:w="1907"/>
        <w:gridCol w:w="2270"/>
      </w:tblGrid>
      <w:tr w14:paraId="17D723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95" w:type="pct"/>
            <w:tcBorders>
              <w:tl2br w:val="nil"/>
              <w:tr2bl w:val="nil"/>
            </w:tcBorders>
            <w:noWrap w:val="0"/>
            <w:vAlign w:val="center"/>
          </w:tcPr>
          <w:p w14:paraId="20C6D285">
            <w:pPr>
              <w:autoSpaceDE w:val="0"/>
              <w:autoSpaceDN w:val="0"/>
              <w:snapToGrid w:val="0"/>
              <w:jc w:val="center"/>
              <w:rPr>
                <w:rFonts w:hint="default"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入河排污口名称</w:t>
            </w:r>
          </w:p>
        </w:tc>
        <w:tc>
          <w:tcPr>
            <w:tcW w:w="4104" w:type="pct"/>
            <w:gridSpan w:val="3"/>
            <w:tcBorders>
              <w:tl2br w:val="nil"/>
              <w:tr2bl w:val="nil"/>
            </w:tcBorders>
            <w:noWrap w:val="0"/>
            <w:vAlign w:val="center"/>
          </w:tcPr>
          <w:p w14:paraId="00BC7E5E">
            <w:pPr>
              <w:autoSpaceDE w:val="0"/>
              <w:autoSpaceDN w:val="0"/>
              <w:snapToGrid w:val="0"/>
              <w:jc w:val="center"/>
              <w:rPr>
                <w:rFonts w:hint="default" w:ascii="Times New Roman" w:hAnsi="Times New Roman" w:cs="Times New Roman"/>
                <w:b w:val="0"/>
                <w:bCs w:val="0"/>
                <w:color w:val="auto"/>
                <w:sz w:val="21"/>
                <w:szCs w:val="21"/>
                <w:highlight w:val="none"/>
                <w:u w:val="none" w:color="auto"/>
              </w:rPr>
            </w:pPr>
            <w:r>
              <w:rPr>
                <w:rFonts w:hint="eastAsia" w:ascii="Times New Roman" w:hAnsi="Times New Roman" w:eastAsia="宋体" w:cs="Times New Roman"/>
                <w:color w:val="auto"/>
                <w:sz w:val="21"/>
                <w:szCs w:val="21"/>
                <w:u w:val="none" w:color="auto"/>
                <w:lang w:val="en-US" w:eastAsia="zh-CN"/>
              </w:rPr>
              <w:t>湘潭县怡和顺科技有限公司</w:t>
            </w:r>
            <w:r>
              <w:rPr>
                <w:rFonts w:hint="default" w:ascii="Times New Roman" w:hAnsi="Times New Roman" w:eastAsia="宋体" w:cs="Times New Roman"/>
                <w:color w:val="auto"/>
                <w:sz w:val="21"/>
                <w:szCs w:val="21"/>
                <w:u w:val="none" w:color="auto"/>
                <w:lang w:eastAsia="zh-CN"/>
              </w:rPr>
              <w:t>入河排污口</w:t>
            </w:r>
          </w:p>
        </w:tc>
      </w:tr>
      <w:tr w14:paraId="5F811B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3" w:hRule="atLeast"/>
        </w:trPr>
        <w:tc>
          <w:tcPr>
            <w:tcW w:w="895" w:type="pct"/>
            <w:tcBorders>
              <w:tl2br w:val="nil"/>
              <w:tr2bl w:val="nil"/>
            </w:tcBorders>
            <w:noWrap w:val="0"/>
            <w:vAlign w:val="center"/>
          </w:tcPr>
          <w:p w14:paraId="5A7F5DA4">
            <w:pPr>
              <w:autoSpaceDE w:val="0"/>
              <w:autoSpaceDN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入河排污口分类</w:t>
            </w:r>
          </w:p>
        </w:tc>
        <w:tc>
          <w:tcPr>
            <w:tcW w:w="1660" w:type="pct"/>
            <w:tcBorders>
              <w:tl2br w:val="nil"/>
              <w:tr2bl w:val="nil"/>
            </w:tcBorders>
            <w:noWrap w:val="0"/>
            <w:vAlign w:val="center"/>
          </w:tcPr>
          <w:p w14:paraId="4C34E0B1">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工业排污口</w:t>
            </w:r>
          </w:p>
        </w:tc>
        <w:tc>
          <w:tcPr>
            <w:tcW w:w="1116" w:type="pct"/>
            <w:tcBorders>
              <w:tl2br w:val="nil"/>
              <w:tr2bl w:val="nil"/>
            </w:tcBorders>
            <w:noWrap w:val="0"/>
            <w:vAlign w:val="center"/>
          </w:tcPr>
          <w:p w14:paraId="610EEE8B">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入河排污口类型</w:t>
            </w:r>
          </w:p>
        </w:tc>
        <w:tc>
          <w:tcPr>
            <w:tcW w:w="1327" w:type="pct"/>
            <w:tcBorders>
              <w:tl2br w:val="nil"/>
              <w:tr2bl w:val="nil"/>
            </w:tcBorders>
            <w:noWrap w:val="0"/>
            <w:vAlign w:val="center"/>
          </w:tcPr>
          <w:p w14:paraId="688FCB37">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新建</w:t>
            </w:r>
          </w:p>
        </w:tc>
      </w:tr>
      <w:tr w14:paraId="042A04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95" w:type="pct"/>
            <w:tcBorders>
              <w:tl2br w:val="nil"/>
              <w:tr2bl w:val="nil"/>
            </w:tcBorders>
            <w:noWrap w:val="0"/>
            <w:vAlign w:val="center"/>
          </w:tcPr>
          <w:p w14:paraId="10B11F92">
            <w:pPr>
              <w:autoSpaceDE w:val="0"/>
              <w:autoSpaceDN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入河排污口位置</w:t>
            </w:r>
          </w:p>
        </w:tc>
        <w:tc>
          <w:tcPr>
            <w:tcW w:w="4104" w:type="pct"/>
            <w:gridSpan w:val="3"/>
            <w:tcBorders>
              <w:tl2br w:val="nil"/>
              <w:tr2bl w:val="nil"/>
            </w:tcBorders>
            <w:noWrap w:val="0"/>
            <w:vAlign w:val="center"/>
          </w:tcPr>
          <w:p w14:paraId="24509662">
            <w:pPr>
              <w:jc w:val="center"/>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cs="Times New Roman"/>
                <w:color w:val="auto"/>
                <w:sz w:val="21"/>
                <w:szCs w:val="21"/>
                <w:highlight w:val="none"/>
                <w:u w:val="none" w:color="auto"/>
                <w:lang w:val="en-US" w:eastAsia="zh-CN"/>
              </w:rPr>
              <w:t>湘潭县</w:t>
            </w:r>
            <w:r>
              <w:rPr>
                <w:rFonts w:hint="eastAsia" w:ascii="Times New Roman" w:hAnsi="Times New Roman" w:cs="Times New Roman"/>
                <w:color w:val="auto"/>
                <w:sz w:val="21"/>
                <w:szCs w:val="21"/>
                <w:highlight w:val="none"/>
                <w:u w:val="none" w:color="auto"/>
                <w:lang w:val="en-US" w:eastAsia="zh-CN"/>
              </w:rPr>
              <w:t>石鼓镇</w:t>
            </w:r>
            <w:r>
              <w:rPr>
                <w:rFonts w:hint="default" w:ascii="Times New Roman" w:hAnsi="Times New Roman" w:eastAsia="宋体" w:cs="Times New Roman"/>
                <w:sz w:val="21"/>
                <w:szCs w:val="21"/>
                <w:u w:val="none" w:color="auto"/>
                <w:lang w:val="en-US" w:eastAsia="zh-CN"/>
              </w:rPr>
              <w:t>E112</w:t>
            </w:r>
            <w:r>
              <w:rPr>
                <w:rFonts w:hint="default" w:ascii="Times New Roman" w:hAnsi="Times New Roman" w:eastAsia="宋体" w:cs="Times New Roman"/>
                <w:sz w:val="21"/>
                <w:szCs w:val="21"/>
                <w:u w:val="none" w:color="auto"/>
                <w:lang w:eastAsia="zh-CN"/>
              </w:rPr>
              <w:t>°</w:t>
            </w:r>
            <w:r>
              <w:rPr>
                <w:rFonts w:hint="default" w:ascii="Times New Roman" w:hAnsi="Times New Roman" w:eastAsia="宋体" w:cs="Times New Roman"/>
                <w:sz w:val="21"/>
                <w:szCs w:val="21"/>
                <w:u w:val="none" w:color="auto"/>
                <w:lang w:val="en-US" w:eastAsia="zh-CN"/>
              </w:rPr>
              <w:t>30</w:t>
            </w:r>
            <w:r>
              <w:rPr>
                <w:rFonts w:hint="default" w:ascii="Times New Roman" w:hAnsi="Times New Roman" w:eastAsia="宋体" w:cs="Times New Roman"/>
                <w:sz w:val="21"/>
                <w:szCs w:val="21"/>
                <w:u w:val="none" w:color="auto"/>
                <w:lang w:eastAsia="zh-CN"/>
              </w:rPr>
              <w:t>′</w:t>
            </w:r>
            <w:r>
              <w:rPr>
                <w:rFonts w:hint="default" w:ascii="Times New Roman" w:hAnsi="Times New Roman" w:eastAsia="宋体" w:cs="Times New Roman"/>
                <w:sz w:val="21"/>
                <w:szCs w:val="21"/>
                <w:u w:val="none" w:color="auto"/>
                <w:lang w:val="en-US" w:eastAsia="zh-CN"/>
              </w:rPr>
              <w:t>56.928</w:t>
            </w:r>
            <w:r>
              <w:rPr>
                <w:rFonts w:hint="default" w:ascii="Times New Roman" w:hAnsi="Times New Roman" w:eastAsia="宋体" w:cs="Times New Roman"/>
                <w:sz w:val="21"/>
                <w:szCs w:val="21"/>
                <w:u w:val="none" w:color="auto"/>
                <w:lang w:eastAsia="zh-CN"/>
              </w:rPr>
              <w:t>″</w:t>
            </w:r>
            <w:r>
              <w:rPr>
                <w:rFonts w:hint="default" w:ascii="Times New Roman" w:hAnsi="Times New Roman" w:eastAsia="宋体" w:cs="Times New Roman"/>
                <w:sz w:val="21"/>
                <w:szCs w:val="21"/>
                <w:u w:val="none" w:color="auto"/>
                <w:lang w:val="en-US" w:eastAsia="zh-CN"/>
              </w:rPr>
              <w:t>，N27</w:t>
            </w:r>
            <w:r>
              <w:rPr>
                <w:rFonts w:hint="default" w:ascii="Times New Roman" w:hAnsi="Times New Roman" w:eastAsia="宋体" w:cs="Times New Roman"/>
                <w:sz w:val="21"/>
                <w:szCs w:val="21"/>
                <w:u w:val="none" w:color="auto"/>
                <w:lang w:eastAsia="zh-CN"/>
              </w:rPr>
              <w:t>°</w:t>
            </w:r>
            <w:r>
              <w:rPr>
                <w:rFonts w:hint="default" w:ascii="Times New Roman" w:hAnsi="Times New Roman" w:eastAsia="宋体" w:cs="Times New Roman"/>
                <w:sz w:val="21"/>
                <w:szCs w:val="21"/>
                <w:u w:val="none" w:color="auto"/>
                <w:lang w:val="en-US" w:eastAsia="zh-CN"/>
              </w:rPr>
              <w:t>30</w:t>
            </w:r>
            <w:r>
              <w:rPr>
                <w:rFonts w:hint="default" w:ascii="Times New Roman" w:hAnsi="Times New Roman" w:eastAsia="宋体" w:cs="Times New Roman"/>
                <w:sz w:val="21"/>
                <w:szCs w:val="21"/>
                <w:u w:val="none" w:color="auto"/>
                <w:lang w:eastAsia="zh-CN"/>
              </w:rPr>
              <w:t>′</w:t>
            </w:r>
            <w:r>
              <w:rPr>
                <w:rFonts w:hint="default" w:ascii="Times New Roman" w:hAnsi="Times New Roman" w:eastAsia="宋体" w:cs="Times New Roman"/>
                <w:sz w:val="21"/>
                <w:szCs w:val="21"/>
                <w:u w:val="none" w:color="auto"/>
                <w:lang w:val="en-US" w:eastAsia="zh-CN"/>
              </w:rPr>
              <w:t>50.536</w:t>
            </w:r>
            <w:r>
              <w:rPr>
                <w:rFonts w:hint="default" w:ascii="Times New Roman" w:hAnsi="Times New Roman" w:eastAsia="宋体" w:cs="Times New Roman"/>
                <w:sz w:val="21"/>
                <w:szCs w:val="21"/>
                <w:u w:val="none" w:color="auto"/>
                <w:lang w:eastAsia="zh-CN"/>
              </w:rPr>
              <w:t>″</w:t>
            </w:r>
          </w:p>
        </w:tc>
      </w:tr>
      <w:tr w14:paraId="55D08C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3" w:hRule="atLeast"/>
        </w:trPr>
        <w:tc>
          <w:tcPr>
            <w:tcW w:w="895" w:type="pct"/>
            <w:tcBorders>
              <w:tl2br w:val="nil"/>
              <w:tr2bl w:val="nil"/>
            </w:tcBorders>
            <w:noWrap w:val="0"/>
            <w:vAlign w:val="center"/>
          </w:tcPr>
          <w:p w14:paraId="7673695B">
            <w:pPr>
              <w:autoSpaceDE w:val="0"/>
              <w:autoSpaceDN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排放方式</w:t>
            </w:r>
          </w:p>
        </w:tc>
        <w:tc>
          <w:tcPr>
            <w:tcW w:w="1660" w:type="pct"/>
            <w:tcBorders>
              <w:tl2br w:val="nil"/>
              <w:tr2bl w:val="nil"/>
            </w:tcBorders>
            <w:noWrap w:val="0"/>
            <w:vAlign w:val="center"/>
          </w:tcPr>
          <w:p w14:paraId="1948E98B">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single" w:color="auto"/>
                <w:lang w:val="en-US" w:eastAsia="zh-CN"/>
              </w:rPr>
              <w:t>连续排放，流量不稳定且无规律，但不属于冲击型排放</w:t>
            </w:r>
          </w:p>
        </w:tc>
        <w:tc>
          <w:tcPr>
            <w:tcW w:w="1116" w:type="pct"/>
            <w:tcBorders>
              <w:tl2br w:val="nil"/>
              <w:tr2bl w:val="nil"/>
            </w:tcBorders>
            <w:noWrap w:val="0"/>
            <w:vAlign w:val="center"/>
          </w:tcPr>
          <w:p w14:paraId="7ECD08F4">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入河方式</w:t>
            </w:r>
          </w:p>
        </w:tc>
        <w:tc>
          <w:tcPr>
            <w:tcW w:w="1327" w:type="pct"/>
            <w:tcBorders>
              <w:tl2br w:val="nil"/>
              <w:tr2bl w:val="nil"/>
            </w:tcBorders>
            <w:noWrap w:val="0"/>
            <w:vAlign w:val="center"/>
          </w:tcPr>
          <w:p w14:paraId="056D0C68">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管道</w:t>
            </w:r>
          </w:p>
        </w:tc>
      </w:tr>
      <w:tr w14:paraId="478A48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95" w:type="pct"/>
            <w:tcBorders>
              <w:tl2br w:val="nil"/>
              <w:tr2bl w:val="nil"/>
            </w:tcBorders>
            <w:noWrap w:val="0"/>
            <w:vAlign w:val="center"/>
          </w:tcPr>
          <w:p w14:paraId="5793545E">
            <w:pPr>
              <w:autoSpaceDE w:val="0"/>
              <w:autoSpaceDN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排放水功能区</w:t>
            </w:r>
          </w:p>
          <w:p w14:paraId="413F5520">
            <w:pPr>
              <w:autoSpaceDE w:val="0"/>
              <w:autoSpaceDN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名称</w:t>
            </w:r>
          </w:p>
        </w:tc>
        <w:tc>
          <w:tcPr>
            <w:tcW w:w="4104" w:type="pct"/>
            <w:gridSpan w:val="3"/>
            <w:tcBorders>
              <w:tl2br w:val="nil"/>
              <w:tr2bl w:val="nil"/>
            </w:tcBorders>
            <w:noWrap w:val="0"/>
            <w:vAlign w:val="center"/>
          </w:tcPr>
          <w:p w14:paraId="6A8060D3">
            <w:pPr>
              <w:autoSpaceDE w:val="0"/>
              <w:autoSpaceDN w:val="0"/>
              <w:snapToGrid w:val="0"/>
              <w:jc w:val="center"/>
              <w:rPr>
                <w:rFonts w:hint="default" w:ascii="Times New Roman" w:hAnsi="Times New Roman" w:cs="Times New Roman"/>
                <w:color w:val="auto"/>
                <w:sz w:val="21"/>
                <w:szCs w:val="21"/>
                <w:highlight w:val="none"/>
                <w:u w:val="none" w:color="auto"/>
              </w:rPr>
            </w:pPr>
            <w:r>
              <w:rPr>
                <w:rFonts w:hint="eastAsia" w:ascii="Times New Roman" w:hAnsi="Times New Roman" w:cs="Times New Roman"/>
                <w:color w:val="auto"/>
                <w:sz w:val="21"/>
                <w:szCs w:val="21"/>
                <w:highlight w:val="none"/>
                <w:u w:val="none" w:color="auto"/>
                <w:lang w:val="en-US" w:eastAsia="zh-CN"/>
              </w:rPr>
              <w:t>青山河湘潭县保留区</w:t>
            </w:r>
          </w:p>
        </w:tc>
      </w:tr>
      <w:tr w14:paraId="696782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 w:hRule="atLeast"/>
        </w:trPr>
        <w:tc>
          <w:tcPr>
            <w:tcW w:w="895" w:type="pct"/>
            <w:tcBorders>
              <w:tl2br w:val="nil"/>
              <w:tr2bl w:val="nil"/>
            </w:tcBorders>
            <w:noWrap w:val="0"/>
            <w:vAlign w:val="center"/>
          </w:tcPr>
          <w:p w14:paraId="718150CF">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排入水体基本</w:t>
            </w:r>
          </w:p>
          <w:p w14:paraId="6A79DE32">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情况</w:t>
            </w:r>
          </w:p>
        </w:tc>
        <w:tc>
          <w:tcPr>
            <w:tcW w:w="4104" w:type="pct"/>
            <w:gridSpan w:val="3"/>
            <w:tcBorders>
              <w:tl2br w:val="nil"/>
              <w:tr2bl w:val="nil"/>
            </w:tcBorders>
            <w:noWrap w:val="0"/>
            <w:vAlign w:val="center"/>
          </w:tcPr>
          <w:p w14:paraId="46A70365">
            <w:pPr>
              <w:autoSpaceDE w:val="0"/>
              <w:autoSpaceDN w:val="0"/>
              <w:snapToGrid w:val="0"/>
              <w:jc w:val="center"/>
              <w:rPr>
                <w:rFonts w:hint="default" w:ascii="Times New Roman" w:hAnsi="Times New Roman" w:cs="Times New Roman"/>
                <w:color w:val="auto"/>
                <w:sz w:val="21"/>
                <w:szCs w:val="21"/>
                <w:highlight w:val="none"/>
                <w:u w:val="none" w:color="auto"/>
                <w:lang w:val="en-US"/>
              </w:rPr>
            </w:pPr>
            <w:r>
              <w:rPr>
                <w:rFonts w:hint="default" w:ascii="Times New Roman" w:hAnsi="Times New Roman" w:cs="Times New Roman"/>
                <w:color w:val="auto"/>
                <w:sz w:val="21"/>
                <w:szCs w:val="21"/>
                <w:highlight w:val="none"/>
                <w:u w:val="none" w:color="auto"/>
                <w:lang w:val="en-US"/>
              </w:rPr>
              <w:t>青山河是湖南省湘潭县石鼓镇境内河流，属涓水一级支流，发源于该镇歇马村铜梁水库，经溢洪道下泄后与周边水系及歇马河汇流形成。河流总长28.1公里，流域面积282平方公里，流经歇马村、福宵、石鼓、高屯等14个行政村，最终于晓南村晓南坝注入涓水，灌溉农田1.78万亩</w:t>
            </w:r>
          </w:p>
        </w:tc>
      </w:tr>
      <w:tr w14:paraId="2F3286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2" w:hRule="atLeast"/>
        </w:trPr>
        <w:tc>
          <w:tcPr>
            <w:tcW w:w="895" w:type="pct"/>
            <w:tcBorders>
              <w:tl2br w:val="nil"/>
              <w:tr2bl w:val="nil"/>
            </w:tcBorders>
            <w:noWrap w:val="0"/>
            <w:vAlign w:val="center"/>
          </w:tcPr>
          <w:p w14:paraId="521C5E51">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水质保护目标</w:t>
            </w:r>
          </w:p>
        </w:tc>
        <w:tc>
          <w:tcPr>
            <w:tcW w:w="4104" w:type="pct"/>
            <w:gridSpan w:val="3"/>
            <w:tcBorders>
              <w:tl2br w:val="nil"/>
              <w:tr2bl w:val="nil"/>
            </w:tcBorders>
            <w:noWrap w:val="0"/>
            <w:vAlign w:val="center"/>
          </w:tcPr>
          <w:p w14:paraId="60E26ED3">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cs="Times New Roman"/>
                <w:color w:val="auto"/>
                <w:sz w:val="21"/>
                <w:szCs w:val="21"/>
                <w:highlight w:val="none"/>
                <w:u w:val="none" w:color="auto"/>
              </w:rPr>
              <w:t>水质目标为《地表水环境质量标准》（GB3832-2002）III类水质。</w:t>
            </w:r>
          </w:p>
        </w:tc>
      </w:tr>
      <w:tr w14:paraId="04ABA4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5" w:hRule="atLeast"/>
        </w:trPr>
        <w:tc>
          <w:tcPr>
            <w:tcW w:w="895" w:type="pct"/>
            <w:tcBorders>
              <w:tl2br w:val="nil"/>
              <w:tr2bl w:val="nil"/>
            </w:tcBorders>
            <w:noWrap w:val="0"/>
            <w:vAlign w:val="center"/>
          </w:tcPr>
          <w:p w14:paraId="685D49E2">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污水设计规模</w:t>
            </w:r>
          </w:p>
        </w:tc>
        <w:tc>
          <w:tcPr>
            <w:tcW w:w="1660" w:type="pct"/>
            <w:tcBorders>
              <w:tl2br w:val="nil"/>
              <w:tr2bl w:val="nil"/>
            </w:tcBorders>
            <w:noWrap w:val="0"/>
            <w:vAlign w:val="center"/>
          </w:tcPr>
          <w:p w14:paraId="4C935B85">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15m</w:t>
            </w:r>
            <w:r>
              <w:rPr>
                <w:rFonts w:hint="eastAsia" w:ascii="Times New Roman" w:hAnsi="Times New Roman" w:eastAsia="宋体" w:cs="Times New Roman"/>
                <w:color w:val="auto"/>
                <w:sz w:val="21"/>
                <w:szCs w:val="21"/>
                <w:highlight w:val="none"/>
                <w:u w:val="none" w:color="auto"/>
                <w:vertAlign w:val="superscript"/>
                <w:lang w:val="en-US" w:eastAsia="zh-CN"/>
              </w:rPr>
              <w:t>3</w:t>
            </w:r>
            <w:r>
              <w:rPr>
                <w:rFonts w:hint="eastAsia" w:ascii="Times New Roman" w:hAnsi="Times New Roman" w:eastAsia="宋体" w:cs="Times New Roman"/>
                <w:color w:val="auto"/>
                <w:sz w:val="21"/>
                <w:szCs w:val="21"/>
                <w:highlight w:val="none"/>
                <w:u w:val="none" w:color="auto"/>
                <w:lang w:val="en-US" w:eastAsia="zh-CN"/>
              </w:rPr>
              <w:t>/d</w:t>
            </w:r>
          </w:p>
        </w:tc>
        <w:tc>
          <w:tcPr>
            <w:tcW w:w="1116" w:type="pct"/>
            <w:tcBorders>
              <w:tl2br w:val="nil"/>
              <w:tr2bl w:val="nil"/>
            </w:tcBorders>
            <w:noWrap w:val="0"/>
            <w:vAlign w:val="center"/>
          </w:tcPr>
          <w:p w14:paraId="30DB47C5">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外排尾水规模</w:t>
            </w:r>
          </w:p>
        </w:tc>
        <w:tc>
          <w:tcPr>
            <w:tcW w:w="1327" w:type="pct"/>
            <w:tcBorders>
              <w:tl2br w:val="nil"/>
              <w:tr2bl w:val="nil"/>
            </w:tcBorders>
            <w:noWrap w:val="0"/>
            <w:vAlign w:val="center"/>
          </w:tcPr>
          <w:p w14:paraId="3DD70F73">
            <w:pPr>
              <w:autoSpaceDE w:val="0"/>
              <w:autoSpaceDN w:val="0"/>
              <w:snapToGrid w:val="0"/>
              <w:jc w:val="center"/>
              <w:rPr>
                <w:rFonts w:hint="default" w:ascii="Times New Roman" w:hAnsi="Times New Roman" w:cs="Times New Roman"/>
                <w:color w:val="auto"/>
                <w:sz w:val="21"/>
                <w:szCs w:val="21"/>
                <w:highlight w:val="none"/>
                <w:u w:val="none" w:color="auto"/>
              </w:rPr>
            </w:pPr>
            <w:r>
              <w:rPr>
                <w:rFonts w:hint="eastAsia" w:ascii="Times New Roman" w:hAnsi="Times New Roman" w:eastAsia="宋体" w:cs="Times New Roman"/>
                <w:color w:val="auto"/>
                <w:sz w:val="21"/>
                <w:szCs w:val="21"/>
                <w:highlight w:val="none"/>
                <w:u w:val="none" w:color="auto"/>
                <w:lang w:val="en-US" w:eastAsia="zh-CN"/>
              </w:rPr>
              <w:t>9.25</w:t>
            </w:r>
            <w:r>
              <w:rPr>
                <w:rFonts w:hint="default" w:ascii="Times New Roman" w:hAnsi="Times New Roman" w:eastAsia="宋体" w:cs="Times New Roman"/>
                <w:color w:val="auto"/>
                <w:sz w:val="21"/>
                <w:szCs w:val="21"/>
                <w:highlight w:val="none"/>
                <w:u w:val="none" w:color="auto"/>
                <w:lang w:val="en-US" w:eastAsia="zh-CN"/>
              </w:rPr>
              <w:t>m</w:t>
            </w:r>
            <w:r>
              <w:rPr>
                <w:rFonts w:hint="default" w:ascii="Times New Roman" w:hAnsi="Times New Roman" w:eastAsia="宋体" w:cs="Times New Roman"/>
                <w:color w:val="auto"/>
                <w:sz w:val="21"/>
                <w:szCs w:val="21"/>
                <w:highlight w:val="none"/>
                <w:u w:val="none" w:color="auto"/>
                <w:vertAlign w:val="superscript"/>
                <w:lang w:val="en-US" w:eastAsia="zh-CN"/>
              </w:rPr>
              <w:t>3</w:t>
            </w:r>
            <w:r>
              <w:rPr>
                <w:rFonts w:hint="default" w:ascii="Times New Roman" w:hAnsi="Times New Roman" w:eastAsia="宋体" w:cs="Times New Roman"/>
                <w:color w:val="auto"/>
                <w:sz w:val="21"/>
                <w:szCs w:val="21"/>
                <w:highlight w:val="none"/>
                <w:u w:val="none" w:color="auto"/>
                <w:lang w:val="en-US" w:eastAsia="zh-CN"/>
              </w:rPr>
              <w:t>/d</w:t>
            </w:r>
          </w:p>
        </w:tc>
      </w:tr>
      <w:tr w14:paraId="1F8D07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76" w:hRule="atLeast"/>
        </w:trPr>
        <w:tc>
          <w:tcPr>
            <w:tcW w:w="895" w:type="pct"/>
            <w:tcBorders>
              <w:tl2br w:val="nil"/>
              <w:tr2bl w:val="nil"/>
            </w:tcBorders>
            <w:noWrap w:val="0"/>
            <w:vAlign w:val="center"/>
          </w:tcPr>
          <w:p w14:paraId="545E36F8">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污水处理工艺</w:t>
            </w:r>
          </w:p>
        </w:tc>
        <w:tc>
          <w:tcPr>
            <w:tcW w:w="4104" w:type="pct"/>
            <w:gridSpan w:val="3"/>
            <w:tcBorders>
              <w:tl2br w:val="nil"/>
              <w:tr2bl w:val="nil"/>
            </w:tcBorders>
            <w:noWrap w:val="0"/>
            <w:vAlign w:val="center"/>
          </w:tcPr>
          <w:p w14:paraId="628E5C93">
            <w:pPr>
              <w:autoSpaceDE w:val="0"/>
              <w:autoSpaceDN w:val="0"/>
              <w:snapToGrid w:val="0"/>
              <w:jc w:val="center"/>
              <w:rPr>
                <w:rFonts w:hint="default" w:ascii="Times New Roman" w:hAnsi="Times New Roman" w:eastAsia="宋体" w:cs="Times New Roman"/>
                <w:color w:val="auto"/>
                <w:sz w:val="21"/>
                <w:szCs w:val="21"/>
                <w:highlight w:val="none"/>
                <w:u w:val="none" w:color="auto"/>
                <w:lang w:eastAsia="zh-CN"/>
              </w:rPr>
            </w:pPr>
            <w:r>
              <w:rPr>
                <w:rFonts w:hint="default" w:ascii="Times New Roman" w:hAnsi="Times New Roman" w:cs="Times New Roman"/>
                <w:color w:val="auto"/>
                <w:sz w:val="21"/>
                <w:szCs w:val="21"/>
                <w:u w:val="single" w:color="auto"/>
                <w:lang w:val="en-US" w:eastAsia="zh-CN"/>
              </w:rPr>
              <w:t>“格栅+隔油调节+絮凝沉淀+斜管沉淀+微纳米臭氧氧化系统+曝气+膜处理+厌氧+缺氧+好氧+沉淀+植物净化”</w:t>
            </w:r>
          </w:p>
        </w:tc>
      </w:tr>
      <w:tr w14:paraId="0D116F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9" w:hRule="atLeast"/>
        </w:trPr>
        <w:tc>
          <w:tcPr>
            <w:tcW w:w="895" w:type="pct"/>
            <w:tcBorders>
              <w:tl2br w:val="nil"/>
              <w:tr2bl w:val="nil"/>
            </w:tcBorders>
            <w:noWrap w:val="0"/>
            <w:vAlign w:val="center"/>
          </w:tcPr>
          <w:p w14:paraId="3905594C">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执行标准</w:t>
            </w:r>
          </w:p>
        </w:tc>
        <w:tc>
          <w:tcPr>
            <w:tcW w:w="4104" w:type="pct"/>
            <w:gridSpan w:val="3"/>
            <w:tcBorders>
              <w:tl2br w:val="nil"/>
              <w:tr2bl w:val="nil"/>
            </w:tcBorders>
            <w:noWrap w:val="0"/>
            <w:vAlign w:val="center"/>
          </w:tcPr>
          <w:p w14:paraId="12752EBB">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水质污染物满足</w:t>
            </w:r>
            <w:r>
              <w:rPr>
                <w:rFonts w:hint="eastAsia" w:ascii="Times New Roman" w:hAnsi="Times New Roman" w:eastAsia="宋体" w:cs="Times New Roman"/>
                <w:color w:val="auto"/>
                <w:sz w:val="21"/>
                <w:szCs w:val="21"/>
                <w:highlight w:val="none"/>
                <w:u w:val="none" w:color="auto"/>
                <w:lang w:val="en-US" w:eastAsia="zh-CN"/>
              </w:rPr>
              <w:t>《食品加工制造业水污染物排放标准》（GB46817-2025）</w:t>
            </w:r>
            <w:r>
              <w:rPr>
                <w:rFonts w:hint="default" w:ascii="Times New Roman" w:hAnsi="Times New Roman" w:eastAsia="宋体" w:cs="Times New Roman"/>
                <w:color w:val="auto"/>
                <w:sz w:val="21"/>
                <w:szCs w:val="21"/>
                <w:highlight w:val="none"/>
                <w:u w:val="none" w:color="auto"/>
                <w:lang w:val="en-US" w:eastAsia="zh-CN"/>
              </w:rPr>
              <w:t>表</w:t>
            </w:r>
            <w:r>
              <w:rPr>
                <w:rFonts w:hint="eastAsia" w:ascii="Times New Roman" w:hAnsi="Times New Roman" w:eastAsia="宋体" w:cs="Times New Roman"/>
                <w:color w:val="auto"/>
                <w:sz w:val="21"/>
                <w:szCs w:val="21"/>
                <w:highlight w:val="none"/>
                <w:u w:val="none" w:color="auto"/>
                <w:lang w:val="en-US" w:eastAsia="zh-CN"/>
              </w:rPr>
              <w:t>1直接排放限值</w:t>
            </w:r>
          </w:p>
        </w:tc>
      </w:tr>
      <w:tr w14:paraId="6E4911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9" w:hRule="atLeast"/>
        </w:trPr>
        <w:tc>
          <w:tcPr>
            <w:tcW w:w="895" w:type="pct"/>
            <w:tcBorders>
              <w:tl2br w:val="nil"/>
              <w:tr2bl w:val="nil"/>
            </w:tcBorders>
            <w:noWrap w:val="0"/>
            <w:vAlign w:val="center"/>
          </w:tcPr>
          <w:p w14:paraId="452E23B4">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污染物年排放量</w:t>
            </w:r>
          </w:p>
        </w:tc>
        <w:tc>
          <w:tcPr>
            <w:tcW w:w="4104" w:type="pct"/>
            <w:gridSpan w:val="3"/>
            <w:tcBorders>
              <w:tl2br w:val="nil"/>
              <w:tr2bl w:val="nil"/>
            </w:tcBorders>
            <w:noWrap w:val="0"/>
            <w:vAlign w:val="center"/>
          </w:tcPr>
          <w:p w14:paraId="1E94F892">
            <w:pPr>
              <w:autoSpaceDE w:val="0"/>
              <w:autoSpaceDN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CODcr</w:t>
            </w:r>
            <w:r>
              <w:rPr>
                <w:rFonts w:hint="eastAsia" w:ascii="Times New Roman" w:hAnsi="Times New Roman" w:eastAsia="宋体" w:cs="Times New Roman"/>
                <w:color w:val="auto"/>
                <w:sz w:val="21"/>
                <w:szCs w:val="21"/>
                <w:highlight w:val="none"/>
                <w:u w:val="none" w:color="auto"/>
                <w:lang w:val="en-US" w:eastAsia="zh-CN"/>
              </w:rPr>
              <w:t>0.277</w:t>
            </w:r>
            <w:r>
              <w:rPr>
                <w:rFonts w:hint="default" w:ascii="Times New Roman" w:hAnsi="Times New Roman" w:eastAsia="宋体" w:cs="Times New Roman"/>
                <w:color w:val="auto"/>
                <w:sz w:val="21"/>
                <w:szCs w:val="21"/>
                <w:highlight w:val="none"/>
                <w:u w:val="none" w:color="auto"/>
                <w:lang w:val="en-US" w:eastAsia="zh-CN"/>
              </w:rPr>
              <w:t>t/a、氨氮</w:t>
            </w:r>
            <w:r>
              <w:rPr>
                <w:rFonts w:hint="eastAsia" w:ascii="Times New Roman" w:hAnsi="Times New Roman" w:eastAsia="宋体" w:cs="Times New Roman"/>
                <w:color w:val="auto"/>
                <w:sz w:val="21"/>
                <w:szCs w:val="21"/>
                <w:highlight w:val="none"/>
                <w:u w:val="none" w:color="auto"/>
                <w:lang w:val="en-US" w:eastAsia="zh-CN"/>
              </w:rPr>
              <w:t>0.042</w:t>
            </w:r>
            <w:r>
              <w:rPr>
                <w:rFonts w:hint="default" w:ascii="Times New Roman" w:hAnsi="Times New Roman" w:eastAsia="宋体" w:cs="Times New Roman"/>
                <w:color w:val="auto"/>
                <w:sz w:val="21"/>
                <w:szCs w:val="21"/>
                <w:highlight w:val="none"/>
                <w:u w:val="none" w:color="auto"/>
                <w:lang w:val="en-US" w:eastAsia="zh-CN"/>
              </w:rPr>
              <w:t>t/a、TP</w:t>
            </w:r>
            <w:r>
              <w:rPr>
                <w:rFonts w:hint="eastAsia" w:ascii="Times New Roman" w:hAnsi="Times New Roman" w:eastAsia="宋体" w:cs="Times New Roman"/>
                <w:color w:val="auto"/>
                <w:sz w:val="21"/>
                <w:szCs w:val="21"/>
                <w:highlight w:val="none"/>
                <w:u w:val="none" w:color="auto"/>
                <w:lang w:val="en-US" w:eastAsia="zh-CN"/>
              </w:rPr>
              <w:t>0.003</w:t>
            </w:r>
            <w:r>
              <w:rPr>
                <w:rFonts w:hint="default" w:ascii="Times New Roman" w:hAnsi="Times New Roman" w:eastAsia="宋体" w:cs="Times New Roman"/>
                <w:color w:val="auto"/>
                <w:sz w:val="21"/>
                <w:szCs w:val="21"/>
                <w:highlight w:val="none"/>
                <w:u w:val="none" w:color="auto"/>
                <w:lang w:val="en-US" w:eastAsia="zh-CN"/>
              </w:rPr>
              <w:t>t/a</w:t>
            </w:r>
          </w:p>
        </w:tc>
      </w:tr>
    </w:tbl>
    <w:p w14:paraId="4A5B8507">
      <w:pPr>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outlineLvl w:val="1"/>
        <w:rPr>
          <w:rFonts w:hint="default" w:ascii="Times New Roman" w:hAnsi="Times New Roman" w:eastAsia="宋体" w:cs="Times New Roman"/>
          <w:b/>
          <w:bCs/>
          <w:spacing w:val="-2"/>
          <w:sz w:val="28"/>
          <w:szCs w:val="28"/>
          <w:lang w:eastAsia="zh-CN"/>
        </w:rPr>
      </w:pPr>
      <w:bookmarkStart w:id="130" w:name="bookmark53"/>
      <w:bookmarkEnd w:id="130"/>
      <w:bookmarkStart w:id="131" w:name="_Toc17639"/>
      <w:bookmarkStart w:id="132" w:name="_Toc2684"/>
      <w:r>
        <w:rPr>
          <w:rFonts w:hint="default" w:ascii="Times New Roman" w:hAnsi="Times New Roman" w:eastAsia="宋体" w:cs="Times New Roman"/>
          <w:b/>
          <w:bCs/>
          <w:spacing w:val="-2"/>
          <w:sz w:val="28"/>
          <w:szCs w:val="28"/>
          <w:lang w:eastAsia="zh-CN"/>
        </w:rPr>
        <w:t>5.2入河排污口排污情况</w:t>
      </w:r>
      <w:bookmarkEnd w:id="131"/>
      <w:bookmarkEnd w:id="132"/>
    </w:p>
    <w:p w14:paraId="1EA4B222">
      <w:pPr>
        <w:keepNext w:val="0"/>
        <w:keepLines w:val="0"/>
        <w:pageBreakBefore w:val="0"/>
        <w:widowControl/>
        <w:kinsoku w:val="0"/>
        <w:wordWrap/>
        <w:overflowPunct/>
        <w:topLinePunct w:val="0"/>
        <w:autoSpaceDE w:val="0"/>
        <w:autoSpaceDN w:val="0"/>
        <w:bidi w:val="0"/>
        <w:adjustRightInd w:val="0"/>
        <w:snapToGrid w:val="0"/>
        <w:spacing w:line="360" w:lineRule="auto"/>
        <w:ind w:firstLine="479"/>
        <w:jc w:val="both"/>
        <w:textAlignment w:val="baseline"/>
        <w:rPr>
          <w:rFonts w:ascii="宋体" w:hAnsi="宋体" w:eastAsia="宋体" w:cs="宋体"/>
          <w:sz w:val="24"/>
          <w:szCs w:val="24"/>
          <w:lang w:eastAsia="zh-CN"/>
        </w:rPr>
      </w:pPr>
      <w:r>
        <w:rPr>
          <w:rFonts w:ascii="宋体" w:hAnsi="宋体" w:eastAsia="宋体" w:cs="宋体"/>
          <w:spacing w:val="3"/>
          <w:sz w:val="24"/>
          <w:szCs w:val="24"/>
          <w:lang w:eastAsia="zh-CN"/>
        </w:rPr>
        <w:t>本入河排污口为</w:t>
      </w:r>
      <w:r>
        <w:rPr>
          <w:rFonts w:hint="eastAsia" w:ascii="Times New Roman" w:hAnsi="Times New Roman" w:eastAsia="宋体" w:cs="Times New Roman"/>
          <w:sz w:val="24"/>
          <w:szCs w:val="24"/>
          <w:lang w:eastAsia="zh-CN"/>
        </w:rPr>
        <w:t>湘潭县怡和顺科技有限公司</w:t>
      </w:r>
      <w:r>
        <w:rPr>
          <w:rFonts w:hint="eastAsia" w:ascii="Times New Roman" w:hAnsi="Times New Roman" w:eastAsia="宋体" w:cs="Times New Roman"/>
          <w:sz w:val="24"/>
          <w:szCs w:val="24"/>
          <w:lang w:val="en-US" w:eastAsia="zh-CN"/>
        </w:rPr>
        <w:t>综合</w:t>
      </w:r>
      <w:r>
        <w:rPr>
          <w:rFonts w:hint="eastAsia" w:ascii="Times New Roman" w:hAnsi="Times New Roman" w:eastAsia="宋体" w:cs="Times New Roman"/>
          <w:sz w:val="24"/>
          <w:szCs w:val="24"/>
          <w:lang w:eastAsia="zh-CN"/>
        </w:rPr>
        <w:t>废水</w:t>
      </w:r>
      <w:r>
        <w:rPr>
          <w:rFonts w:ascii="宋体" w:hAnsi="宋体" w:eastAsia="宋体" w:cs="宋体"/>
          <w:spacing w:val="3"/>
          <w:sz w:val="24"/>
          <w:szCs w:val="24"/>
          <w:lang w:eastAsia="zh-CN"/>
        </w:rPr>
        <w:t>排污口。</w:t>
      </w:r>
      <w:r>
        <w:rPr>
          <w:rFonts w:ascii="宋体" w:hAnsi="宋体" w:eastAsia="宋体" w:cs="宋体"/>
          <w:spacing w:val="-6"/>
          <w:sz w:val="24"/>
          <w:szCs w:val="24"/>
          <w:lang w:eastAsia="zh-CN"/>
        </w:rPr>
        <w:t>主要污染物为</w:t>
      </w:r>
      <w:r>
        <w:rPr>
          <w:rFonts w:ascii="Times New Roman" w:hAnsi="Times New Roman" w:eastAsia="Times New Roman" w:cs="Times New Roman"/>
          <w:spacing w:val="-6"/>
          <w:sz w:val="24"/>
          <w:szCs w:val="24"/>
          <w:lang w:eastAsia="zh-CN"/>
        </w:rPr>
        <w:t>COD</w:t>
      </w:r>
      <w:r>
        <w:rPr>
          <w:rFonts w:ascii="宋体" w:hAnsi="宋体" w:eastAsia="宋体" w:cs="宋体"/>
          <w:spacing w:val="-6"/>
          <w:sz w:val="24"/>
          <w:szCs w:val="24"/>
          <w:lang w:eastAsia="zh-CN"/>
        </w:rPr>
        <w:t>、</w:t>
      </w:r>
      <w:r>
        <w:rPr>
          <w:rFonts w:ascii="Times New Roman" w:hAnsi="Times New Roman" w:eastAsia="Times New Roman" w:cs="Times New Roman"/>
          <w:spacing w:val="-6"/>
          <w:sz w:val="24"/>
          <w:szCs w:val="24"/>
          <w:lang w:eastAsia="zh-CN"/>
        </w:rPr>
        <w:t>BOD</w:t>
      </w:r>
      <w:r>
        <w:rPr>
          <w:rFonts w:ascii="Times New Roman" w:hAnsi="Times New Roman" w:eastAsia="Times New Roman" w:cs="Times New Roman"/>
          <w:spacing w:val="-6"/>
          <w:position w:val="-1"/>
          <w:sz w:val="24"/>
          <w:szCs w:val="24"/>
          <w:vertAlign w:val="subscript"/>
          <w:lang w:eastAsia="zh-CN"/>
        </w:rPr>
        <w:t>5</w:t>
      </w:r>
      <w:r>
        <w:rPr>
          <w:rFonts w:ascii="宋体" w:hAnsi="宋体" w:eastAsia="宋体" w:cs="宋体"/>
          <w:spacing w:val="-6"/>
          <w:sz w:val="24"/>
          <w:szCs w:val="24"/>
          <w:lang w:eastAsia="zh-CN"/>
        </w:rPr>
        <w:t>、</w:t>
      </w:r>
      <w:r>
        <w:rPr>
          <w:rFonts w:ascii="Times New Roman" w:hAnsi="Times New Roman" w:eastAsia="Times New Roman" w:cs="Times New Roman"/>
          <w:spacing w:val="-6"/>
          <w:sz w:val="24"/>
          <w:szCs w:val="24"/>
          <w:lang w:eastAsia="zh-CN"/>
        </w:rPr>
        <w:t>NH</w:t>
      </w:r>
      <w:r>
        <w:rPr>
          <w:rFonts w:ascii="Times New Roman" w:hAnsi="Times New Roman" w:eastAsia="Times New Roman" w:cs="Times New Roman"/>
          <w:spacing w:val="-6"/>
          <w:sz w:val="24"/>
          <w:szCs w:val="24"/>
          <w:vertAlign w:val="subscript"/>
          <w:lang w:eastAsia="zh-CN"/>
        </w:rPr>
        <w:t>3</w:t>
      </w:r>
      <w:r>
        <w:rPr>
          <w:rFonts w:ascii="Times New Roman" w:hAnsi="Times New Roman" w:eastAsia="Times New Roman" w:cs="Times New Roman"/>
          <w:spacing w:val="-6"/>
          <w:sz w:val="24"/>
          <w:szCs w:val="24"/>
          <w:lang w:eastAsia="zh-CN"/>
        </w:rPr>
        <w:t>-N</w:t>
      </w:r>
      <w:r>
        <w:rPr>
          <w:rFonts w:ascii="宋体" w:hAnsi="宋体" w:eastAsia="宋体" w:cs="宋体"/>
          <w:spacing w:val="-6"/>
          <w:sz w:val="24"/>
          <w:szCs w:val="24"/>
          <w:lang w:eastAsia="zh-CN"/>
        </w:rPr>
        <w:t>、</w:t>
      </w:r>
      <w:r>
        <w:rPr>
          <w:rFonts w:ascii="Times New Roman" w:hAnsi="Times New Roman" w:eastAsia="Times New Roman" w:cs="Times New Roman"/>
          <w:spacing w:val="-6"/>
          <w:sz w:val="24"/>
          <w:szCs w:val="24"/>
          <w:lang w:eastAsia="zh-CN"/>
        </w:rPr>
        <w:t>SS</w:t>
      </w:r>
      <w:r>
        <w:rPr>
          <w:rFonts w:ascii="宋体" w:hAnsi="宋体" w:eastAsia="宋体" w:cs="宋体"/>
          <w:spacing w:val="-6"/>
          <w:sz w:val="24"/>
          <w:szCs w:val="24"/>
          <w:lang w:eastAsia="zh-CN"/>
        </w:rPr>
        <w:t>、</w:t>
      </w:r>
      <w:r>
        <w:rPr>
          <w:rFonts w:ascii="宋体" w:hAnsi="宋体" w:eastAsia="宋体" w:cs="宋体"/>
          <w:spacing w:val="-1"/>
          <w:sz w:val="24"/>
          <w:szCs w:val="24"/>
          <w:lang w:eastAsia="zh-CN"/>
        </w:rPr>
        <w:t>总磷</w:t>
      </w:r>
      <w:r>
        <w:rPr>
          <w:rFonts w:hint="eastAsia" w:ascii="宋体" w:hAnsi="宋体" w:eastAsia="宋体" w:cs="宋体"/>
          <w:spacing w:val="-1"/>
          <w:sz w:val="24"/>
          <w:szCs w:val="24"/>
          <w:lang w:eastAsia="zh-CN"/>
        </w:rPr>
        <w:t>、</w:t>
      </w:r>
      <w:r>
        <w:rPr>
          <w:rFonts w:hint="default" w:ascii="Times New Roman" w:hAnsi="Times New Roman" w:eastAsia="宋体" w:cs="Times New Roman"/>
          <w:color w:val="auto"/>
          <w:sz w:val="24"/>
          <w:szCs w:val="24"/>
          <w:highlight w:val="none"/>
          <w:u w:val="none" w:color="auto"/>
          <w:lang w:val="en-US" w:eastAsia="zh-CN"/>
        </w:rPr>
        <w:t>动植物油</w:t>
      </w:r>
      <w:r>
        <w:rPr>
          <w:rFonts w:hint="eastAsia" w:ascii="Times New Roman" w:hAnsi="Times New Roman" w:eastAsia="宋体"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t>色度</w:t>
      </w:r>
      <w:r>
        <w:rPr>
          <w:rFonts w:ascii="宋体" w:hAnsi="宋体" w:eastAsia="宋体" w:cs="宋体"/>
          <w:spacing w:val="-1"/>
          <w:sz w:val="24"/>
          <w:szCs w:val="24"/>
          <w:lang w:eastAsia="zh-CN"/>
        </w:rPr>
        <w:t>。</w:t>
      </w:r>
    </w:p>
    <w:p w14:paraId="31AFF36F">
      <w:pPr>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outlineLvl w:val="1"/>
        <w:rPr>
          <w:rFonts w:hint="default" w:ascii="Times New Roman" w:hAnsi="Times New Roman" w:eastAsia="宋体" w:cs="Times New Roman"/>
          <w:b/>
          <w:bCs/>
          <w:spacing w:val="-2"/>
          <w:sz w:val="28"/>
          <w:szCs w:val="28"/>
          <w:lang w:val="en-US" w:eastAsia="zh-CN"/>
        </w:rPr>
      </w:pPr>
      <w:bookmarkStart w:id="133" w:name="_Toc29709"/>
      <w:bookmarkStart w:id="134" w:name="_Toc13508"/>
      <w:r>
        <w:rPr>
          <w:rFonts w:hint="default" w:ascii="Times New Roman" w:hAnsi="Times New Roman" w:eastAsia="宋体" w:cs="Times New Roman"/>
          <w:b/>
          <w:bCs/>
          <w:spacing w:val="-2"/>
          <w:sz w:val="28"/>
          <w:szCs w:val="28"/>
          <w:lang w:eastAsia="zh-CN"/>
        </w:rPr>
        <w:t>5.3</w:t>
      </w:r>
      <w:r>
        <w:rPr>
          <w:rFonts w:hint="eastAsia" w:ascii="Times New Roman" w:hAnsi="Times New Roman" w:eastAsia="宋体" w:cs="Times New Roman"/>
          <w:b/>
          <w:bCs/>
          <w:spacing w:val="-2"/>
          <w:sz w:val="28"/>
          <w:szCs w:val="28"/>
          <w:lang w:val="en-US" w:eastAsia="zh-CN"/>
        </w:rPr>
        <w:t>申请的入河排污口重点</w:t>
      </w:r>
      <w:r>
        <w:rPr>
          <w:rFonts w:hint="default" w:ascii="Times New Roman" w:hAnsi="Times New Roman" w:eastAsia="宋体" w:cs="Times New Roman"/>
          <w:b/>
          <w:bCs/>
          <w:spacing w:val="-2"/>
          <w:sz w:val="28"/>
          <w:szCs w:val="28"/>
          <w:lang w:eastAsia="zh-CN"/>
        </w:rPr>
        <w:t>污染物</w:t>
      </w:r>
      <w:r>
        <w:rPr>
          <w:rFonts w:hint="eastAsia" w:ascii="Times New Roman" w:hAnsi="Times New Roman" w:eastAsia="宋体" w:cs="Times New Roman"/>
          <w:b/>
          <w:bCs/>
          <w:spacing w:val="-2"/>
          <w:sz w:val="28"/>
          <w:szCs w:val="28"/>
          <w:lang w:val="en-US" w:eastAsia="zh-CN"/>
        </w:rPr>
        <w:t>排放浓度、排放量和污水排放量</w:t>
      </w:r>
      <w:bookmarkEnd w:id="133"/>
      <w:bookmarkEnd w:id="134"/>
    </w:p>
    <w:p w14:paraId="4B81A840">
      <w:pPr>
        <w:pStyle w:val="9"/>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rPr>
          <w:rFonts w:hint="eastAsia" w:ascii="宋体" w:hAnsi="宋体" w:eastAsia="宋体" w:cs="宋体"/>
          <w:b/>
          <w:bCs/>
          <w:spacing w:val="-3"/>
          <w:sz w:val="24"/>
          <w:szCs w:val="24"/>
          <w:lang w:eastAsia="zh-CN"/>
        </w:rPr>
      </w:pPr>
      <w:r>
        <w:rPr>
          <w:rFonts w:hint="eastAsia" w:ascii="Times New Roman" w:hAnsi="Times New Roman" w:eastAsia="Times New Roman" w:cs="Times New Roman"/>
          <w:b/>
          <w:bCs/>
          <w:spacing w:val="-3"/>
          <w:sz w:val="24"/>
          <w:szCs w:val="24"/>
          <w:lang w:val="en-US" w:eastAsia="zh-CN"/>
        </w:rPr>
        <w:t>5.3.1</w:t>
      </w:r>
      <w:r>
        <w:rPr>
          <w:rFonts w:hint="eastAsia" w:ascii="宋体" w:hAnsi="宋体" w:eastAsia="宋体" w:cs="宋体"/>
          <w:b/>
          <w:bCs/>
          <w:spacing w:val="-3"/>
          <w:sz w:val="24"/>
          <w:szCs w:val="24"/>
          <w:lang w:eastAsia="zh-CN"/>
        </w:rPr>
        <w:t>入河排污口污染物排放浓度和排放量</w:t>
      </w:r>
    </w:p>
    <w:p w14:paraId="7D775B05">
      <w:pPr>
        <w:keepNext w:val="0"/>
        <w:keepLines w:val="0"/>
        <w:pageBreakBefore w:val="0"/>
        <w:widowControl/>
        <w:kinsoku w:val="0"/>
        <w:wordWrap/>
        <w:overflowPunct/>
        <w:topLinePunct w:val="0"/>
        <w:autoSpaceDE w:val="0"/>
        <w:autoSpaceDN w:val="0"/>
        <w:bidi w:val="0"/>
        <w:adjustRightInd w:val="0"/>
        <w:snapToGrid w:val="0"/>
        <w:spacing w:line="360" w:lineRule="auto"/>
        <w:ind w:firstLine="479"/>
        <w:jc w:val="both"/>
        <w:textAlignment w:val="baseline"/>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本污水处理</w:t>
      </w:r>
      <w:r>
        <w:rPr>
          <w:rFonts w:hint="eastAsia" w:ascii="Times New Roman" w:hAnsi="Times New Roman" w:eastAsia="宋体" w:cs="Times New Roman"/>
          <w:sz w:val="24"/>
          <w:szCs w:val="24"/>
          <w:lang w:val="en-US" w:eastAsia="zh-CN"/>
        </w:rPr>
        <w:t>设施</w:t>
      </w:r>
      <w:r>
        <w:rPr>
          <w:rFonts w:hint="eastAsia" w:ascii="Times New Roman" w:hAnsi="Times New Roman" w:eastAsia="宋体" w:cs="Times New Roman"/>
          <w:sz w:val="24"/>
          <w:szCs w:val="24"/>
          <w:lang w:eastAsia="zh-CN"/>
        </w:rPr>
        <w:t>主要水污染物（化学需氧量、五日生化需氧量、氨氮、总磷（以P计）、悬浮物、pH值、</w:t>
      </w:r>
      <w:r>
        <w:rPr>
          <w:rFonts w:hint="default" w:ascii="Times New Roman" w:hAnsi="Times New Roman" w:eastAsia="宋体" w:cs="Times New Roman"/>
          <w:color w:val="auto"/>
          <w:sz w:val="24"/>
          <w:szCs w:val="24"/>
          <w:highlight w:val="none"/>
          <w:u w:val="none" w:color="auto"/>
          <w:lang w:val="en-US" w:eastAsia="zh-CN"/>
        </w:rPr>
        <w:t>动植物油</w:t>
      </w:r>
      <w:r>
        <w:rPr>
          <w:rFonts w:hint="eastAsia" w:ascii="Times New Roman" w:hAnsi="Times New Roman" w:eastAsia="宋体"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t>色度</w:t>
      </w:r>
      <w:r>
        <w:rPr>
          <w:rFonts w:hint="eastAsia" w:ascii="Times New Roman" w:hAnsi="Times New Roman" w:eastAsia="宋体" w:cs="Times New Roman"/>
          <w:sz w:val="24"/>
          <w:szCs w:val="24"/>
          <w:lang w:eastAsia="zh-CN"/>
        </w:rPr>
        <w:t>等）达到</w:t>
      </w:r>
      <w:r>
        <w:rPr>
          <w:rFonts w:hint="eastAsia" w:ascii="Times New Roman" w:hAnsi="Times New Roman" w:eastAsia="宋体" w:cs="Times New Roman"/>
          <w:bCs/>
          <w:color w:val="000000"/>
          <w:sz w:val="24"/>
          <w:szCs w:val="24"/>
          <w:u w:val="none" w:color="auto"/>
          <w:lang w:val="en-US" w:eastAsia="zh-CN"/>
        </w:rPr>
        <w:t>《食品加工制造业水污染物排放标准》（GB46817-2025）表4中的一级标准</w:t>
      </w:r>
      <w:r>
        <w:rPr>
          <w:rFonts w:hint="eastAsia" w:ascii="Times New Roman" w:hAnsi="Times New Roman" w:eastAsia="宋体" w:cs="Times New Roman"/>
          <w:sz w:val="24"/>
          <w:szCs w:val="24"/>
          <w:lang w:eastAsia="zh-CN"/>
        </w:rPr>
        <w:t>后排入</w:t>
      </w:r>
      <w:r>
        <w:rPr>
          <w:rFonts w:hint="eastAsia" w:ascii="Times New Roman" w:hAnsi="Times New Roman" w:eastAsia="宋体" w:cs="Times New Roman"/>
          <w:sz w:val="24"/>
          <w:szCs w:val="24"/>
          <w:lang w:val="en-US" w:eastAsia="zh-CN"/>
        </w:rPr>
        <w:t>青山河</w:t>
      </w:r>
      <w:r>
        <w:rPr>
          <w:rFonts w:hint="eastAsia" w:ascii="Times New Roman" w:hAnsi="Times New Roman" w:eastAsia="宋体" w:cs="Times New Roman"/>
          <w:sz w:val="24"/>
          <w:szCs w:val="24"/>
          <w:lang w:eastAsia="zh-CN"/>
        </w:rPr>
        <w:t>，根据许可排放量，各污染物产生及排放情况见下表：</w:t>
      </w:r>
    </w:p>
    <w:p w14:paraId="5C5C11D9">
      <w:pPr>
        <w:keepNext w:val="0"/>
        <w:keepLines w:val="0"/>
        <w:pageBreakBefore w:val="0"/>
        <w:widowControl/>
        <w:kinsoku w:val="0"/>
        <w:wordWrap/>
        <w:overflowPunct/>
        <w:topLinePunct w:val="0"/>
        <w:autoSpaceDE w:val="0"/>
        <w:autoSpaceDN w:val="0"/>
        <w:bidi w:val="0"/>
        <w:adjustRightInd w:val="0"/>
        <w:snapToGrid w:val="0"/>
        <w:spacing w:line="240" w:lineRule="auto"/>
        <w:ind w:firstLine="479"/>
        <w:jc w:val="center"/>
        <w:textAlignment w:val="baseline"/>
        <w:rPr>
          <w:rFonts w:hint="eastAsia" w:ascii="Times New Roman" w:hAnsi="Times New Roman" w:eastAsia="宋体" w:cs="Times New Roman"/>
          <w:b/>
          <w:bCs/>
          <w:color w:val="auto"/>
          <w:sz w:val="21"/>
          <w:szCs w:val="21"/>
          <w:highlight w:val="none"/>
          <w:u w:val="none" w:color="auto"/>
          <w:lang w:val="en-US" w:eastAsia="zh-CN"/>
        </w:rPr>
      </w:pPr>
      <w:r>
        <w:rPr>
          <w:rFonts w:hint="default" w:ascii="Times New Roman" w:hAnsi="Times New Roman" w:cs="Times New Roman"/>
          <w:b/>
          <w:bCs/>
          <w:color w:val="auto"/>
          <w:sz w:val="21"/>
          <w:szCs w:val="21"/>
          <w:highlight w:val="none"/>
          <w:u w:val="none" w:color="auto"/>
        </w:rPr>
        <w:t>表</w:t>
      </w:r>
      <w:r>
        <w:rPr>
          <w:rFonts w:hint="eastAsia" w:ascii="Times New Roman" w:hAnsi="Times New Roman" w:cs="Times New Roman"/>
          <w:b/>
          <w:bCs/>
          <w:color w:val="auto"/>
          <w:sz w:val="21"/>
          <w:szCs w:val="21"/>
          <w:highlight w:val="none"/>
          <w:u w:val="none" w:color="auto"/>
          <w:lang w:val="en-US" w:eastAsia="zh-CN"/>
        </w:rPr>
        <w:t>5.3</w:t>
      </w:r>
      <w:r>
        <w:rPr>
          <w:rFonts w:hint="default" w:ascii="Times New Roman" w:hAnsi="Times New Roman" w:cs="Times New Roman"/>
          <w:b/>
          <w:bCs/>
          <w:color w:val="auto"/>
          <w:sz w:val="21"/>
          <w:szCs w:val="21"/>
          <w:highlight w:val="none"/>
          <w:u w:val="none" w:color="auto"/>
          <w:lang w:val="en-US" w:eastAsia="zh-CN"/>
        </w:rPr>
        <w:t>-1</w:t>
      </w:r>
      <w:r>
        <w:rPr>
          <w:rFonts w:hint="default" w:ascii="Times New Roman" w:hAnsi="Times New Roman" w:cs="Times New Roman"/>
          <w:b/>
          <w:bCs/>
          <w:color w:val="auto"/>
          <w:sz w:val="21"/>
          <w:szCs w:val="21"/>
          <w:highlight w:val="none"/>
          <w:u w:val="none" w:color="auto"/>
        </w:rPr>
        <w:t xml:space="preserve"> </w:t>
      </w:r>
      <w:r>
        <w:rPr>
          <w:rFonts w:hint="eastAsia" w:ascii="Times New Roman" w:hAnsi="Times New Roman" w:eastAsia="宋体" w:cs="Times New Roman"/>
          <w:b/>
          <w:bCs/>
          <w:color w:val="auto"/>
          <w:sz w:val="21"/>
          <w:szCs w:val="21"/>
          <w:highlight w:val="none"/>
          <w:u w:val="none" w:color="auto"/>
          <w:lang w:val="en-US" w:eastAsia="zh-CN"/>
        </w:rPr>
        <w:t>废水污染物产、排情况一览表</w:t>
      </w:r>
    </w:p>
    <w:tbl>
      <w:tblPr>
        <w:tblStyle w:val="24"/>
        <w:tblW w:w="4994" w:type="pct"/>
        <w:tblInd w:w="0" w:type="dxa"/>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163"/>
        <w:gridCol w:w="849"/>
        <w:gridCol w:w="770"/>
        <w:gridCol w:w="793"/>
        <w:gridCol w:w="661"/>
        <w:gridCol w:w="662"/>
        <w:gridCol w:w="767"/>
        <w:gridCol w:w="803"/>
        <w:gridCol w:w="810"/>
      </w:tblGrid>
      <w:tr w14:paraId="25C2274A">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557" w:hRule="atLeast"/>
          <w:tblHeader/>
        </w:trPr>
        <w:tc>
          <w:tcPr>
            <w:tcW w:w="721" w:type="pct"/>
            <w:noWrap w:val="0"/>
            <w:vAlign w:val="center"/>
          </w:tcPr>
          <w:p w14:paraId="689A7C9D">
            <w:pPr>
              <w:widowControl w:val="0"/>
              <w:spacing w:line="240" w:lineRule="auto"/>
              <w:jc w:val="center"/>
              <w:rPr>
                <w:rFonts w:hint="default" w:ascii="Times New Roman" w:hAnsi="Times New Roman" w:eastAsia="宋体" w:cs="Times New Roman"/>
                <w:b/>
                <w:bCs/>
                <w:color w:val="auto"/>
                <w:spacing w:val="1"/>
                <w:kern w:val="0"/>
                <w:sz w:val="21"/>
                <w:szCs w:val="21"/>
                <w:u w:val="none" w:color="auto"/>
                <w:lang w:val="en-US" w:eastAsia="zh-CN" w:bidi="ar-SA"/>
              </w:rPr>
            </w:pPr>
            <w:r>
              <w:rPr>
                <w:rFonts w:hint="default" w:ascii="Times New Roman" w:hAnsi="Times New Roman" w:eastAsia="宋体" w:cs="Times New Roman"/>
                <w:b/>
                <w:bCs/>
                <w:color w:val="auto"/>
                <w:spacing w:val="1"/>
                <w:kern w:val="0"/>
                <w:sz w:val="21"/>
                <w:szCs w:val="21"/>
                <w:u w:val="none" w:color="auto"/>
                <w:lang w:val="en-US" w:eastAsia="zh-CN" w:bidi="ar-SA"/>
              </w:rPr>
              <w:t>污染源</w:t>
            </w:r>
          </w:p>
        </w:tc>
        <w:tc>
          <w:tcPr>
            <w:tcW w:w="683" w:type="pct"/>
            <w:noWrap w:val="0"/>
            <w:vAlign w:val="center"/>
          </w:tcPr>
          <w:p w14:paraId="0415F9E7">
            <w:pPr>
              <w:widowControl w:val="0"/>
              <w:spacing w:line="240" w:lineRule="auto"/>
              <w:jc w:val="center"/>
              <w:rPr>
                <w:rFonts w:hint="default" w:ascii="Times New Roman" w:hAnsi="Times New Roman" w:eastAsia="宋体" w:cs="Times New Roman"/>
                <w:b/>
                <w:bCs/>
                <w:color w:val="auto"/>
                <w:spacing w:val="1"/>
                <w:kern w:val="0"/>
                <w:sz w:val="21"/>
                <w:szCs w:val="21"/>
                <w:u w:val="none" w:color="auto"/>
                <w:lang w:val="en-US" w:eastAsia="zh-CN" w:bidi="ar-SA"/>
              </w:rPr>
            </w:pPr>
            <w:r>
              <w:rPr>
                <w:rFonts w:hint="default" w:ascii="Times New Roman" w:hAnsi="Times New Roman" w:eastAsia="宋体" w:cs="Times New Roman"/>
                <w:b/>
                <w:bCs/>
                <w:color w:val="auto"/>
                <w:spacing w:val="1"/>
                <w:kern w:val="0"/>
                <w:sz w:val="21"/>
                <w:szCs w:val="21"/>
                <w:u w:val="none" w:color="auto"/>
                <w:lang w:val="en-US" w:eastAsia="zh-CN" w:bidi="ar-SA"/>
              </w:rPr>
              <w:t>项目</w:t>
            </w:r>
          </w:p>
        </w:tc>
        <w:tc>
          <w:tcPr>
            <w:tcW w:w="499" w:type="pct"/>
            <w:noWrap w:val="0"/>
            <w:vAlign w:val="center"/>
          </w:tcPr>
          <w:p w14:paraId="583FBACB">
            <w:pPr>
              <w:widowControl w:val="0"/>
              <w:spacing w:line="240" w:lineRule="auto"/>
              <w:jc w:val="center"/>
              <w:rPr>
                <w:rFonts w:hint="default" w:ascii="Times New Roman" w:hAnsi="Times New Roman" w:eastAsia="宋体" w:cs="Times New Roman"/>
                <w:b/>
                <w:bCs/>
                <w:color w:val="auto"/>
                <w:spacing w:val="1"/>
                <w:kern w:val="0"/>
                <w:sz w:val="21"/>
                <w:szCs w:val="21"/>
                <w:u w:val="none" w:color="auto"/>
                <w:lang w:val="en-US" w:eastAsia="zh-CN" w:bidi="ar-SA"/>
              </w:rPr>
            </w:pPr>
            <w:r>
              <w:rPr>
                <w:rFonts w:hint="default" w:ascii="Times New Roman" w:hAnsi="Times New Roman" w:eastAsia="宋体" w:cs="Times New Roman"/>
                <w:b/>
                <w:bCs/>
                <w:color w:val="auto"/>
                <w:spacing w:val="1"/>
                <w:kern w:val="0"/>
                <w:sz w:val="21"/>
                <w:szCs w:val="21"/>
                <w:u w:val="none" w:color="auto"/>
                <w:lang w:val="en-US" w:eastAsia="zh-CN" w:bidi="ar-SA"/>
              </w:rPr>
              <w:t>COD</w:t>
            </w:r>
            <w:r>
              <w:rPr>
                <w:rFonts w:hint="default" w:ascii="Times New Roman" w:hAnsi="Times New Roman" w:eastAsia="宋体" w:cs="Times New Roman"/>
                <w:b/>
                <w:bCs/>
                <w:color w:val="auto"/>
                <w:spacing w:val="1"/>
                <w:kern w:val="0"/>
                <w:sz w:val="21"/>
                <w:szCs w:val="21"/>
                <w:u w:val="none" w:color="auto"/>
                <w:vertAlign w:val="subscript"/>
                <w:lang w:val="en-US" w:eastAsia="zh-CN" w:bidi="ar-SA"/>
              </w:rPr>
              <w:t>cr</w:t>
            </w:r>
          </w:p>
        </w:tc>
        <w:tc>
          <w:tcPr>
            <w:tcW w:w="452" w:type="pct"/>
            <w:noWrap w:val="0"/>
            <w:vAlign w:val="center"/>
          </w:tcPr>
          <w:p w14:paraId="72163EEE">
            <w:pPr>
              <w:widowControl w:val="0"/>
              <w:spacing w:line="240" w:lineRule="auto"/>
              <w:jc w:val="center"/>
              <w:rPr>
                <w:rFonts w:hint="default" w:ascii="Times New Roman" w:hAnsi="Times New Roman" w:eastAsia="宋体" w:cs="Times New Roman"/>
                <w:b/>
                <w:bCs/>
                <w:color w:val="auto"/>
                <w:spacing w:val="1"/>
                <w:kern w:val="0"/>
                <w:sz w:val="21"/>
                <w:szCs w:val="21"/>
                <w:u w:val="none" w:color="auto"/>
                <w:lang w:val="en-US" w:eastAsia="zh-CN" w:bidi="ar-SA"/>
              </w:rPr>
            </w:pPr>
            <w:r>
              <w:rPr>
                <w:rFonts w:hint="default" w:ascii="Times New Roman" w:hAnsi="Times New Roman" w:eastAsia="宋体" w:cs="Times New Roman"/>
                <w:b/>
                <w:bCs/>
                <w:color w:val="auto"/>
                <w:spacing w:val="1"/>
                <w:kern w:val="0"/>
                <w:sz w:val="21"/>
                <w:szCs w:val="21"/>
                <w:u w:val="none" w:color="auto"/>
                <w:lang w:val="en-US" w:eastAsia="zh-CN" w:bidi="ar-SA"/>
              </w:rPr>
              <w:t>BOD</w:t>
            </w:r>
            <w:r>
              <w:rPr>
                <w:rFonts w:hint="default" w:ascii="Times New Roman" w:hAnsi="Times New Roman" w:eastAsia="宋体" w:cs="Times New Roman"/>
                <w:b/>
                <w:bCs/>
                <w:color w:val="auto"/>
                <w:spacing w:val="1"/>
                <w:kern w:val="0"/>
                <w:sz w:val="21"/>
                <w:szCs w:val="21"/>
                <w:u w:val="none" w:color="auto"/>
                <w:vertAlign w:val="subscript"/>
                <w:lang w:val="en-US" w:eastAsia="zh-CN" w:bidi="ar-SA"/>
              </w:rPr>
              <w:t>5</w:t>
            </w:r>
          </w:p>
        </w:tc>
        <w:tc>
          <w:tcPr>
            <w:tcW w:w="466" w:type="pct"/>
            <w:noWrap w:val="0"/>
            <w:vAlign w:val="center"/>
          </w:tcPr>
          <w:p w14:paraId="0D6332CC">
            <w:pPr>
              <w:widowControl w:val="0"/>
              <w:spacing w:line="240" w:lineRule="auto"/>
              <w:jc w:val="center"/>
              <w:rPr>
                <w:rFonts w:hint="default" w:ascii="Times New Roman" w:hAnsi="Times New Roman" w:eastAsia="宋体" w:cs="Times New Roman"/>
                <w:b/>
                <w:bCs/>
                <w:color w:val="auto"/>
                <w:spacing w:val="1"/>
                <w:kern w:val="0"/>
                <w:sz w:val="21"/>
                <w:szCs w:val="21"/>
                <w:u w:val="none" w:color="auto"/>
                <w:lang w:val="en-US" w:eastAsia="zh-CN" w:bidi="ar-SA"/>
              </w:rPr>
            </w:pPr>
            <w:r>
              <w:rPr>
                <w:rFonts w:hint="default" w:ascii="Times New Roman" w:hAnsi="Times New Roman" w:cs="Times New Roman"/>
                <w:b/>
                <w:bCs/>
                <w:color w:val="auto"/>
                <w:spacing w:val="1"/>
                <w:kern w:val="0"/>
                <w:sz w:val="21"/>
                <w:szCs w:val="21"/>
                <w:u w:val="none" w:color="auto"/>
                <w:lang w:val="en-US" w:eastAsia="zh-CN" w:bidi="ar-SA"/>
              </w:rPr>
              <w:t>氨氮</w:t>
            </w:r>
          </w:p>
        </w:tc>
        <w:tc>
          <w:tcPr>
            <w:tcW w:w="388" w:type="pct"/>
            <w:noWrap w:val="0"/>
            <w:vAlign w:val="center"/>
          </w:tcPr>
          <w:p w14:paraId="638A0654">
            <w:pPr>
              <w:widowControl w:val="0"/>
              <w:spacing w:line="240" w:lineRule="auto"/>
              <w:jc w:val="center"/>
              <w:rPr>
                <w:rFonts w:hint="default" w:ascii="Times New Roman" w:hAnsi="Times New Roman" w:eastAsia="宋体" w:cs="Times New Roman"/>
                <w:b/>
                <w:bCs/>
                <w:color w:val="auto"/>
                <w:spacing w:val="1"/>
                <w:kern w:val="0"/>
                <w:sz w:val="21"/>
                <w:szCs w:val="21"/>
                <w:u w:val="none" w:color="auto"/>
                <w:lang w:val="en-US" w:eastAsia="zh-CN" w:bidi="ar-SA"/>
              </w:rPr>
            </w:pPr>
            <w:r>
              <w:rPr>
                <w:rFonts w:hint="default" w:ascii="Times New Roman" w:hAnsi="Times New Roman" w:eastAsia="宋体" w:cs="Times New Roman"/>
                <w:b/>
                <w:bCs/>
                <w:color w:val="auto"/>
                <w:spacing w:val="1"/>
                <w:kern w:val="0"/>
                <w:sz w:val="21"/>
                <w:szCs w:val="21"/>
                <w:u w:val="none" w:color="auto"/>
                <w:lang w:val="en-US" w:eastAsia="zh-CN" w:bidi="ar-SA"/>
              </w:rPr>
              <w:t>SS</w:t>
            </w:r>
          </w:p>
        </w:tc>
        <w:tc>
          <w:tcPr>
            <w:tcW w:w="389" w:type="pct"/>
            <w:noWrap w:val="0"/>
            <w:vAlign w:val="center"/>
          </w:tcPr>
          <w:p w14:paraId="6D7A2FFD">
            <w:pPr>
              <w:widowControl w:val="0"/>
              <w:spacing w:line="240" w:lineRule="auto"/>
              <w:jc w:val="center"/>
              <w:rPr>
                <w:rFonts w:hint="default" w:ascii="Times New Roman" w:hAnsi="Times New Roman" w:eastAsia="宋体" w:cs="Times New Roman"/>
                <w:b/>
                <w:bCs/>
                <w:color w:val="auto"/>
                <w:spacing w:val="1"/>
                <w:kern w:val="0"/>
                <w:sz w:val="21"/>
                <w:szCs w:val="21"/>
                <w:u w:val="none" w:color="auto"/>
                <w:lang w:val="en-US" w:eastAsia="zh-CN" w:bidi="ar-SA"/>
              </w:rPr>
            </w:pPr>
            <w:r>
              <w:rPr>
                <w:rFonts w:hint="default" w:ascii="Times New Roman" w:hAnsi="Times New Roman" w:cs="Times New Roman"/>
                <w:b/>
                <w:bCs/>
                <w:color w:val="auto"/>
                <w:spacing w:val="1"/>
                <w:kern w:val="0"/>
                <w:sz w:val="21"/>
                <w:szCs w:val="21"/>
                <w:u w:val="none" w:color="auto"/>
                <w:lang w:val="en-US" w:eastAsia="zh-CN" w:bidi="ar-SA"/>
              </w:rPr>
              <w:t>总磷</w:t>
            </w:r>
          </w:p>
        </w:tc>
        <w:tc>
          <w:tcPr>
            <w:tcW w:w="450" w:type="pct"/>
            <w:noWrap w:val="0"/>
            <w:vAlign w:val="center"/>
          </w:tcPr>
          <w:p w14:paraId="45BE8F27">
            <w:pPr>
              <w:widowControl w:val="0"/>
              <w:spacing w:line="240" w:lineRule="auto"/>
              <w:jc w:val="center"/>
              <w:rPr>
                <w:rFonts w:hint="default" w:ascii="Times New Roman" w:hAnsi="Times New Roman" w:eastAsia="宋体" w:cs="Times New Roman"/>
                <w:b/>
                <w:bCs/>
                <w:color w:val="auto"/>
                <w:spacing w:val="1"/>
                <w:kern w:val="0"/>
                <w:sz w:val="21"/>
                <w:szCs w:val="21"/>
                <w:u w:val="none" w:color="auto"/>
                <w:lang w:val="en-US" w:eastAsia="zh-CN" w:bidi="ar-SA"/>
              </w:rPr>
            </w:pPr>
            <w:r>
              <w:rPr>
                <w:rFonts w:hint="default" w:ascii="Times New Roman" w:hAnsi="Times New Roman" w:eastAsia="宋体" w:cs="Times New Roman"/>
                <w:b/>
                <w:bCs/>
                <w:color w:val="auto"/>
                <w:spacing w:val="1"/>
                <w:kern w:val="0"/>
                <w:sz w:val="21"/>
                <w:szCs w:val="21"/>
                <w:u w:val="none" w:color="auto"/>
                <w:lang w:val="en-US" w:eastAsia="zh-CN" w:bidi="ar-SA"/>
              </w:rPr>
              <w:t>动植物油</w:t>
            </w:r>
          </w:p>
        </w:tc>
        <w:tc>
          <w:tcPr>
            <w:tcW w:w="472" w:type="pct"/>
            <w:noWrap w:val="0"/>
            <w:vAlign w:val="center"/>
          </w:tcPr>
          <w:p w14:paraId="0974A00E">
            <w:pPr>
              <w:widowControl w:val="0"/>
              <w:spacing w:line="240" w:lineRule="auto"/>
              <w:jc w:val="center"/>
              <w:rPr>
                <w:rFonts w:hint="default" w:ascii="Times New Roman" w:hAnsi="Times New Roman" w:eastAsia="宋体" w:cs="Times New Roman"/>
                <w:b/>
                <w:bCs/>
                <w:color w:val="auto"/>
                <w:spacing w:val="1"/>
                <w:kern w:val="0"/>
                <w:sz w:val="21"/>
                <w:szCs w:val="21"/>
                <w:u w:val="none" w:color="auto"/>
                <w:lang w:val="en-US" w:eastAsia="zh-CN" w:bidi="ar-SA"/>
              </w:rPr>
            </w:pPr>
            <w:r>
              <w:rPr>
                <w:rFonts w:hint="default" w:ascii="Times New Roman" w:hAnsi="Times New Roman" w:eastAsia="宋体" w:cs="Times New Roman"/>
                <w:b/>
                <w:bCs/>
                <w:color w:val="auto"/>
                <w:spacing w:val="1"/>
                <w:kern w:val="0"/>
                <w:sz w:val="21"/>
                <w:szCs w:val="21"/>
                <w:u w:val="none" w:color="auto"/>
                <w:lang w:val="en-US" w:eastAsia="zh-CN" w:bidi="ar-SA"/>
              </w:rPr>
              <w:t>pH</w:t>
            </w:r>
            <w:r>
              <w:rPr>
                <w:rFonts w:hint="default" w:ascii="Times New Roman" w:hAnsi="Times New Roman" w:cs="Times New Roman"/>
                <w:b/>
                <w:bCs/>
                <w:color w:val="auto"/>
                <w:spacing w:val="1"/>
                <w:kern w:val="0"/>
                <w:sz w:val="21"/>
                <w:szCs w:val="21"/>
                <w:u w:val="none" w:color="auto"/>
                <w:lang w:val="en-US" w:eastAsia="zh-CN" w:bidi="ar-SA"/>
              </w:rPr>
              <w:t>（无量纲）</w:t>
            </w:r>
          </w:p>
        </w:tc>
        <w:tc>
          <w:tcPr>
            <w:tcW w:w="476" w:type="pct"/>
            <w:noWrap w:val="0"/>
            <w:vAlign w:val="center"/>
          </w:tcPr>
          <w:p w14:paraId="037A3938">
            <w:pPr>
              <w:widowControl w:val="0"/>
              <w:spacing w:line="240" w:lineRule="auto"/>
              <w:jc w:val="center"/>
              <w:rPr>
                <w:rFonts w:hint="default" w:ascii="Times New Roman" w:hAnsi="Times New Roman" w:eastAsia="宋体" w:cs="Times New Roman"/>
                <w:b/>
                <w:bCs/>
                <w:color w:val="auto"/>
                <w:spacing w:val="1"/>
                <w:kern w:val="0"/>
                <w:sz w:val="21"/>
                <w:szCs w:val="21"/>
                <w:u w:val="none" w:color="auto"/>
                <w:lang w:val="en-US" w:eastAsia="zh-CN" w:bidi="ar-SA"/>
              </w:rPr>
            </w:pPr>
            <w:r>
              <w:rPr>
                <w:rFonts w:hint="default" w:ascii="Times New Roman" w:hAnsi="Times New Roman" w:eastAsia="宋体" w:cs="Times New Roman"/>
                <w:b/>
                <w:bCs/>
                <w:color w:val="auto"/>
                <w:spacing w:val="1"/>
                <w:kern w:val="0"/>
                <w:sz w:val="21"/>
                <w:szCs w:val="21"/>
                <w:u w:val="none" w:color="auto"/>
                <w:lang w:val="en-US" w:eastAsia="zh-CN" w:bidi="ar-SA"/>
              </w:rPr>
              <w:t>色度</w:t>
            </w:r>
            <w:r>
              <w:rPr>
                <w:rFonts w:hint="default" w:ascii="Times New Roman" w:hAnsi="Times New Roman" w:cs="Times New Roman"/>
                <w:b/>
                <w:bCs/>
                <w:color w:val="auto"/>
                <w:spacing w:val="1"/>
                <w:kern w:val="0"/>
                <w:sz w:val="21"/>
                <w:szCs w:val="21"/>
                <w:u w:val="none" w:color="auto"/>
                <w:lang w:val="en-US" w:eastAsia="zh-CN" w:bidi="ar-SA"/>
              </w:rPr>
              <w:t>（倍）</w:t>
            </w:r>
          </w:p>
        </w:tc>
      </w:tr>
      <w:tr w14:paraId="15A11D91">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21" w:type="pct"/>
            <w:vMerge w:val="restart"/>
            <w:noWrap w:val="0"/>
            <w:vAlign w:val="center"/>
          </w:tcPr>
          <w:p w14:paraId="1DB827BE">
            <w:pPr>
              <w:widowControl w:val="0"/>
              <w:spacing w:line="240" w:lineRule="auto"/>
              <w:jc w:val="center"/>
              <w:rPr>
                <w:rFonts w:hint="default" w:ascii="Times New Roman" w:hAnsi="Times New Roman"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综合废水</w:t>
            </w:r>
          </w:p>
          <w:p w14:paraId="70A7C814">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r>
              <w:rPr>
                <w:rFonts w:hint="eastAsia" w:ascii="Times New Roman" w:hAnsi="Times New Roman" w:cs="Times New Roman"/>
                <w:color w:val="auto"/>
                <w:spacing w:val="1"/>
                <w:kern w:val="0"/>
                <w:sz w:val="21"/>
                <w:szCs w:val="21"/>
                <w:u w:val="none" w:color="auto"/>
                <w:lang w:val="en-US" w:eastAsia="zh-CN" w:bidi="ar-SA"/>
              </w:rPr>
              <w:t>2774.28</w:t>
            </w:r>
            <w:r>
              <w:rPr>
                <w:rFonts w:hint="default" w:ascii="Times New Roman" w:hAnsi="Times New Roman" w:cs="Times New Roman"/>
                <w:color w:val="auto"/>
                <w:spacing w:val="1"/>
                <w:kern w:val="0"/>
                <w:sz w:val="21"/>
                <w:szCs w:val="21"/>
                <w:u w:val="none" w:color="auto"/>
                <w:lang w:val="en-US" w:eastAsia="zh-CN" w:bidi="ar-SA"/>
              </w:rPr>
              <w:t>t/a</w:t>
            </w:r>
          </w:p>
        </w:tc>
        <w:tc>
          <w:tcPr>
            <w:tcW w:w="683" w:type="pct"/>
            <w:noWrap w:val="0"/>
            <w:vAlign w:val="center"/>
          </w:tcPr>
          <w:p w14:paraId="37B1C1ED">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r>
              <w:rPr>
                <w:rFonts w:hint="default" w:ascii="Times New Roman" w:hAnsi="Times New Roman" w:eastAsia="宋体" w:cs="Times New Roman"/>
                <w:color w:val="auto"/>
                <w:spacing w:val="1"/>
                <w:kern w:val="0"/>
                <w:sz w:val="21"/>
                <w:szCs w:val="21"/>
                <w:u w:val="none" w:color="auto"/>
                <w:lang w:val="en-US" w:eastAsia="zh-CN" w:bidi="ar-SA"/>
              </w:rPr>
              <w:t>产生</w:t>
            </w:r>
          </w:p>
          <w:p w14:paraId="04D2D2F5">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r>
              <w:rPr>
                <w:rFonts w:hint="default" w:ascii="Times New Roman" w:hAnsi="Times New Roman" w:eastAsia="宋体" w:cs="Times New Roman"/>
                <w:color w:val="auto"/>
                <w:spacing w:val="1"/>
                <w:kern w:val="0"/>
                <w:sz w:val="21"/>
                <w:szCs w:val="21"/>
                <w:u w:val="none" w:color="auto"/>
                <w:lang w:val="en-US" w:eastAsia="zh-CN" w:bidi="ar-SA"/>
              </w:rPr>
              <w:t>浓度</w:t>
            </w:r>
          </w:p>
          <w:p w14:paraId="34390FDC">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r>
              <w:rPr>
                <w:rFonts w:hint="default" w:ascii="Times New Roman" w:hAnsi="Times New Roman" w:eastAsia="宋体" w:cs="Times New Roman"/>
                <w:color w:val="auto"/>
                <w:spacing w:val="1"/>
                <w:kern w:val="0"/>
                <w:sz w:val="21"/>
                <w:szCs w:val="21"/>
                <w:u w:val="none" w:color="auto"/>
                <w:lang w:val="en-US" w:eastAsia="zh-CN" w:bidi="ar-SA"/>
              </w:rPr>
              <w:t>（mg/L）</w:t>
            </w:r>
          </w:p>
        </w:tc>
        <w:tc>
          <w:tcPr>
            <w:tcW w:w="849" w:type="dxa"/>
            <w:noWrap w:val="0"/>
            <w:vAlign w:val="center"/>
          </w:tcPr>
          <w:p w14:paraId="3DD10A92">
            <w:pPr>
              <w:keepNext w:val="0"/>
              <w:keepLines w:val="0"/>
              <w:widowControl/>
              <w:suppressLineNumbers w:val="0"/>
              <w:spacing w:line="240" w:lineRule="auto"/>
              <w:jc w:val="center"/>
              <w:textAlignment w:val="center"/>
              <w:rPr>
                <w:rFonts w:hint="default" w:ascii="Times New Roman" w:hAnsi="Times New Roman" w:eastAsia="宋体"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1342</w:t>
            </w:r>
          </w:p>
        </w:tc>
        <w:tc>
          <w:tcPr>
            <w:tcW w:w="770" w:type="dxa"/>
            <w:noWrap w:val="0"/>
            <w:vAlign w:val="center"/>
          </w:tcPr>
          <w:p w14:paraId="0E925ADF">
            <w:pPr>
              <w:keepNext w:val="0"/>
              <w:keepLines w:val="0"/>
              <w:widowControl/>
              <w:suppressLineNumbers w:val="0"/>
              <w:spacing w:line="240" w:lineRule="auto"/>
              <w:jc w:val="center"/>
              <w:textAlignment w:val="center"/>
              <w:rPr>
                <w:rFonts w:hint="default" w:ascii="Times New Roman" w:hAnsi="Times New Roman" w:eastAsia="宋体"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948</w:t>
            </w:r>
          </w:p>
        </w:tc>
        <w:tc>
          <w:tcPr>
            <w:tcW w:w="793" w:type="dxa"/>
            <w:noWrap w:val="0"/>
            <w:vAlign w:val="center"/>
          </w:tcPr>
          <w:p w14:paraId="28ABD179">
            <w:pPr>
              <w:keepNext w:val="0"/>
              <w:keepLines w:val="0"/>
              <w:widowControl/>
              <w:suppressLineNumbers w:val="0"/>
              <w:spacing w:line="240" w:lineRule="auto"/>
              <w:jc w:val="center"/>
              <w:textAlignment w:val="center"/>
              <w:rPr>
                <w:rFonts w:hint="default" w:ascii="Times New Roman" w:hAnsi="Times New Roman" w:eastAsia="宋体"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39.9</w:t>
            </w:r>
          </w:p>
        </w:tc>
        <w:tc>
          <w:tcPr>
            <w:tcW w:w="661" w:type="dxa"/>
            <w:noWrap w:val="0"/>
            <w:vAlign w:val="center"/>
          </w:tcPr>
          <w:p w14:paraId="6EAC289E">
            <w:pPr>
              <w:keepNext w:val="0"/>
              <w:keepLines w:val="0"/>
              <w:widowControl/>
              <w:suppressLineNumbers w:val="0"/>
              <w:spacing w:line="240" w:lineRule="auto"/>
              <w:jc w:val="center"/>
              <w:textAlignment w:val="center"/>
              <w:rPr>
                <w:rFonts w:hint="default" w:ascii="Times New Roman" w:hAnsi="Times New Roman" w:eastAsia="宋体"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1200</w:t>
            </w:r>
          </w:p>
        </w:tc>
        <w:tc>
          <w:tcPr>
            <w:tcW w:w="662" w:type="dxa"/>
            <w:noWrap w:val="0"/>
            <w:vAlign w:val="center"/>
          </w:tcPr>
          <w:p w14:paraId="47772D33">
            <w:pPr>
              <w:keepNext w:val="0"/>
              <w:keepLines w:val="0"/>
              <w:widowControl/>
              <w:suppressLineNumbers w:val="0"/>
              <w:spacing w:line="240" w:lineRule="auto"/>
              <w:jc w:val="center"/>
              <w:textAlignment w:val="center"/>
              <w:rPr>
                <w:rFonts w:hint="default" w:ascii="Times New Roman" w:hAnsi="Times New Roman"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3.68</w:t>
            </w:r>
          </w:p>
        </w:tc>
        <w:tc>
          <w:tcPr>
            <w:tcW w:w="767" w:type="dxa"/>
            <w:noWrap w:val="0"/>
            <w:vAlign w:val="center"/>
          </w:tcPr>
          <w:p w14:paraId="37C91B98">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47.8</w:t>
            </w:r>
          </w:p>
        </w:tc>
        <w:tc>
          <w:tcPr>
            <w:tcW w:w="803" w:type="dxa"/>
            <w:noWrap w:val="0"/>
            <w:vAlign w:val="center"/>
          </w:tcPr>
          <w:p w14:paraId="725897F5">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r>
              <w:rPr>
                <w:rFonts w:hint="default" w:ascii="Times New Roman" w:hAnsi="Times New Roman" w:cs="Times New Roman"/>
                <w:color w:val="auto"/>
                <w:kern w:val="0"/>
                <w:sz w:val="21"/>
                <w:szCs w:val="21"/>
                <w:highlight w:val="none"/>
                <w:u w:val="none" w:color="auto"/>
                <w:vertAlign w:val="baseline"/>
                <w:lang w:val="en-US" w:eastAsia="zh-CN"/>
              </w:rPr>
              <w:t>7.6</w:t>
            </w:r>
            <w:r>
              <w:rPr>
                <w:rStyle w:val="69"/>
                <w:rFonts w:hint="default" w:ascii="Times New Roman" w:hAnsi="Times New Roman" w:eastAsia="宋体" w:cs="Times New Roman"/>
                <w:color w:val="auto"/>
                <w:u w:val="none" w:color="auto"/>
                <w:lang w:val="en-US" w:eastAsia="zh-CN" w:bidi="ar"/>
              </w:rPr>
              <w:t>~</w:t>
            </w:r>
            <w:r>
              <w:rPr>
                <w:rFonts w:hint="default" w:ascii="Times New Roman" w:hAnsi="Times New Roman" w:cs="Times New Roman"/>
                <w:color w:val="auto"/>
                <w:kern w:val="0"/>
                <w:sz w:val="21"/>
                <w:szCs w:val="21"/>
                <w:highlight w:val="none"/>
                <w:u w:val="none" w:color="auto"/>
                <w:vertAlign w:val="baseline"/>
                <w:lang w:val="en-US" w:eastAsia="zh-CN"/>
              </w:rPr>
              <w:t>7.8</w:t>
            </w:r>
          </w:p>
        </w:tc>
        <w:tc>
          <w:tcPr>
            <w:tcW w:w="810" w:type="dxa"/>
            <w:noWrap w:val="0"/>
            <w:vAlign w:val="center"/>
          </w:tcPr>
          <w:p w14:paraId="014F66EE">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256</w:t>
            </w:r>
          </w:p>
        </w:tc>
      </w:tr>
      <w:tr w14:paraId="242A220F">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721" w:type="pct"/>
            <w:vMerge w:val="continue"/>
            <w:noWrap w:val="0"/>
            <w:vAlign w:val="center"/>
          </w:tcPr>
          <w:p w14:paraId="2FF2E888">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p>
        </w:tc>
        <w:tc>
          <w:tcPr>
            <w:tcW w:w="683" w:type="pct"/>
            <w:noWrap w:val="0"/>
            <w:vAlign w:val="center"/>
          </w:tcPr>
          <w:p w14:paraId="2BA02770">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r>
              <w:rPr>
                <w:rFonts w:hint="default" w:ascii="Times New Roman" w:hAnsi="Times New Roman" w:eastAsia="宋体" w:cs="Times New Roman"/>
                <w:color w:val="auto"/>
                <w:spacing w:val="1"/>
                <w:kern w:val="0"/>
                <w:sz w:val="21"/>
                <w:szCs w:val="21"/>
                <w:u w:val="none" w:color="auto"/>
                <w:lang w:val="en-US" w:eastAsia="zh-CN" w:bidi="ar-SA"/>
              </w:rPr>
              <w:t>产生量</w:t>
            </w:r>
          </w:p>
          <w:p w14:paraId="53E4F0A8">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r>
              <w:rPr>
                <w:rFonts w:hint="default" w:ascii="Times New Roman" w:hAnsi="Times New Roman" w:eastAsia="宋体" w:cs="Times New Roman"/>
                <w:color w:val="auto"/>
                <w:spacing w:val="1"/>
                <w:kern w:val="0"/>
                <w:sz w:val="21"/>
                <w:szCs w:val="21"/>
                <w:u w:val="none" w:color="auto"/>
                <w:lang w:val="en-US" w:eastAsia="zh-CN" w:bidi="ar-SA"/>
              </w:rPr>
              <w:t>（t/a）</w:t>
            </w:r>
          </w:p>
        </w:tc>
        <w:tc>
          <w:tcPr>
            <w:tcW w:w="849" w:type="dxa"/>
            <w:noWrap w:val="0"/>
            <w:vAlign w:val="center"/>
          </w:tcPr>
          <w:p w14:paraId="55330BB2">
            <w:pPr>
              <w:keepNext w:val="0"/>
              <w:keepLines w:val="0"/>
              <w:widowControl/>
              <w:suppressLineNumbers w:val="0"/>
              <w:spacing w:line="240" w:lineRule="auto"/>
              <w:jc w:val="center"/>
              <w:textAlignment w:val="center"/>
              <w:rPr>
                <w:rFonts w:hint="default" w:ascii="Times New Roman" w:hAnsi="Times New Roman" w:cs="Times New Roman"/>
                <w:sz w:val="21"/>
                <w:szCs w:val="21"/>
                <w:u w:val="single" w:color="auto"/>
                <w:lang w:val="en-US" w:eastAsia="zh-CN"/>
              </w:rPr>
            </w:pPr>
            <w:r>
              <w:rPr>
                <w:rFonts w:hint="eastAsia"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3.723 </w:t>
            </w:r>
          </w:p>
        </w:tc>
        <w:tc>
          <w:tcPr>
            <w:tcW w:w="770" w:type="dxa"/>
            <w:noWrap w:val="0"/>
            <w:vAlign w:val="center"/>
          </w:tcPr>
          <w:p w14:paraId="5268C730">
            <w:pPr>
              <w:keepNext w:val="0"/>
              <w:keepLines w:val="0"/>
              <w:widowControl/>
              <w:suppressLineNumbers w:val="0"/>
              <w:spacing w:line="240" w:lineRule="auto"/>
              <w:jc w:val="center"/>
              <w:textAlignment w:val="center"/>
              <w:rPr>
                <w:rFonts w:hint="default" w:ascii="Times New Roman" w:hAnsi="Times New Roman" w:cs="Times New Roman"/>
                <w:sz w:val="21"/>
                <w:szCs w:val="21"/>
                <w:u w:val="single" w:color="auto"/>
                <w:lang w:val="en-US" w:eastAsia="zh-CN"/>
              </w:rPr>
            </w:pPr>
            <w:r>
              <w:rPr>
                <w:rFonts w:hint="eastAsia"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2.630 </w:t>
            </w:r>
          </w:p>
        </w:tc>
        <w:tc>
          <w:tcPr>
            <w:tcW w:w="793" w:type="dxa"/>
            <w:noWrap w:val="0"/>
            <w:vAlign w:val="center"/>
          </w:tcPr>
          <w:p w14:paraId="7F3ADDAE">
            <w:pPr>
              <w:keepNext w:val="0"/>
              <w:keepLines w:val="0"/>
              <w:widowControl/>
              <w:suppressLineNumbers w:val="0"/>
              <w:spacing w:line="240" w:lineRule="auto"/>
              <w:jc w:val="center"/>
              <w:textAlignment w:val="center"/>
              <w:rPr>
                <w:rFonts w:hint="default" w:ascii="Times New Roman" w:hAnsi="Times New Roman" w:cs="Times New Roman"/>
                <w:sz w:val="21"/>
                <w:szCs w:val="21"/>
                <w:u w:val="single" w:color="auto"/>
                <w:lang w:val="en-US" w:eastAsia="zh-CN"/>
              </w:rPr>
            </w:pPr>
            <w:r>
              <w:rPr>
                <w:rFonts w:hint="eastAsia"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0.111 </w:t>
            </w:r>
          </w:p>
        </w:tc>
        <w:tc>
          <w:tcPr>
            <w:tcW w:w="661" w:type="dxa"/>
            <w:noWrap w:val="0"/>
            <w:vAlign w:val="center"/>
          </w:tcPr>
          <w:p w14:paraId="3B3B283C">
            <w:pPr>
              <w:keepNext w:val="0"/>
              <w:keepLines w:val="0"/>
              <w:widowControl/>
              <w:suppressLineNumbers w:val="0"/>
              <w:spacing w:line="240" w:lineRule="auto"/>
              <w:jc w:val="center"/>
              <w:textAlignment w:val="center"/>
              <w:rPr>
                <w:rFonts w:hint="default" w:ascii="Times New Roman" w:hAnsi="Times New Roman" w:cs="Times New Roman"/>
                <w:sz w:val="21"/>
                <w:szCs w:val="21"/>
                <w:u w:val="single" w:color="auto"/>
                <w:lang w:val="en-US" w:eastAsia="zh-CN"/>
              </w:rPr>
            </w:pPr>
            <w:r>
              <w:rPr>
                <w:rFonts w:hint="eastAsia"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3.329 </w:t>
            </w:r>
          </w:p>
        </w:tc>
        <w:tc>
          <w:tcPr>
            <w:tcW w:w="662" w:type="dxa"/>
            <w:noWrap w:val="0"/>
            <w:vAlign w:val="center"/>
          </w:tcPr>
          <w:p w14:paraId="65CCF423">
            <w:pPr>
              <w:keepNext w:val="0"/>
              <w:keepLines w:val="0"/>
              <w:widowControl/>
              <w:suppressLineNumbers w:val="0"/>
              <w:spacing w:line="240" w:lineRule="auto"/>
              <w:jc w:val="center"/>
              <w:textAlignment w:val="center"/>
              <w:rPr>
                <w:rFonts w:hint="default" w:ascii="Times New Roman" w:hAnsi="Times New Roman" w:cs="Times New Roman"/>
                <w:sz w:val="21"/>
                <w:szCs w:val="21"/>
                <w:u w:val="single" w:color="auto"/>
                <w:lang w:val="en-US" w:eastAsia="zh-CN"/>
              </w:rPr>
            </w:pPr>
            <w:r>
              <w:rPr>
                <w:rFonts w:hint="eastAsia"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0.010 </w:t>
            </w:r>
          </w:p>
        </w:tc>
        <w:tc>
          <w:tcPr>
            <w:tcW w:w="767" w:type="dxa"/>
            <w:noWrap w:val="0"/>
            <w:vAlign w:val="center"/>
          </w:tcPr>
          <w:p w14:paraId="73F46249">
            <w:pPr>
              <w:keepNext w:val="0"/>
              <w:keepLines w:val="0"/>
              <w:widowControl/>
              <w:suppressLineNumbers w:val="0"/>
              <w:spacing w:line="240" w:lineRule="auto"/>
              <w:jc w:val="center"/>
              <w:textAlignment w:val="center"/>
              <w:rPr>
                <w:rFonts w:hint="default" w:ascii="Times New Roman" w:hAnsi="Times New Roman" w:cs="Times New Roman"/>
                <w:sz w:val="21"/>
                <w:szCs w:val="21"/>
                <w:u w:val="single" w:color="auto"/>
                <w:lang w:val="en-US" w:eastAsia="zh-CN"/>
              </w:rPr>
            </w:pPr>
            <w:r>
              <w:rPr>
                <w:rFonts w:hint="eastAsia"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0.133 </w:t>
            </w:r>
          </w:p>
        </w:tc>
        <w:tc>
          <w:tcPr>
            <w:tcW w:w="803" w:type="dxa"/>
            <w:noWrap w:val="0"/>
            <w:vAlign w:val="center"/>
          </w:tcPr>
          <w:p w14:paraId="5C90DD99">
            <w:pPr>
              <w:widowControl w:val="0"/>
              <w:spacing w:line="240" w:lineRule="auto"/>
              <w:jc w:val="center"/>
              <w:rPr>
                <w:rFonts w:hint="default" w:ascii="Times New Roman" w:hAnsi="Times New Roman" w:eastAsia="宋体" w:cs="Times New Roman"/>
                <w:color w:val="auto"/>
                <w:spacing w:val="1"/>
                <w:kern w:val="0"/>
                <w:sz w:val="21"/>
                <w:szCs w:val="21"/>
                <w:u w:val="single" w:color="auto"/>
                <w:lang w:val="en-US" w:eastAsia="zh-CN" w:bidi="ar-SA"/>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w:t>
            </w:r>
          </w:p>
        </w:tc>
        <w:tc>
          <w:tcPr>
            <w:tcW w:w="810" w:type="dxa"/>
            <w:noWrap w:val="0"/>
            <w:vAlign w:val="center"/>
          </w:tcPr>
          <w:p w14:paraId="15921ECD">
            <w:pPr>
              <w:widowControl w:val="0"/>
              <w:spacing w:line="240" w:lineRule="auto"/>
              <w:jc w:val="center"/>
              <w:rPr>
                <w:rFonts w:hint="default" w:ascii="Times New Roman" w:hAnsi="Times New Roman" w:eastAsia="宋体" w:cs="Times New Roman"/>
                <w:color w:val="auto"/>
                <w:spacing w:val="1"/>
                <w:kern w:val="0"/>
                <w:sz w:val="21"/>
                <w:szCs w:val="21"/>
                <w:u w:val="single" w:color="auto"/>
                <w:lang w:val="en-US" w:eastAsia="zh-CN" w:bidi="ar-SA"/>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w:t>
            </w:r>
          </w:p>
        </w:tc>
      </w:tr>
      <w:tr w14:paraId="0140DC4B">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21" w:type="pct"/>
            <w:vMerge w:val="continue"/>
            <w:noWrap w:val="0"/>
            <w:vAlign w:val="center"/>
          </w:tcPr>
          <w:p w14:paraId="678AA5D9">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p>
        </w:tc>
        <w:tc>
          <w:tcPr>
            <w:tcW w:w="683" w:type="pct"/>
            <w:noWrap w:val="0"/>
            <w:vAlign w:val="center"/>
          </w:tcPr>
          <w:p w14:paraId="45D12D59">
            <w:pPr>
              <w:widowControl w:val="0"/>
              <w:spacing w:line="240" w:lineRule="auto"/>
              <w:jc w:val="center"/>
              <w:rPr>
                <w:rFonts w:hint="default" w:ascii="Times New Roman" w:hAnsi="Times New Roman"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处理</w:t>
            </w:r>
          </w:p>
          <w:p w14:paraId="0263F812">
            <w:pPr>
              <w:widowControl w:val="0"/>
              <w:spacing w:line="240" w:lineRule="auto"/>
              <w:jc w:val="center"/>
              <w:rPr>
                <w:rFonts w:hint="default" w:ascii="Times New Roman" w:hAnsi="Times New Roman"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措施</w:t>
            </w:r>
          </w:p>
        </w:tc>
        <w:tc>
          <w:tcPr>
            <w:tcW w:w="3594" w:type="pct"/>
            <w:gridSpan w:val="8"/>
            <w:noWrap w:val="0"/>
            <w:vAlign w:val="center"/>
          </w:tcPr>
          <w:p w14:paraId="1B37AFE0">
            <w:pPr>
              <w:widowControl w:val="0"/>
              <w:spacing w:line="240" w:lineRule="auto"/>
              <w:jc w:val="center"/>
              <w:rPr>
                <w:rFonts w:hint="default" w:ascii="Times New Roman" w:hAnsi="Times New Roman"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生活污水经隔油、化粪池处理后和生产废水一起经厂区内污水处理设施处理达标后经自建排水管排入青山河</w:t>
            </w:r>
          </w:p>
        </w:tc>
      </w:tr>
      <w:tr w14:paraId="69D3F6C2">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21" w:type="pct"/>
            <w:vMerge w:val="continue"/>
            <w:noWrap w:val="0"/>
            <w:vAlign w:val="center"/>
          </w:tcPr>
          <w:p w14:paraId="09AA69BE">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p>
        </w:tc>
        <w:tc>
          <w:tcPr>
            <w:tcW w:w="683" w:type="pct"/>
            <w:noWrap w:val="0"/>
            <w:vAlign w:val="center"/>
          </w:tcPr>
          <w:p w14:paraId="1E48C237">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排放</w:t>
            </w:r>
            <w:r>
              <w:rPr>
                <w:rFonts w:hint="default" w:ascii="Times New Roman" w:hAnsi="Times New Roman" w:eastAsia="宋体" w:cs="Times New Roman"/>
                <w:color w:val="auto"/>
                <w:spacing w:val="1"/>
                <w:kern w:val="0"/>
                <w:sz w:val="21"/>
                <w:szCs w:val="21"/>
                <w:u w:val="none" w:color="auto"/>
                <w:lang w:val="en-US" w:eastAsia="zh-CN" w:bidi="ar-SA"/>
              </w:rPr>
              <w:t>浓度（mg/L）</w:t>
            </w:r>
          </w:p>
        </w:tc>
        <w:tc>
          <w:tcPr>
            <w:tcW w:w="499" w:type="pct"/>
            <w:noWrap w:val="0"/>
            <w:vAlign w:val="center"/>
          </w:tcPr>
          <w:p w14:paraId="7D152ACD">
            <w:pPr>
              <w:keepNext w:val="0"/>
              <w:keepLines w:val="0"/>
              <w:widowControl/>
              <w:suppressLineNumbers w:val="0"/>
              <w:spacing w:line="240" w:lineRule="auto"/>
              <w:jc w:val="center"/>
              <w:textAlignment w:val="center"/>
              <w:rPr>
                <w:rFonts w:hint="default" w:ascii="Times New Roman" w:hAnsi="Times New Roman"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100</w:t>
            </w:r>
          </w:p>
        </w:tc>
        <w:tc>
          <w:tcPr>
            <w:tcW w:w="452" w:type="pct"/>
            <w:noWrap w:val="0"/>
            <w:vAlign w:val="center"/>
          </w:tcPr>
          <w:p w14:paraId="01C8CA8A">
            <w:pPr>
              <w:keepNext w:val="0"/>
              <w:keepLines w:val="0"/>
              <w:widowControl/>
              <w:suppressLineNumbers w:val="0"/>
              <w:spacing w:line="240" w:lineRule="auto"/>
              <w:jc w:val="center"/>
              <w:textAlignment w:val="center"/>
              <w:rPr>
                <w:rFonts w:hint="default" w:ascii="Times New Roman" w:hAnsi="Times New Roman" w:cs="Times New Roman"/>
                <w:color w:val="auto"/>
                <w:spacing w:val="1"/>
                <w:kern w:val="0"/>
                <w:sz w:val="21"/>
                <w:szCs w:val="21"/>
                <w:u w:val="none" w:color="auto"/>
                <w:lang w:val="en-US" w:eastAsia="zh-CN" w:bidi="ar-SA"/>
              </w:rPr>
            </w:pPr>
            <w:r>
              <w:rPr>
                <w:rFonts w:hint="eastAsia" w:ascii="Times New Roman" w:hAnsi="Times New Roman" w:cs="Times New Roman"/>
                <w:color w:val="auto"/>
                <w:spacing w:val="1"/>
                <w:kern w:val="0"/>
                <w:sz w:val="21"/>
                <w:szCs w:val="21"/>
                <w:u w:val="none" w:color="auto"/>
                <w:lang w:val="en-US" w:eastAsia="zh-CN" w:bidi="ar-SA"/>
              </w:rPr>
              <w:t>30</w:t>
            </w:r>
          </w:p>
        </w:tc>
        <w:tc>
          <w:tcPr>
            <w:tcW w:w="466" w:type="pct"/>
            <w:noWrap w:val="0"/>
            <w:vAlign w:val="center"/>
          </w:tcPr>
          <w:p w14:paraId="3BC260E9">
            <w:pPr>
              <w:keepNext w:val="0"/>
              <w:keepLines w:val="0"/>
              <w:widowControl/>
              <w:suppressLineNumbers w:val="0"/>
              <w:spacing w:line="240" w:lineRule="auto"/>
              <w:jc w:val="center"/>
              <w:textAlignment w:val="center"/>
              <w:rPr>
                <w:rFonts w:hint="default" w:ascii="Times New Roman" w:hAnsi="Times New Roman"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15</w:t>
            </w:r>
          </w:p>
        </w:tc>
        <w:tc>
          <w:tcPr>
            <w:tcW w:w="388" w:type="pct"/>
            <w:noWrap w:val="0"/>
            <w:vAlign w:val="center"/>
          </w:tcPr>
          <w:p w14:paraId="07538D9E">
            <w:pPr>
              <w:keepNext w:val="0"/>
              <w:keepLines w:val="0"/>
              <w:widowControl/>
              <w:suppressLineNumbers w:val="0"/>
              <w:spacing w:line="240" w:lineRule="auto"/>
              <w:jc w:val="center"/>
              <w:textAlignment w:val="center"/>
              <w:rPr>
                <w:rFonts w:hint="default" w:ascii="Times New Roman" w:hAnsi="Times New Roman"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70</w:t>
            </w:r>
          </w:p>
        </w:tc>
        <w:tc>
          <w:tcPr>
            <w:tcW w:w="389" w:type="pct"/>
            <w:noWrap w:val="0"/>
            <w:vAlign w:val="center"/>
          </w:tcPr>
          <w:p w14:paraId="5A867851">
            <w:pPr>
              <w:keepNext w:val="0"/>
              <w:keepLines w:val="0"/>
              <w:widowControl/>
              <w:suppressLineNumbers w:val="0"/>
              <w:spacing w:line="240" w:lineRule="auto"/>
              <w:jc w:val="center"/>
              <w:textAlignment w:val="center"/>
              <w:rPr>
                <w:rFonts w:hint="default" w:ascii="Times New Roman" w:hAnsi="Times New Roman" w:cs="Times New Roman"/>
                <w:color w:val="auto"/>
                <w:spacing w:val="1"/>
                <w:kern w:val="0"/>
                <w:sz w:val="21"/>
                <w:szCs w:val="21"/>
                <w:u w:val="none" w:color="auto"/>
                <w:lang w:val="en-US" w:eastAsia="zh-CN" w:bidi="ar-SA"/>
              </w:rPr>
            </w:pPr>
            <w:r>
              <w:rPr>
                <w:rFonts w:hint="eastAsia" w:ascii="Times New Roman" w:hAnsi="Times New Roman" w:cs="Times New Roman"/>
                <w:color w:val="auto"/>
                <w:spacing w:val="1"/>
                <w:kern w:val="0"/>
                <w:sz w:val="21"/>
                <w:szCs w:val="21"/>
                <w:u w:val="none" w:color="auto"/>
                <w:lang w:val="en-US" w:eastAsia="zh-CN" w:bidi="ar-SA"/>
              </w:rPr>
              <w:t>1</w:t>
            </w:r>
          </w:p>
        </w:tc>
        <w:tc>
          <w:tcPr>
            <w:tcW w:w="450" w:type="pct"/>
            <w:noWrap w:val="0"/>
            <w:vAlign w:val="center"/>
          </w:tcPr>
          <w:p w14:paraId="3380D637">
            <w:pPr>
              <w:keepNext w:val="0"/>
              <w:keepLines w:val="0"/>
              <w:widowControl/>
              <w:suppressLineNumbers w:val="0"/>
              <w:spacing w:line="240" w:lineRule="auto"/>
              <w:jc w:val="center"/>
              <w:textAlignment w:val="center"/>
              <w:rPr>
                <w:rFonts w:hint="default" w:ascii="Times New Roman" w:hAnsi="Times New Roman"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10</w:t>
            </w:r>
          </w:p>
        </w:tc>
        <w:tc>
          <w:tcPr>
            <w:tcW w:w="472" w:type="pct"/>
            <w:noWrap w:val="0"/>
            <w:vAlign w:val="center"/>
          </w:tcPr>
          <w:p w14:paraId="0548E25D">
            <w:pPr>
              <w:widowControl w:val="0"/>
              <w:spacing w:line="240" w:lineRule="auto"/>
              <w:jc w:val="center"/>
              <w:rPr>
                <w:rFonts w:hint="default" w:ascii="Times New Roman" w:hAnsi="Times New Roman" w:cs="Times New Roman"/>
                <w:color w:val="auto"/>
                <w:spacing w:val="1"/>
                <w:kern w:val="0"/>
                <w:sz w:val="21"/>
                <w:szCs w:val="21"/>
                <w:u w:val="none" w:color="auto"/>
                <w:lang w:val="en-US" w:eastAsia="zh-CN" w:bidi="ar-SA"/>
              </w:rPr>
            </w:pPr>
            <w:r>
              <w:rPr>
                <w:rStyle w:val="69"/>
                <w:rFonts w:hint="default" w:ascii="Times New Roman" w:hAnsi="Times New Roman" w:eastAsia="宋体" w:cs="Times New Roman"/>
                <w:color w:val="auto"/>
                <w:u w:val="none" w:color="auto"/>
                <w:lang w:val="en-US" w:eastAsia="zh-CN" w:bidi="ar"/>
              </w:rPr>
              <w:t>6~9</w:t>
            </w:r>
          </w:p>
        </w:tc>
        <w:tc>
          <w:tcPr>
            <w:tcW w:w="476" w:type="pct"/>
            <w:noWrap w:val="0"/>
            <w:vAlign w:val="center"/>
          </w:tcPr>
          <w:p w14:paraId="2CEA12F7">
            <w:pPr>
              <w:widowControl w:val="0"/>
              <w:spacing w:line="240" w:lineRule="auto"/>
              <w:jc w:val="center"/>
              <w:rPr>
                <w:rFonts w:hint="default" w:ascii="Times New Roman" w:hAnsi="Times New Roman"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50</w:t>
            </w:r>
          </w:p>
        </w:tc>
      </w:tr>
      <w:tr w14:paraId="32090D92">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21" w:type="pct"/>
            <w:vMerge w:val="continue"/>
            <w:noWrap w:val="0"/>
            <w:vAlign w:val="center"/>
          </w:tcPr>
          <w:p w14:paraId="434E8577">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p>
        </w:tc>
        <w:tc>
          <w:tcPr>
            <w:tcW w:w="683" w:type="pct"/>
            <w:noWrap w:val="0"/>
            <w:vAlign w:val="center"/>
          </w:tcPr>
          <w:p w14:paraId="7BC438FA">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r>
              <w:rPr>
                <w:rFonts w:hint="default" w:ascii="Times New Roman" w:hAnsi="Times New Roman" w:cs="Times New Roman"/>
                <w:color w:val="auto"/>
                <w:spacing w:val="1"/>
                <w:kern w:val="0"/>
                <w:sz w:val="21"/>
                <w:szCs w:val="21"/>
                <w:u w:val="none" w:color="auto"/>
                <w:lang w:val="en-US" w:eastAsia="zh-CN" w:bidi="ar-SA"/>
              </w:rPr>
              <w:t>排放</w:t>
            </w:r>
            <w:r>
              <w:rPr>
                <w:rFonts w:hint="default" w:ascii="Times New Roman" w:hAnsi="Times New Roman" w:eastAsia="宋体" w:cs="Times New Roman"/>
                <w:color w:val="auto"/>
                <w:spacing w:val="1"/>
                <w:kern w:val="0"/>
                <w:sz w:val="21"/>
                <w:szCs w:val="21"/>
                <w:u w:val="none" w:color="auto"/>
                <w:lang w:val="en-US" w:eastAsia="zh-CN" w:bidi="ar-SA"/>
              </w:rPr>
              <w:t>量</w:t>
            </w:r>
          </w:p>
          <w:p w14:paraId="256496B6">
            <w:pPr>
              <w:widowControl w:val="0"/>
              <w:spacing w:line="240" w:lineRule="auto"/>
              <w:jc w:val="center"/>
              <w:rPr>
                <w:rFonts w:hint="default" w:ascii="Times New Roman" w:hAnsi="Times New Roman" w:eastAsia="宋体" w:cs="Times New Roman"/>
                <w:color w:val="auto"/>
                <w:spacing w:val="1"/>
                <w:kern w:val="0"/>
                <w:sz w:val="21"/>
                <w:szCs w:val="21"/>
                <w:u w:val="none" w:color="auto"/>
                <w:lang w:val="en-US" w:eastAsia="zh-CN" w:bidi="ar-SA"/>
              </w:rPr>
            </w:pPr>
            <w:r>
              <w:rPr>
                <w:rFonts w:hint="default" w:ascii="Times New Roman" w:hAnsi="Times New Roman" w:eastAsia="宋体" w:cs="Times New Roman"/>
                <w:color w:val="auto"/>
                <w:spacing w:val="1"/>
                <w:kern w:val="0"/>
                <w:sz w:val="21"/>
                <w:szCs w:val="21"/>
                <w:u w:val="none" w:color="auto"/>
                <w:lang w:val="en-US" w:eastAsia="zh-CN" w:bidi="ar-SA"/>
              </w:rPr>
              <w:t>（t/a）</w:t>
            </w:r>
          </w:p>
        </w:tc>
        <w:tc>
          <w:tcPr>
            <w:tcW w:w="849" w:type="dxa"/>
            <w:noWrap w:val="0"/>
            <w:vAlign w:val="center"/>
          </w:tcPr>
          <w:p w14:paraId="7406D81F">
            <w:pPr>
              <w:keepNext w:val="0"/>
              <w:keepLines w:val="0"/>
              <w:widowControl/>
              <w:suppressLineNumbers w:val="0"/>
              <w:spacing w:line="240" w:lineRule="auto"/>
              <w:jc w:val="center"/>
              <w:textAlignment w:val="center"/>
              <w:rPr>
                <w:rFonts w:hint="default" w:ascii="Times New Roman" w:hAnsi="Times New Roman" w:cs="Times New Roman"/>
                <w:sz w:val="21"/>
                <w:szCs w:val="21"/>
                <w:u w:val="none" w:color="auto"/>
                <w:lang w:val="en-US" w:eastAsia="zh-CN"/>
              </w:rPr>
            </w:pPr>
            <w:r>
              <w:rPr>
                <w:rFonts w:hint="eastAsia"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0.277 </w:t>
            </w:r>
          </w:p>
        </w:tc>
        <w:tc>
          <w:tcPr>
            <w:tcW w:w="770" w:type="dxa"/>
            <w:noWrap w:val="0"/>
            <w:vAlign w:val="center"/>
          </w:tcPr>
          <w:p w14:paraId="4B009159">
            <w:pPr>
              <w:keepNext w:val="0"/>
              <w:keepLines w:val="0"/>
              <w:widowControl/>
              <w:suppressLineNumbers w:val="0"/>
              <w:spacing w:line="240" w:lineRule="auto"/>
              <w:jc w:val="center"/>
              <w:textAlignment w:val="center"/>
              <w:rPr>
                <w:rFonts w:hint="default" w:ascii="Times New Roman" w:hAnsi="Times New Roman" w:cs="Times New Roman"/>
                <w:sz w:val="21"/>
                <w:szCs w:val="21"/>
                <w:u w:val="none" w:color="auto"/>
                <w:lang w:val="en-US" w:eastAsia="zh-CN"/>
              </w:rPr>
            </w:pPr>
            <w:r>
              <w:rPr>
                <w:rFonts w:hint="eastAsia"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0.083 </w:t>
            </w:r>
          </w:p>
        </w:tc>
        <w:tc>
          <w:tcPr>
            <w:tcW w:w="793" w:type="dxa"/>
            <w:noWrap w:val="0"/>
            <w:vAlign w:val="center"/>
          </w:tcPr>
          <w:p w14:paraId="586D3E56">
            <w:pPr>
              <w:keepNext w:val="0"/>
              <w:keepLines w:val="0"/>
              <w:widowControl/>
              <w:suppressLineNumbers w:val="0"/>
              <w:spacing w:line="240" w:lineRule="auto"/>
              <w:jc w:val="center"/>
              <w:textAlignment w:val="center"/>
              <w:rPr>
                <w:rFonts w:hint="default" w:ascii="Times New Roman" w:hAnsi="Times New Roman" w:cs="Times New Roman"/>
                <w:sz w:val="21"/>
                <w:szCs w:val="21"/>
                <w:u w:val="none" w:color="auto"/>
                <w:lang w:val="en-US" w:eastAsia="zh-CN"/>
              </w:rPr>
            </w:pPr>
            <w:r>
              <w:rPr>
                <w:rFonts w:hint="eastAsia"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0.042 </w:t>
            </w:r>
          </w:p>
        </w:tc>
        <w:tc>
          <w:tcPr>
            <w:tcW w:w="661" w:type="dxa"/>
            <w:noWrap w:val="0"/>
            <w:vAlign w:val="center"/>
          </w:tcPr>
          <w:p w14:paraId="116A88E7">
            <w:pPr>
              <w:keepNext w:val="0"/>
              <w:keepLines w:val="0"/>
              <w:widowControl/>
              <w:suppressLineNumbers w:val="0"/>
              <w:spacing w:line="240" w:lineRule="auto"/>
              <w:jc w:val="center"/>
              <w:textAlignment w:val="center"/>
              <w:rPr>
                <w:rFonts w:hint="default" w:ascii="Times New Roman" w:hAnsi="Times New Roman" w:cs="Times New Roman"/>
                <w:sz w:val="21"/>
                <w:szCs w:val="21"/>
                <w:u w:val="none" w:color="auto"/>
                <w:lang w:val="en-US" w:eastAsia="zh-CN"/>
              </w:rPr>
            </w:pPr>
            <w:r>
              <w:rPr>
                <w:rFonts w:hint="eastAsia"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0.194 </w:t>
            </w:r>
          </w:p>
        </w:tc>
        <w:tc>
          <w:tcPr>
            <w:tcW w:w="662" w:type="dxa"/>
            <w:noWrap w:val="0"/>
            <w:vAlign w:val="center"/>
          </w:tcPr>
          <w:p w14:paraId="7FEEE453">
            <w:pPr>
              <w:keepNext w:val="0"/>
              <w:keepLines w:val="0"/>
              <w:widowControl/>
              <w:suppressLineNumbers w:val="0"/>
              <w:spacing w:line="240" w:lineRule="auto"/>
              <w:jc w:val="center"/>
              <w:textAlignment w:val="center"/>
              <w:rPr>
                <w:rFonts w:hint="default" w:ascii="Times New Roman" w:hAnsi="Times New Roman" w:cs="Times New Roman"/>
                <w:sz w:val="21"/>
                <w:szCs w:val="21"/>
                <w:u w:val="none" w:color="auto"/>
                <w:lang w:val="en-US" w:eastAsia="zh-CN"/>
              </w:rPr>
            </w:pPr>
            <w:r>
              <w:rPr>
                <w:rFonts w:hint="eastAsia"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0.003 </w:t>
            </w:r>
          </w:p>
        </w:tc>
        <w:tc>
          <w:tcPr>
            <w:tcW w:w="767" w:type="dxa"/>
            <w:noWrap w:val="0"/>
            <w:vAlign w:val="center"/>
          </w:tcPr>
          <w:p w14:paraId="595C3596">
            <w:pPr>
              <w:keepNext w:val="0"/>
              <w:keepLines w:val="0"/>
              <w:widowControl/>
              <w:suppressLineNumbers w:val="0"/>
              <w:spacing w:line="240" w:lineRule="auto"/>
              <w:jc w:val="center"/>
              <w:textAlignment w:val="center"/>
              <w:rPr>
                <w:rFonts w:hint="default" w:ascii="Times New Roman" w:hAnsi="Times New Roman" w:cs="Times New Roman"/>
                <w:sz w:val="21"/>
                <w:szCs w:val="21"/>
                <w:u w:val="none" w:color="auto"/>
                <w:lang w:val="en-US" w:eastAsia="zh-CN"/>
              </w:rPr>
            </w:pPr>
            <w:r>
              <w:rPr>
                <w:rFonts w:hint="eastAsia"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 xml:space="preserve">0.028 </w:t>
            </w:r>
          </w:p>
        </w:tc>
        <w:tc>
          <w:tcPr>
            <w:tcW w:w="803" w:type="dxa"/>
            <w:noWrap w:val="0"/>
            <w:vAlign w:val="center"/>
          </w:tcPr>
          <w:p w14:paraId="3049DDCC">
            <w:pPr>
              <w:widowControl w:val="0"/>
              <w:spacing w:line="240" w:lineRule="auto"/>
              <w:jc w:val="center"/>
              <w:rPr>
                <w:rFonts w:hint="default" w:ascii="Times New Roman" w:hAnsi="Times New Roman" w:cs="Times New Roman"/>
                <w:color w:val="auto"/>
                <w:spacing w:val="1"/>
                <w:kern w:val="0"/>
                <w:sz w:val="21"/>
                <w:szCs w:val="21"/>
                <w:u w:val="none" w:color="auto"/>
                <w:lang w:val="en-US" w:eastAsia="zh-CN" w:bidi="ar-SA"/>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w:t>
            </w:r>
          </w:p>
        </w:tc>
        <w:tc>
          <w:tcPr>
            <w:tcW w:w="810" w:type="dxa"/>
            <w:noWrap w:val="0"/>
            <w:vAlign w:val="center"/>
          </w:tcPr>
          <w:p w14:paraId="0EEF8BF6">
            <w:pPr>
              <w:widowControl w:val="0"/>
              <w:spacing w:line="240" w:lineRule="auto"/>
              <w:jc w:val="center"/>
              <w:rPr>
                <w:rFonts w:hint="default" w:ascii="Times New Roman" w:hAnsi="Times New Roman" w:cs="Times New Roman"/>
                <w:color w:val="auto"/>
                <w:spacing w:val="1"/>
                <w:kern w:val="0"/>
                <w:sz w:val="21"/>
                <w:szCs w:val="21"/>
                <w:u w:val="none" w:color="auto"/>
                <w:lang w:val="en-US" w:eastAsia="zh-CN" w:bidi="ar-SA"/>
              </w:rPr>
            </w:pPr>
            <w:r>
              <w:rPr>
                <w:rFonts w:hint="default" w:ascii="Times New Roman" w:hAnsi="Times New Roman" w:cs="Times New Roman"/>
                <w:color w:val="000000" w:themeColor="text1"/>
                <w:spacing w:val="1"/>
                <w:kern w:val="0"/>
                <w:sz w:val="21"/>
                <w:szCs w:val="21"/>
                <w:u w:val="single" w:color="auto"/>
                <w:lang w:val="en-US" w:eastAsia="zh-CN" w:bidi="ar-SA"/>
                <w14:textFill>
                  <w14:solidFill>
                    <w14:schemeClr w14:val="tx1"/>
                  </w14:solidFill>
                </w14:textFill>
              </w:rPr>
              <w:t>/</w:t>
            </w:r>
          </w:p>
        </w:tc>
      </w:tr>
    </w:tbl>
    <w:p w14:paraId="69867F26">
      <w:pPr>
        <w:pStyle w:val="9"/>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rPr>
          <w:rFonts w:hint="eastAsia" w:ascii="宋体" w:hAnsi="宋体" w:eastAsia="宋体" w:cs="宋体"/>
          <w:b/>
          <w:bCs/>
          <w:spacing w:val="-3"/>
          <w:sz w:val="24"/>
          <w:szCs w:val="24"/>
          <w:lang w:eastAsia="zh-CN"/>
        </w:rPr>
      </w:pPr>
      <w:r>
        <w:rPr>
          <w:rFonts w:hint="eastAsia" w:ascii="Times New Roman" w:hAnsi="Times New Roman" w:eastAsia="Times New Roman" w:cs="Times New Roman"/>
          <w:b/>
          <w:bCs/>
          <w:spacing w:val="-3"/>
          <w:sz w:val="24"/>
          <w:szCs w:val="24"/>
          <w:lang w:val="en-US" w:eastAsia="zh-CN"/>
        </w:rPr>
        <w:t>5.3.2</w:t>
      </w:r>
      <w:r>
        <w:rPr>
          <w:rFonts w:hint="eastAsia" w:ascii="宋体" w:hAnsi="宋体" w:eastAsia="宋体" w:cs="宋体"/>
          <w:b/>
          <w:bCs/>
          <w:spacing w:val="-3"/>
          <w:sz w:val="24"/>
          <w:szCs w:val="24"/>
          <w:lang w:eastAsia="zh-CN"/>
        </w:rPr>
        <w:t>入河排污口污染物总量及污水排放量</w:t>
      </w:r>
    </w:p>
    <w:p w14:paraId="270E97EA">
      <w:pPr>
        <w:keepNext w:val="0"/>
        <w:keepLines w:val="0"/>
        <w:pageBreakBefore w:val="0"/>
        <w:widowControl/>
        <w:kinsoku w:val="0"/>
        <w:wordWrap/>
        <w:overflowPunct/>
        <w:topLinePunct w:val="0"/>
        <w:autoSpaceDE w:val="0"/>
        <w:autoSpaceDN w:val="0"/>
        <w:bidi w:val="0"/>
        <w:adjustRightInd w:val="0"/>
        <w:snapToGrid w:val="0"/>
        <w:spacing w:line="360" w:lineRule="auto"/>
        <w:ind w:firstLine="479"/>
        <w:jc w:val="both"/>
        <w:textAlignment w:val="baseline"/>
        <w:rPr>
          <w:rFonts w:hint="default" w:ascii="Times New Roman" w:hAnsi="Times New Roman" w:eastAsia="宋体" w:cs="Times New Roman"/>
          <w:bCs/>
          <w:color w:val="000000"/>
          <w:sz w:val="24"/>
          <w:szCs w:val="24"/>
          <w:u w:val="none" w:color="auto"/>
          <w:lang w:val="en-US" w:eastAsia="zh-CN"/>
        </w:rPr>
      </w:pPr>
      <w:r>
        <w:rPr>
          <w:rFonts w:hint="eastAsia" w:ascii="Times New Roman" w:hAnsi="Times New Roman" w:eastAsia="宋体" w:cs="Times New Roman"/>
          <w:bCs/>
          <w:color w:val="000000"/>
          <w:sz w:val="24"/>
          <w:szCs w:val="24"/>
          <w:u w:val="none" w:color="auto"/>
          <w:lang w:val="en-US" w:eastAsia="zh-CN"/>
        </w:rPr>
        <w:t>总量：污水排放量为2774.28t/a，本项目总量控制因子确定为化学需氧量0.277t/a、氨氮0.042t/a。</w:t>
      </w:r>
    </w:p>
    <w:p w14:paraId="39877250">
      <w:pPr>
        <w:keepNext w:val="0"/>
        <w:keepLines w:val="0"/>
        <w:pageBreakBefore w:val="0"/>
        <w:widowControl/>
        <w:kinsoku w:val="0"/>
        <w:wordWrap/>
        <w:overflowPunct/>
        <w:topLinePunct w:val="0"/>
        <w:autoSpaceDE w:val="0"/>
        <w:autoSpaceDN w:val="0"/>
        <w:bidi w:val="0"/>
        <w:adjustRightInd w:val="0"/>
        <w:snapToGrid w:val="0"/>
        <w:spacing w:line="360" w:lineRule="auto"/>
        <w:ind w:firstLine="479"/>
        <w:jc w:val="center"/>
        <w:textAlignment w:val="baseline"/>
        <w:rPr>
          <w:rFonts w:hint="default" w:ascii="Times New Roman" w:hAnsi="Times New Roman" w:eastAsia="宋体" w:cs="Times New Roman"/>
          <w:b/>
          <w:bCs/>
          <w:color w:val="auto"/>
          <w:sz w:val="21"/>
          <w:szCs w:val="21"/>
          <w:highlight w:val="none"/>
          <w:u w:val="none" w:color="auto"/>
          <w:lang w:val="en-US" w:eastAsia="zh-CN"/>
        </w:rPr>
        <w:sectPr>
          <w:footerReference r:id="rId9" w:type="default"/>
          <w:pgSz w:w="11905" w:h="16838"/>
          <w:pgMar w:top="1440" w:right="1803" w:bottom="1440" w:left="1803" w:header="828" w:footer="794" w:gutter="0"/>
          <w:pgNumType w:fmt="decimal"/>
          <w:cols w:space="0" w:num="1"/>
          <w:rtlGutter w:val="0"/>
          <w:docGrid w:linePitch="0" w:charSpace="0"/>
        </w:sectPr>
      </w:pPr>
    </w:p>
    <w:p w14:paraId="1C6A0929">
      <w:pPr>
        <w:keepNext w:val="0"/>
        <w:keepLines w:val="0"/>
        <w:pageBreakBefore w:val="0"/>
        <w:widowControl/>
        <w:kinsoku w:val="0"/>
        <w:wordWrap/>
        <w:overflowPunct/>
        <w:topLinePunct w:val="0"/>
        <w:autoSpaceDE w:val="0"/>
        <w:autoSpaceDN w:val="0"/>
        <w:bidi w:val="0"/>
        <w:adjustRightInd w:val="0"/>
        <w:snapToGrid w:val="0"/>
        <w:spacing w:before="334" w:line="360" w:lineRule="auto"/>
        <w:jc w:val="center"/>
        <w:textAlignment w:val="baseline"/>
        <w:outlineLvl w:val="0"/>
        <w:rPr>
          <w:rFonts w:hint="default" w:ascii="Times New Roman" w:hAnsi="Times New Roman" w:eastAsia="宋体" w:cs="Times New Roman"/>
          <w:b/>
          <w:bCs/>
          <w:spacing w:val="6"/>
          <w:sz w:val="31"/>
          <w:szCs w:val="31"/>
          <w:lang w:eastAsia="zh-CN"/>
        </w:rPr>
      </w:pPr>
      <w:bookmarkStart w:id="135" w:name="_Toc18633"/>
      <w:bookmarkStart w:id="136" w:name="_Toc8145"/>
      <w:r>
        <w:rPr>
          <w:rFonts w:hint="default" w:ascii="Times New Roman" w:hAnsi="Times New Roman" w:eastAsia="宋体" w:cs="Times New Roman"/>
          <w:b/>
          <w:bCs/>
          <w:spacing w:val="6"/>
          <w:sz w:val="31"/>
          <w:szCs w:val="31"/>
          <w:lang w:eastAsia="zh-CN"/>
        </w:rPr>
        <w:t>6入河排污口设置水环境影响分析</w:t>
      </w:r>
      <w:bookmarkEnd w:id="135"/>
      <w:bookmarkEnd w:id="136"/>
    </w:p>
    <w:p w14:paraId="3A3BA822">
      <w:pPr>
        <w:keepNext w:val="0"/>
        <w:keepLines w:val="0"/>
        <w:pageBreakBefore w:val="0"/>
        <w:widowControl/>
        <w:kinsoku w:val="0"/>
        <w:wordWrap/>
        <w:overflowPunct/>
        <w:topLinePunct w:val="0"/>
        <w:autoSpaceDE w:val="0"/>
        <w:autoSpaceDN w:val="0"/>
        <w:bidi w:val="0"/>
        <w:adjustRightInd w:val="0"/>
        <w:snapToGrid w:val="0"/>
        <w:spacing w:line="360" w:lineRule="auto"/>
        <w:ind w:left="0"/>
        <w:jc w:val="both"/>
        <w:textAlignment w:val="baseline"/>
        <w:outlineLvl w:val="1"/>
        <w:rPr>
          <w:rFonts w:ascii="宋体" w:hAnsi="宋体" w:eastAsia="宋体" w:cs="宋体"/>
          <w:sz w:val="28"/>
          <w:szCs w:val="28"/>
          <w:lang w:eastAsia="zh-CN"/>
        </w:rPr>
      </w:pPr>
      <w:bookmarkStart w:id="137" w:name="_Toc7213"/>
      <w:bookmarkStart w:id="138" w:name="_Toc5502"/>
      <w:r>
        <w:rPr>
          <w:rFonts w:ascii="Times New Roman" w:hAnsi="Times New Roman" w:eastAsia="Times New Roman" w:cs="Times New Roman"/>
          <w:b/>
          <w:bCs/>
          <w:spacing w:val="-2"/>
          <w:sz w:val="28"/>
          <w:szCs w:val="28"/>
          <w:lang w:eastAsia="zh-CN"/>
        </w:rPr>
        <w:t>6.1</w:t>
      </w:r>
      <w:r>
        <w:rPr>
          <w:rFonts w:ascii="宋体" w:hAnsi="宋体" w:eastAsia="宋体" w:cs="宋体"/>
          <w:b/>
          <w:bCs/>
          <w:spacing w:val="-2"/>
          <w:sz w:val="28"/>
          <w:szCs w:val="28"/>
          <w:lang w:eastAsia="zh-CN"/>
        </w:rPr>
        <w:t>水功能区（水域）对入河排污口设置基本</w:t>
      </w:r>
      <w:r>
        <w:rPr>
          <w:rFonts w:ascii="宋体" w:hAnsi="宋体" w:eastAsia="宋体" w:cs="宋体"/>
          <w:b/>
          <w:bCs/>
          <w:spacing w:val="-3"/>
          <w:sz w:val="28"/>
          <w:szCs w:val="28"/>
          <w:lang w:eastAsia="zh-CN"/>
        </w:rPr>
        <w:t>要求</w:t>
      </w:r>
      <w:bookmarkEnd w:id="137"/>
      <w:bookmarkEnd w:id="138"/>
    </w:p>
    <w:p w14:paraId="341BB1FE">
      <w:pPr>
        <w:keepNext w:val="0"/>
        <w:keepLines w:val="0"/>
        <w:pageBreakBefore w:val="0"/>
        <w:widowControl/>
        <w:kinsoku w:val="0"/>
        <w:wordWrap/>
        <w:overflowPunct/>
        <w:topLinePunct w:val="0"/>
        <w:autoSpaceDE w:val="0"/>
        <w:autoSpaceDN w:val="0"/>
        <w:bidi w:val="0"/>
        <w:adjustRightInd w:val="0"/>
        <w:snapToGrid w:val="0"/>
        <w:spacing w:line="360" w:lineRule="auto"/>
        <w:ind w:left="0"/>
        <w:jc w:val="both"/>
        <w:textAlignment w:val="baseline"/>
        <w:outlineLvl w:val="2"/>
        <w:rPr>
          <w:rFonts w:ascii="宋体" w:hAnsi="宋体" w:eastAsia="宋体" w:cs="宋体"/>
          <w:sz w:val="24"/>
          <w:szCs w:val="24"/>
          <w:u w:val="single"/>
          <w:lang w:eastAsia="zh-CN"/>
        </w:rPr>
      </w:pPr>
      <w:bookmarkStart w:id="139" w:name="_Toc14937"/>
      <w:bookmarkStart w:id="140" w:name="_Toc15622"/>
      <w:r>
        <w:rPr>
          <w:rFonts w:ascii="Times New Roman" w:hAnsi="Times New Roman" w:eastAsia="Times New Roman" w:cs="Times New Roman"/>
          <w:b/>
          <w:bCs/>
          <w:spacing w:val="-2"/>
          <w:sz w:val="24"/>
          <w:szCs w:val="24"/>
          <w:u w:val="single"/>
          <w:lang w:eastAsia="zh-CN"/>
        </w:rPr>
        <w:t>6.1.1.</w:t>
      </w:r>
      <w:r>
        <w:rPr>
          <w:rFonts w:ascii="宋体" w:hAnsi="宋体" w:eastAsia="宋体" w:cs="宋体"/>
          <w:b/>
          <w:bCs/>
          <w:spacing w:val="-2"/>
          <w:sz w:val="24"/>
          <w:szCs w:val="24"/>
          <w:u w:val="single"/>
          <w:lang w:eastAsia="zh-CN"/>
        </w:rPr>
        <w:t>入河排污口设置要求</w:t>
      </w:r>
      <w:bookmarkEnd w:id="139"/>
      <w:bookmarkEnd w:id="140"/>
    </w:p>
    <w:p w14:paraId="7795D1C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2" w:firstLineChars="200"/>
        <w:jc w:val="both"/>
        <w:textAlignment w:val="baseline"/>
        <w:rPr>
          <w:rFonts w:hint="default" w:ascii="Times New Roman" w:hAnsi="Times New Roman" w:eastAsia="宋体" w:cs="Times New Roman"/>
          <w:spacing w:val="3"/>
          <w:sz w:val="24"/>
          <w:szCs w:val="24"/>
          <w:u w:val="single"/>
          <w:lang w:eastAsia="zh-CN"/>
        </w:rPr>
      </w:pPr>
      <w:r>
        <w:rPr>
          <w:rFonts w:hint="default" w:ascii="Times New Roman" w:hAnsi="Times New Roman" w:eastAsia="宋体" w:cs="Times New Roman"/>
          <w:spacing w:val="3"/>
          <w:sz w:val="24"/>
          <w:szCs w:val="24"/>
          <w:u w:val="single"/>
          <w:lang w:eastAsia="zh-CN"/>
        </w:rPr>
        <w:t>根据《入河入海排污口监督管理技术指南入河排污口规范化建设》（HJ1309—2023）要求，入河排污口应设立标识牌。因此，本入河排污口需增设入河排污口明显标志牌。入河排污口标识牌设置内容如下：</w:t>
      </w:r>
    </w:p>
    <w:p w14:paraId="35F6F6F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2" w:firstLineChars="200"/>
        <w:jc w:val="both"/>
        <w:textAlignment w:val="baseline"/>
        <w:rPr>
          <w:rFonts w:hint="default" w:ascii="Times New Roman" w:hAnsi="Times New Roman" w:eastAsia="宋体" w:cs="Times New Roman"/>
          <w:spacing w:val="3"/>
          <w:sz w:val="24"/>
          <w:szCs w:val="24"/>
          <w:u w:val="single"/>
          <w:lang w:eastAsia="zh-CN"/>
        </w:rPr>
      </w:pPr>
      <w:r>
        <w:rPr>
          <w:rFonts w:hint="default" w:ascii="Times New Roman" w:hAnsi="Times New Roman" w:eastAsia="宋体" w:cs="Times New Roman"/>
          <w:spacing w:val="3"/>
          <w:sz w:val="24"/>
          <w:szCs w:val="24"/>
          <w:u w:val="single"/>
          <w:lang w:eastAsia="zh-CN"/>
        </w:rPr>
        <w:t>（1）标识牌设置在污水入河处或监测采样点等位置，便于公众监督。</w:t>
      </w:r>
    </w:p>
    <w:p w14:paraId="37A7C27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2" w:firstLineChars="200"/>
        <w:jc w:val="both"/>
        <w:textAlignment w:val="baseline"/>
        <w:rPr>
          <w:rFonts w:hint="default" w:ascii="Times New Roman" w:hAnsi="Times New Roman" w:eastAsia="宋体" w:cs="Times New Roman"/>
          <w:spacing w:val="3"/>
          <w:sz w:val="24"/>
          <w:szCs w:val="24"/>
          <w:u w:val="single"/>
          <w:lang w:eastAsia="zh-CN"/>
        </w:rPr>
      </w:pPr>
      <w:r>
        <w:rPr>
          <w:rFonts w:hint="default" w:ascii="Times New Roman" w:hAnsi="Times New Roman" w:eastAsia="宋体" w:cs="Times New Roman"/>
          <w:spacing w:val="3"/>
          <w:sz w:val="24"/>
          <w:szCs w:val="24"/>
          <w:u w:val="single"/>
          <w:lang w:eastAsia="zh-CN"/>
        </w:rPr>
        <w:t>（2）标识牌公示信息包含但不限于排污口名称、编码、类型、管理单位、责任主体、监督电话等，可根据实际需求采用文字或二维码等形式展示。标识牌可选用立柱式、平面式等。</w:t>
      </w:r>
    </w:p>
    <w:p w14:paraId="068B727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2" w:firstLineChars="200"/>
        <w:jc w:val="both"/>
        <w:textAlignment w:val="baseline"/>
        <w:rPr>
          <w:rFonts w:hint="default" w:ascii="Times New Roman" w:hAnsi="Times New Roman" w:eastAsia="宋体" w:cs="Times New Roman"/>
          <w:spacing w:val="3"/>
          <w:sz w:val="24"/>
          <w:szCs w:val="24"/>
          <w:u w:val="single"/>
          <w:lang w:eastAsia="zh-CN"/>
        </w:rPr>
      </w:pPr>
      <w:r>
        <w:rPr>
          <w:rFonts w:hint="default" w:ascii="Times New Roman" w:hAnsi="Times New Roman" w:eastAsia="宋体" w:cs="Times New Roman"/>
          <w:spacing w:val="3"/>
          <w:sz w:val="24"/>
          <w:szCs w:val="24"/>
          <w:u w:val="single"/>
          <w:lang w:eastAsia="zh-CN"/>
        </w:rPr>
        <w:t>（3）标识牌应具有耐候、耐腐蚀等理化性能，保证一定的使用寿命。</w:t>
      </w:r>
    </w:p>
    <w:p w14:paraId="1FEC0501">
      <w:pPr>
        <w:keepNext w:val="0"/>
        <w:keepLines w:val="0"/>
        <w:pageBreakBefore w:val="0"/>
        <w:widowControl/>
        <w:kinsoku w:val="0"/>
        <w:wordWrap/>
        <w:overflowPunct/>
        <w:topLinePunct w:val="0"/>
        <w:autoSpaceDE w:val="0"/>
        <w:autoSpaceDN w:val="0"/>
        <w:bidi w:val="0"/>
        <w:adjustRightInd w:val="0"/>
        <w:snapToGrid w:val="0"/>
        <w:spacing w:line="360" w:lineRule="auto"/>
        <w:ind w:left="479" w:leftChars="228" w:right="0" w:firstLine="0" w:firstLineChars="0"/>
        <w:jc w:val="both"/>
        <w:textAlignment w:val="baseline"/>
        <w:rPr>
          <w:rFonts w:hint="default" w:ascii="Times New Roman" w:hAnsi="Times New Roman" w:eastAsia="宋体" w:cs="Times New Roman"/>
          <w:spacing w:val="3"/>
          <w:sz w:val="24"/>
          <w:szCs w:val="24"/>
          <w:u w:val="single"/>
          <w:lang w:eastAsia="zh-CN"/>
        </w:rPr>
      </w:pPr>
      <w:r>
        <w:rPr>
          <w:rFonts w:hint="default" w:ascii="Times New Roman" w:hAnsi="Times New Roman" w:eastAsia="宋体" w:cs="Times New Roman"/>
          <w:spacing w:val="3"/>
          <w:sz w:val="24"/>
          <w:szCs w:val="24"/>
          <w:u w:val="single"/>
          <w:lang w:eastAsia="zh-CN"/>
        </w:rPr>
        <w:t>（4）标识牌公示信息发生变化的，责任主体应及时更新或更换标识牌。</w:t>
      </w:r>
    </w:p>
    <w:p w14:paraId="72F8B86A">
      <w:pPr>
        <w:keepNext w:val="0"/>
        <w:keepLines w:val="0"/>
        <w:pageBreakBefore w:val="0"/>
        <w:widowControl/>
        <w:kinsoku w:val="0"/>
        <w:wordWrap/>
        <w:overflowPunct/>
        <w:topLinePunct w:val="0"/>
        <w:autoSpaceDE w:val="0"/>
        <w:autoSpaceDN w:val="0"/>
        <w:bidi w:val="0"/>
        <w:adjustRightInd w:val="0"/>
        <w:snapToGrid w:val="0"/>
        <w:spacing w:line="360" w:lineRule="auto"/>
        <w:ind w:left="479" w:leftChars="228" w:right="0" w:firstLine="0" w:firstLineChars="0"/>
        <w:jc w:val="both"/>
        <w:textAlignment w:val="baseline"/>
        <w:rPr>
          <w:rFonts w:hint="default" w:ascii="Times New Roman" w:hAnsi="Times New Roman" w:eastAsia="宋体" w:cs="Times New Roman"/>
          <w:sz w:val="24"/>
          <w:szCs w:val="24"/>
          <w:u w:val="single"/>
          <w:lang w:eastAsia="zh-CN"/>
        </w:rPr>
      </w:pPr>
      <w:r>
        <w:rPr>
          <w:rFonts w:hint="default" w:ascii="Times New Roman" w:hAnsi="Times New Roman" w:eastAsia="宋体" w:cs="Times New Roman"/>
          <w:spacing w:val="-1"/>
          <w:sz w:val="24"/>
          <w:szCs w:val="24"/>
          <w:u w:val="single"/>
          <w:lang w:eastAsia="zh-CN"/>
        </w:rPr>
        <w:t>入河排污口标志牌具体设置要求。</w:t>
      </w:r>
    </w:p>
    <w:p w14:paraId="44F4E11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u w:val="single"/>
          <w:lang w:eastAsia="zh-CN"/>
        </w:rPr>
      </w:pPr>
      <w:r>
        <w:rPr>
          <w:rFonts w:ascii="宋体" w:hAnsi="宋体" w:eastAsia="宋体" w:cs="宋体"/>
          <w:b/>
          <w:bCs/>
          <w:spacing w:val="-2"/>
          <w:u w:val="single"/>
          <w:lang w:eastAsia="zh-CN"/>
        </w:rPr>
        <w:t>表</w:t>
      </w:r>
      <w:r>
        <w:rPr>
          <w:rFonts w:ascii="Times New Roman" w:hAnsi="Times New Roman" w:eastAsia="Times New Roman" w:cs="Times New Roman"/>
          <w:b/>
          <w:bCs/>
          <w:spacing w:val="-2"/>
          <w:u w:val="single"/>
          <w:lang w:eastAsia="zh-CN"/>
        </w:rPr>
        <w:t>6.1-1</w:t>
      </w:r>
      <w:r>
        <w:rPr>
          <w:rFonts w:ascii="宋体" w:hAnsi="宋体" w:eastAsia="宋体" w:cs="宋体"/>
          <w:b/>
          <w:bCs/>
          <w:spacing w:val="-2"/>
          <w:u w:val="single"/>
          <w:lang w:eastAsia="zh-CN"/>
        </w:rPr>
        <w:t>入河排污口设置情况表</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2"/>
        <w:gridCol w:w="6943"/>
      </w:tblGrid>
      <w:tr w14:paraId="1E8A6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4" w:type="dxa"/>
            <w:vAlign w:val="center"/>
          </w:tcPr>
          <w:p w14:paraId="7F56A1E6">
            <w:pPr>
              <w:spacing w:line="480" w:lineRule="exact"/>
              <w:jc w:val="center"/>
              <w:outlineLvl w:val="2"/>
              <w:rPr>
                <w:rFonts w:ascii="Times New Roman" w:hAnsi="Times New Roman" w:eastAsia="Times New Roman" w:cs="Times New Roman"/>
                <w:b/>
                <w:bCs/>
                <w:spacing w:val="-2"/>
                <w:sz w:val="21"/>
                <w:szCs w:val="21"/>
                <w:u w:val="single"/>
                <w:vertAlign w:val="baseline"/>
                <w:lang w:eastAsia="zh-CN"/>
              </w:rPr>
            </w:pPr>
            <w:bookmarkStart w:id="141" w:name="_Toc10184"/>
            <w:bookmarkStart w:id="142" w:name="_Toc28001"/>
            <w:r>
              <w:rPr>
                <w:rFonts w:hint="eastAsia" w:ascii="Times New Roman" w:hAnsi="Times New Roman" w:eastAsia="Times New Roman" w:cs="Times New Roman"/>
                <w:b/>
                <w:bCs/>
                <w:spacing w:val="-2"/>
                <w:sz w:val="21"/>
                <w:szCs w:val="21"/>
                <w:u w:val="single"/>
                <w:vertAlign w:val="baseline"/>
                <w:lang w:eastAsia="zh-CN"/>
              </w:rPr>
              <w:t>要求</w:t>
            </w:r>
            <w:bookmarkEnd w:id="141"/>
            <w:bookmarkEnd w:id="142"/>
          </w:p>
        </w:tc>
        <w:tc>
          <w:tcPr>
            <w:tcW w:w="7177" w:type="dxa"/>
            <w:vAlign w:val="center"/>
          </w:tcPr>
          <w:p w14:paraId="05BD5511">
            <w:pPr>
              <w:spacing w:line="480" w:lineRule="exact"/>
              <w:jc w:val="center"/>
              <w:outlineLvl w:val="2"/>
              <w:rPr>
                <w:rFonts w:ascii="Times New Roman" w:hAnsi="Times New Roman" w:eastAsia="Times New Roman" w:cs="Times New Roman"/>
                <w:b/>
                <w:bCs/>
                <w:spacing w:val="-2"/>
                <w:sz w:val="21"/>
                <w:szCs w:val="21"/>
                <w:u w:val="single"/>
                <w:vertAlign w:val="baseline"/>
                <w:lang w:eastAsia="zh-CN"/>
              </w:rPr>
            </w:pPr>
            <w:bookmarkStart w:id="143" w:name="_Toc5288"/>
            <w:bookmarkStart w:id="144" w:name="_Toc25994"/>
            <w:r>
              <w:rPr>
                <w:rFonts w:hint="eastAsia" w:ascii="Times New Roman" w:hAnsi="Times New Roman" w:eastAsia="Times New Roman" w:cs="Times New Roman"/>
                <w:b/>
                <w:bCs/>
                <w:spacing w:val="-2"/>
                <w:sz w:val="21"/>
                <w:szCs w:val="21"/>
                <w:u w:val="single"/>
                <w:vertAlign w:val="baseline"/>
                <w:lang w:eastAsia="zh-CN"/>
              </w:rPr>
              <w:t>废水排放口</w:t>
            </w:r>
            <w:bookmarkEnd w:id="143"/>
            <w:bookmarkEnd w:id="144"/>
          </w:p>
        </w:tc>
      </w:tr>
      <w:tr w14:paraId="3356D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4" w:type="dxa"/>
            <w:vAlign w:val="center"/>
          </w:tcPr>
          <w:p w14:paraId="76E09F62">
            <w:pPr>
              <w:spacing w:line="240" w:lineRule="auto"/>
              <w:jc w:val="center"/>
              <w:outlineLvl w:val="2"/>
              <w:rPr>
                <w:rFonts w:hint="eastAsia" w:ascii="Times New Roman" w:hAnsi="Times New Roman" w:eastAsia="Times New Roman" w:cs="Times New Roman"/>
                <w:b w:val="0"/>
                <w:bCs w:val="0"/>
                <w:spacing w:val="-2"/>
                <w:sz w:val="21"/>
                <w:szCs w:val="21"/>
                <w:u w:val="single"/>
                <w:vertAlign w:val="baseline"/>
                <w:lang w:eastAsia="zh-CN"/>
              </w:rPr>
            </w:pPr>
            <w:bookmarkStart w:id="145" w:name="_Toc23444"/>
            <w:bookmarkStart w:id="146" w:name="_Toc4845"/>
            <w:r>
              <w:rPr>
                <w:rFonts w:hint="eastAsia" w:ascii="Times New Roman" w:hAnsi="Times New Roman" w:eastAsia="Times New Roman" w:cs="Times New Roman"/>
                <w:b w:val="0"/>
                <w:bCs w:val="0"/>
                <w:spacing w:val="-2"/>
                <w:sz w:val="21"/>
                <w:szCs w:val="21"/>
                <w:u w:val="single"/>
                <w:vertAlign w:val="baseline"/>
                <w:lang w:eastAsia="zh-CN"/>
              </w:rPr>
              <w:t>样式</w:t>
            </w:r>
            <w:bookmarkEnd w:id="145"/>
            <w:bookmarkEnd w:id="146"/>
          </w:p>
        </w:tc>
        <w:tc>
          <w:tcPr>
            <w:tcW w:w="7177" w:type="dxa"/>
            <w:vAlign w:val="center"/>
          </w:tcPr>
          <w:p w14:paraId="7EB65576">
            <w:pPr>
              <w:spacing w:line="240" w:lineRule="auto"/>
              <w:jc w:val="center"/>
              <w:outlineLvl w:val="2"/>
              <w:rPr>
                <w:rFonts w:hint="eastAsia" w:ascii="Times New Roman" w:hAnsi="Times New Roman" w:eastAsia="Times New Roman" w:cs="Times New Roman"/>
                <w:b w:val="0"/>
                <w:bCs w:val="0"/>
                <w:spacing w:val="-2"/>
                <w:sz w:val="21"/>
                <w:szCs w:val="21"/>
                <w:u w:val="single"/>
                <w:vertAlign w:val="baseline"/>
                <w:lang w:eastAsia="zh-CN"/>
              </w:rPr>
            </w:pPr>
            <w:bookmarkStart w:id="147" w:name="_Toc23585"/>
            <w:bookmarkStart w:id="148" w:name="_Toc12118"/>
            <w:r>
              <w:rPr>
                <w:rFonts w:hint="eastAsia" w:ascii="Times New Roman" w:hAnsi="Times New Roman" w:eastAsia="Times New Roman" w:cs="Times New Roman"/>
                <w:b w:val="0"/>
                <w:bCs w:val="0"/>
                <w:spacing w:val="-2"/>
                <w:sz w:val="21"/>
                <w:szCs w:val="21"/>
                <w:u w:val="single"/>
                <w:vertAlign w:val="baseline"/>
                <w:lang w:eastAsia="zh-CN"/>
              </w:rPr>
              <w:t>标识牌分为立柱式、平面固定式和墩式，可根据地形、气候、水文等实际情况选择确定。优先采用立柱式</w:t>
            </w:r>
            <w:bookmarkEnd w:id="147"/>
            <w:bookmarkEnd w:id="148"/>
          </w:p>
        </w:tc>
      </w:tr>
      <w:tr w14:paraId="2CD5B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4" w:type="dxa"/>
            <w:vAlign w:val="center"/>
          </w:tcPr>
          <w:p w14:paraId="43DE3CA6">
            <w:pPr>
              <w:spacing w:line="240" w:lineRule="auto"/>
              <w:jc w:val="center"/>
              <w:outlineLvl w:val="2"/>
              <w:rPr>
                <w:rFonts w:hint="eastAsia" w:ascii="Times New Roman" w:hAnsi="Times New Roman" w:eastAsia="Times New Roman" w:cs="Times New Roman"/>
                <w:b w:val="0"/>
                <w:bCs w:val="0"/>
                <w:spacing w:val="-2"/>
                <w:sz w:val="21"/>
                <w:szCs w:val="21"/>
                <w:u w:val="single"/>
                <w:vertAlign w:val="baseline"/>
                <w:lang w:eastAsia="zh-CN"/>
              </w:rPr>
            </w:pPr>
            <w:bookmarkStart w:id="149" w:name="_Toc15472"/>
            <w:bookmarkStart w:id="150" w:name="_Toc24098"/>
            <w:r>
              <w:rPr>
                <w:rFonts w:hint="eastAsia" w:ascii="Times New Roman" w:hAnsi="Times New Roman" w:eastAsia="Times New Roman" w:cs="Times New Roman"/>
                <w:b w:val="0"/>
                <w:bCs w:val="0"/>
                <w:spacing w:val="-2"/>
                <w:sz w:val="21"/>
                <w:szCs w:val="21"/>
                <w:u w:val="single"/>
                <w:vertAlign w:val="baseline"/>
                <w:lang w:eastAsia="zh-CN"/>
              </w:rPr>
              <w:t>材料</w:t>
            </w:r>
            <w:bookmarkEnd w:id="149"/>
            <w:bookmarkEnd w:id="150"/>
          </w:p>
        </w:tc>
        <w:tc>
          <w:tcPr>
            <w:tcW w:w="7177" w:type="dxa"/>
            <w:vAlign w:val="center"/>
          </w:tcPr>
          <w:p w14:paraId="66638DD2">
            <w:pPr>
              <w:spacing w:line="240" w:lineRule="auto"/>
              <w:jc w:val="center"/>
              <w:outlineLvl w:val="2"/>
              <w:rPr>
                <w:rFonts w:hint="eastAsia" w:ascii="Times New Roman" w:hAnsi="Times New Roman" w:eastAsia="Times New Roman" w:cs="Times New Roman"/>
                <w:b w:val="0"/>
                <w:bCs w:val="0"/>
                <w:spacing w:val="-2"/>
                <w:sz w:val="21"/>
                <w:szCs w:val="21"/>
                <w:u w:val="single"/>
                <w:vertAlign w:val="baseline"/>
                <w:lang w:eastAsia="zh-CN"/>
              </w:rPr>
            </w:pPr>
            <w:bookmarkStart w:id="151" w:name="_Toc12406"/>
            <w:bookmarkStart w:id="152" w:name="_Toc4079"/>
            <w:r>
              <w:rPr>
                <w:rFonts w:hint="eastAsia" w:ascii="Times New Roman" w:hAnsi="Times New Roman" w:eastAsia="Times New Roman" w:cs="Times New Roman"/>
                <w:b w:val="0"/>
                <w:bCs w:val="0"/>
                <w:spacing w:val="-2"/>
                <w:sz w:val="21"/>
                <w:szCs w:val="21"/>
                <w:u w:val="single"/>
                <w:vertAlign w:val="baseline"/>
                <w:lang w:eastAsia="zh-CN"/>
              </w:rPr>
              <w:t>标识牌应选用耐久性材料制作，具有耐候、耐腐蚀等化学性能，保证一定的使用寿命。立柱式和平面固定式标识牌面优先选用不锈钢板，也可采用铝塑板等，表面选用反光贴膜、搪瓷等，并做到清晰、整齐、平滑、光洁、着色均匀，不应有明显皱纹、气泡和颗粒杂质等缺陷，不同反光区域的反光效果应均匀，不应有明显差异；立柱可选用镀锌管；墩式可选用水泥、石材等</w:t>
            </w:r>
            <w:bookmarkEnd w:id="151"/>
            <w:bookmarkEnd w:id="152"/>
          </w:p>
        </w:tc>
      </w:tr>
      <w:tr w14:paraId="25D81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4" w:type="dxa"/>
            <w:vAlign w:val="center"/>
          </w:tcPr>
          <w:p w14:paraId="67281F68">
            <w:pPr>
              <w:spacing w:line="240" w:lineRule="auto"/>
              <w:jc w:val="center"/>
              <w:outlineLvl w:val="2"/>
              <w:rPr>
                <w:rFonts w:hint="eastAsia" w:ascii="Times New Roman" w:hAnsi="Times New Roman" w:eastAsia="Times New Roman" w:cs="Times New Roman"/>
                <w:b w:val="0"/>
                <w:bCs w:val="0"/>
                <w:spacing w:val="-2"/>
                <w:sz w:val="21"/>
                <w:szCs w:val="21"/>
                <w:u w:val="single"/>
                <w:vertAlign w:val="baseline"/>
                <w:lang w:eastAsia="zh-CN"/>
              </w:rPr>
            </w:pPr>
            <w:bookmarkStart w:id="153" w:name="_Toc32671"/>
            <w:bookmarkStart w:id="154" w:name="_Toc18050"/>
            <w:r>
              <w:rPr>
                <w:rFonts w:hint="eastAsia" w:ascii="Times New Roman" w:hAnsi="Times New Roman" w:eastAsia="Times New Roman" w:cs="Times New Roman"/>
                <w:b w:val="0"/>
                <w:bCs w:val="0"/>
                <w:spacing w:val="-2"/>
                <w:sz w:val="21"/>
                <w:szCs w:val="21"/>
                <w:u w:val="single"/>
                <w:vertAlign w:val="baseline"/>
                <w:lang w:eastAsia="zh-CN"/>
              </w:rPr>
              <w:t>颜色</w:t>
            </w:r>
            <w:bookmarkEnd w:id="153"/>
            <w:bookmarkEnd w:id="154"/>
          </w:p>
        </w:tc>
        <w:tc>
          <w:tcPr>
            <w:tcW w:w="7177" w:type="dxa"/>
            <w:vAlign w:val="center"/>
          </w:tcPr>
          <w:p w14:paraId="5C572B03">
            <w:pPr>
              <w:spacing w:line="240" w:lineRule="auto"/>
              <w:jc w:val="center"/>
              <w:outlineLvl w:val="2"/>
              <w:rPr>
                <w:rFonts w:hint="eastAsia" w:ascii="Times New Roman" w:hAnsi="Times New Roman" w:eastAsia="Times New Roman" w:cs="Times New Roman"/>
                <w:b w:val="0"/>
                <w:bCs w:val="0"/>
                <w:spacing w:val="-2"/>
                <w:sz w:val="21"/>
                <w:szCs w:val="21"/>
                <w:u w:val="single"/>
                <w:vertAlign w:val="baseline"/>
                <w:lang w:eastAsia="zh-CN"/>
              </w:rPr>
            </w:pPr>
            <w:bookmarkStart w:id="155" w:name="_Toc23475"/>
            <w:bookmarkStart w:id="156" w:name="_Toc8635"/>
            <w:r>
              <w:rPr>
                <w:rFonts w:hint="eastAsia" w:ascii="Times New Roman" w:hAnsi="Times New Roman" w:eastAsia="Times New Roman" w:cs="Times New Roman"/>
                <w:b w:val="0"/>
                <w:bCs w:val="0"/>
                <w:spacing w:val="-2"/>
                <w:sz w:val="21"/>
                <w:szCs w:val="21"/>
                <w:u w:val="single"/>
                <w:vertAlign w:val="baseline"/>
                <w:lang w:eastAsia="zh-CN"/>
              </w:rPr>
              <w:t>标识牌牌面颜色统一采用绿色（RGB值为“0，176，80”），图形标志和文字为白色</w:t>
            </w:r>
            <w:bookmarkEnd w:id="155"/>
            <w:bookmarkEnd w:id="156"/>
          </w:p>
        </w:tc>
      </w:tr>
      <w:tr w14:paraId="43579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4" w:type="dxa"/>
            <w:vAlign w:val="center"/>
          </w:tcPr>
          <w:p w14:paraId="00A6F06A">
            <w:pPr>
              <w:spacing w:line="240" w:lineRule="auto"/>
              <w:jc w:val="center"/>
              <w:outlineLvl w:val="2"/>
              <w:rPr>
                <w:rFonts w:hint="eastAsia" w:ascii="Times New Roman" w:hAnsi="Times New Roman" w:eastAsia="Times New Roman" w:cs="Times New Roman"/>
                <w:b w:val="0"/>
                <w:bCs w:val="0"/>
                <w:spacing w:val="-2"/>
                <w:sz w:val="21"/>
                <w:szCs w:val="21"/>
                <w:u w:val="single"/>
                <w:vertAlign w:val="baseline"/>
                <w:lang w:eastAsia="zh-CN"/>
              </w:rPr>
            </w:pPr>
            <w:bookmarkStart w:id="157" w:name="_Toc18684"/>
            <w:bookmarkStart w:id="158" w:name="_Toc10921"/>
            <w:r>
              <w:rPr>
                <w:rFonts w:hint="eastAsia" w:ascii="Times New Roman" w:hAnsi="Times New Roman" w:eastAsia="Times New Roman" w:cs="Times New Roman"/>
                <w:b w:val="0"/>
                <w:bCs w:val="0"/>
                <w:spacing w:val="-2"/>
                <w:sz w:val="21"/>
                <w:szCs w:val="21"/>
                <w:u w:val="single"/>
                <w:vertAlign w:val="baseline"/>
                <w:lang w:eastAsia="zh-CN"/>
              </w:rPr>
              <w:t>尺寸</w:t>
            </w:r>
            <w:bookmarkEnd w:id="157"/>
            <w:bookmarkEnd w:id="158"/>
          </w:p>
        </w:tc>
        <w:tc>
          <w:tcPr>
            <w:tcW w:w="7177" w:type="dxa"/>
            <w:vAlign w:val="center"/>
          </w:tcPr>
          <w:p w14:paraId="2097664E">
            <w:pPr>
              <w:spacing w:line="240" w:lineRule="auto"/>
              <w:jc w:val="center"/>
              <w:outlineLvl w:val="2"/>
              <w:rPr>
                <w:rFonts w:hint="eastAsia" w:ascii="Times New Roman" w:hAnsi="Times New Roman" w:eastAsia="Times New Roman" w:cs="Times New Roman"/>
                <w:b w:val="0"/>
                <w:bCs w:val="0"/>
                <w:spacing w:val="-2"/>
                <w:sz w:val="21"/>
                <w:szCs w:val="21"/>
                <w:u w:val="single"/>
                <w:vertAlign w:val="baseline"/>
                <w:lang w:eastAsia="zh-CN"/>
              </w:rPr>
            </w:pPr>
            <w:bookmarkStart w:id="159" w:name="_Toc13252"/>
            <w:bookmarkStart w:id="160" w:name="_Toc10242"/>
            <w:r>
              <w:rPr>
                <w:rFonts w:hint="eastAsia" w:ascii="Times New Roman" w:hAnsi="Times New Roman" w:eastAsia="Times New Roman" w:cs="Times New Roman"/>
                <w:b w:val="0"/>
                <w:bCs w:val="0"/>
                <w:spacing w:val="-2"/>
                <w:sz w:val="21"/>
                <w:szCs w:val="21"/>
                <w:u w:val="single"/>
                <w:vertAlign w:val="baseline"/>
                <w:lang w:eastAsia="zh-CN"/>
              </w:rPr>
              <w:t>标识牌牌面为横纵比大于1的矩形，原则上，立柱式和平面固定式标识牌牌面尺寸不小于640mm×400mm，墩式不小于480mm×300mm。</w:t>
            </w:r>
            <w:bookmarkEnd w:id="159"/>
            <w:bookmarkEnd w:id="160"/>
          </w:p>
        </w:tc>
      </w:tr>
      <w:tr w14:paraId="35183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4" w:type="dxa"/>
            <w:vAlign w:val="center"/>
          </w:tcPr>
          <w:p w14:paraId="26ABC707">
            <w:pPr>
              <w:spacing w:line="240" w:lineRule="auto"/>
              <w:jc w:val="center"/>
              <w:outlineLvl w:val="2"/>
              <w:rPr>
                <w:rFonts w:hint="eastAsia" w:ascii="Times New Roman" w:hAnsi="Times New Roman" w:eastAsia="Times New Roman" w:cs="Times New Roman"/>
                <w:b/>
                <w:bCs/>
                <w:spacing w:val="-2"/>
                <w:sz w:val="21"/>
                <w:szCs w:val="21"/>
                <w:u w:val="single"/>
                <w:vertAlign w:val="baseline"/>
                <w:lang w:eastAsia="zh-CN"/>
              </w:rPr>
            </w:pPr>
            <w:bookmarkStart w:id="161" w:name="_Toc28601"/>
            <w:bookmarkStart w:id="162" w:name="_Toc30192"/>
            <w:r>
              <w:rPr>
                <w:rFonts w:hint="eastAsia" w:ascii="Times New Roman" w:hAnsi="Times New Roman" w:eastAsia="Times New Roman" w:cs="Times New Roman"/>
                <w:b w:val="0"/>
                <w:bCs w:val="0"/>
                <w:spacing w:val="-2"/>
                <w:sz w:val="21"/>
                <w:szCs w:val="21"/>
                <w:u w:val="single"/>
                <w:vertAlign w:val="baseline"/>
                <w:lang w:eastAsia="zh-CN"/>
              </w:rPr>
              <w:t>牌面信息</w:t>
            </w:r>
            <w:bookmarkEnd w:id="161"/>
            <w:bookmarkEnd w:id="162"/>
          </w:p>
        </w:tc>
        <w:tc>
          <w:tcPr>
            <w:tcW w:w="7177" w:type="dxa"/>
            <w:vAlign w:val="center"/>
          </w:tcPr>
          <w:p w14:paraId="60EBA8BE">
            <w:pPr>
              <w:spacing w:line="240" w:lineRule="auto"/>
              <w:jc w:val="center"/>
              <w:outlineLvl w:val="2"/>
              <w:rPr>
                <w:rFonts w:hint="eastAsia" w:ascii="Times New Roman" w:hAnsi="Times New Roman" w:eastAsia="Times New Roman" w:cs="Times New Roman"/>
                <w:b/>
                <w:bCs/>
                <w:spacing w:val="-2"/>
                <w:sz w:val="21"/>
                <w:szCs w:val="21"/>
                <w:u w:val="single"/>
                <w:vertAlign w:val="baseline"/>
                <w:lang w:eastAsia="zh-CN"/>
              </w:rPr>
            </w:pPr>
            <w:bookmarkStart w:id="163" w:name="_Toc6287"/>
            <w:bookmarkStart w:id="164" w:name="_Toc188"/>
            <w:r>
              <w:rPr>
                <w:rFonts w:hint="eastAsia" w:ascii="Times New Roman" w:hAnsi="Times New Roman" w:eastAsia="Times New Roman" w:cs="Times New Roman"/>
                <w:b w:val="0"/>
                <w:bCs w:val="0"/>
                <w:spacing w:val="-2"/>
                <w:sz w:val="21"/>
                <w:szCs w:val="21"/>
                <w:u w:val="single"/>
                <w:vertAlign w:val="baseline"/>
                <w:lang w:eastAsia="zh-CN"/>
              </w:rPr>
              <w:t>1牌面信息包括图形标志、文字信息和二维码，按照“左图右文”的方式排列。2图形标志。图形标志由三部分组成：顶部为入河排污口门标志，中间为污水标志，底部为受纳水体及鱼形标志。入河排污口图形标志样式按照GB15562.1规定执行。3文字信息。包括名称、编码、类型、责任主体、管理单位和监督电话，可视情增加其他信息。名称、编码按照HJ1235执行；类型按照HJ1312中的二级分类填写；责任主体按照HJ1313确定；管理单位依次按照以下顺序确定一个单位：责任主体的主管单位、行业监督管理部门、生态环境统一监管部门。4二维码。应关联入河排污口相关信息。a）应包括牌面上所有信息，以及经纬度、责任主体详细地址、受纳水体名称和排放要求。其中，受纳水体名称指直接排入的水体名称；排放要求指同意设置入河排污口的决定书登载的入河污水排放量、重点污染物种类及排放浓度等信息，实行登记管理的，按照HJ1308明确的完成整治判定条件确定。可增加入河排污口污水监测数据、受纳水体的水质目标及水质现状、所在水系示意图等信息。b）鼓励二维码开通举报投诉功能，具备上传文字材料、图片视频等功能，并与地方生态环境问题群众投诉渠道关联，便于公众在发现入河排污口排水水色异常、气味异常或排入水体附近出现死鱼等情况时，及时通过二维码反映情况。</w:t>
            </w:r>
            <w:bookmarkEnd w:id="163"/>
            <w:bookmarkEnd w:id="164"/>
          </w:p>
        </w:tc>
      </w:tr>
    </w:tbl>
    <w:p w14:paraId="2B647B82">
      <w:pPr>
        <w:spacing w:line="480" w:lineRule="exact"/>
        <w:outlineLvl w:val="2"/>
        <w:rPr>
          <w:rFonts w:ascii="宋体" w:hAnsi="宋体" w:eastAsia="宋体" w:cs="宋体"/>
          <w:sz w:val="24"/>
          <w:szCs w:val="24"/>
          <w:u w:val="single"/>
          <w:lang w:eastAsia="zh-CN"/>
        </w:rPr>
      </w:pPr>
      <w:bookmarkStart w:id="165" w:name="_Toc25403"/>
      <w:bookmarkStart w:id="166" w:name="_Toc24303"/>
      <w:r>
        <w:rPr>
          <w:rFonts w:ascii="Times New Roman" w:hAnsi="Times New Roman" w:eastAsia="Times New Roman" w:cs="Times New Roman"/>
          <w:b/>
          <w:bCs/>
          <w:spacing w:val="-2"/>
          <w:sz w:val="24"/>
          <w:szCs w:val="24"/>
          <w:u w:val="single"/>
          <w:lang w:eastAsia="zh-CN"/>
        </w:rPr>
        <w:t>6.1.2.</w:t>
      </w:r>
      <w:r>
        <w:rPr>
          <w:rFonts w:ascii="宋体" w:hAnsi="宋体" w:eastAsia="宋体" w:cs="宋体"/>
          <w:b/>
          <w:bCs/>
          <w:spacing w:val="-2"/>
          <w:sz w:val="24"/>
          <w:szCs w:val="24"/>
          <w:u w:val="single"/>
          <w:lang w:eastAsia="zh-CN"/>
        </w:rPr>
        <w:t>入河排污口管理要求</w:t>
      </w:r>
      <w:bookmarkEnd w:id="165"/>
      <w:bookmarkEnd w:id="166"/>
    </w:p>
    <w:p w14:paraId="79B421B6">
      <w:pPr>
        <w:spacing w:line="480" w:lineRule="exact"/>
        <w:ind w:firstLine="491"/>
        <w:rPr>
          <w:rFonts w:ascii="宋体" w:hAnsi="宋体" w:eastAsia="宋体" w:cs="宋体"/>
          <w:sz w:val="24"/>
          <w:szCs w:val="24"/>
          <w:u w:val="single"/>
          <w:lang w:eastAsia="zh-CN"/>
        </w:rPr>
      </w:pPr>
      <w:r>
        <w:rPr>
          <w:rFonts w:ascii="宋体" w:hAnsi="宋体" w:eastAsia="宋体" w:cs="宋体"/>
          <w:spacing w:val="1"/>
          <w:sz w:val="24"/>
          <w:szCs w:val="24"/>
          <w:u w:val="single"/>
          <w:lang w:eastAsia="zh-CN"/>
        </w:rPr>
        <w:t>（</w:t>
      </w:r>
      <w:r>
        <w:rPr>
          <w:rFonts w:ascii="Times New Roman" w:hAnsi="Times New Roman" w:eastAsia="Times New Roman" w:cs="Times New Roman"/>
          <w:spacing w:val="1"/>
          <w:sz w:val="24"/>
          <w:szCs w:val="24"/>
          <w:u w:val="single"/>
          <w:lang w:eastAsia="zh-CN"/>
        </w:rPr>
        <w:t>1</w:t>
      </w:r>
      <w:r>
        <w:rPr>
          <w:rFonts w:ascii="宋体" w:hAnsi="宋体" w:eastAsia="宋体" w:cs="宋体"/>
          <w:spacing w:val="1"/>
          <w:sz w:val="24"/>
          <w:szCs w:val="24"/>
          <w:u w:val="single"/>
          <w:lang w:eastAsia="zh-CN"/>
        </w:rPr>
        <w:t>）监测及排污量统计工作须符合《水环境监测规范》（</w:t>
      </w:r>
      <w:r>
        <w:rPr>
          <w:rFonts w:ascii="Times New Roman" w:hAnsi="Times New Roman" w:eastAsia="Times New Roman" w:cs="Times New Roman"/>
          <w:sz w:val="24"/>
          <w:szCs w:val="24"/>
          <w:u w:val="single"/>
          <w:lang w:eastAsia="zh-CN"/>
        </w:rPr>
        <w:t>SL</w:t>
      </w:r>
      <w:r>
        <w:rPr>
          <w:rFonts w:ascii="Times New Roman" w:hAnsi="Times New Roman" w:eastAsia="Times New Roman" w:cs="Times New Roman"/>
          <w:spacing w:val="1"/>
          <w:sz w:val="24"/>
          <w:szCs w:val="24"/>
          <w:u w:val="single"/>
          <w:lang w:eastAsia="zh-CN"/>
        </w:rPr>
        <w:t>219</w:t>
      </w:r>
      <w:r>
        <w:rPr>
          <w:rFonts w:ascii="宋体" w:hAnsi="宋体" w:eastAsia="宋体" w:cs="宋体"/>
          <w:spacing w:val="1"/>
          <w:sz w:val="24"/>
          <w:szCs w:val="24"/>
          <w:u w:val="single"/>
          <w:lang w:eastAsia="zh-CN"/>
        </w:rPr>
        <w:t>）及《入河</w:t>
      </w:r>
      <w:r>
        <w:rPr>
          <w:rFonts w:ascii="宋体" w:hAnsi="宋体" w:eastAsia="宋体" w:cs="宋体"/>
          <w:spacing w:val="-2"/>
          <w:sz w:val="24"/>
          <w:szCs w:val="24"/>
          <w:u w:val="single"/>
          <w:lang w:eastAsia="zh-CN"/>
        </w:rPr>
        <w:t>排污量统计技术规程》（</w:t>
      </w:r>
      <w:r>
        <w:rPr>
          <w:rFonts w:ascii="Times New Roman" w:hAnsi="Times New Roman" w:eastAsia="Times New Roman" w:cs="Times New Roman"/>
          <w:spacing w:val="-2"/>
          <w:sz w:val="24"/>
          <w:szCs w:val="24"/>
          <w:u w:val="single"/>
          <w:lang w:eastAsia="zh-CN"/>
        </w:rPr>
        <w:t>SL662</w:t>
      </w:r>
      <w:r>
        <w:rPr>
          <w:rFonts w:ascii="宋体" w:hAnsi="宋体" w:eastAsia="宋体" w:cs="宋体"/>
          <w:spacing w:val="-2"/>
          <w:sz w:val="24"/>
          <w:szCs w:val="24"/>
          <w:u w:val="single"/>
          <w:lang w:eastAsia="zh-CN"/>
        </w:rPr>
        <w:t>）等有关要求，水质检测数据应由具备计量认证资质的检测机构出具。</w:t>
      </w:r>
    </w:p>
    <w:p w14:paraId="6FB1BA2C">
      <w:pPr>
        <w:spacing w:line="480" w:lineRule="exact"/>
        <w:ind w:firstLine="487"/>
        <w:rPr>
          <w:rFonts w:ascii="宋体" w:hAnsi="宋体" w:eastAsia="宋体" w:cs="宋体"/>
          <w:sz w:val="24"/>
          <w:szCs w:val="24"/>
          <w:u w:val="single"/>
          <w:lang w:eastAsia="zh-CN"/>
        </w:rPr>
      </w:pPr>
      <w:r>
        <w:rPr>
          <w:rFonts w:ascii="宋体" w:hAnsi="宋体" w:eastAsia="宋体" w:cs="宋体"/>
          <w:spacing w:val="-6"/>
          <w:sz w:val="24"/>
          <w:szCs w:val="24"/>
          <w:u w:val="single"/>
          <w:lang w:eastAsia="zh-CN"/>
        </w:rPr>
        <w:t>（</w:t>
      </w:r>
      <w:r>
        <w:rPr>
          <w:rFonts w:ascii="Times New Roman" w:hAnsi="Times New Roman" w:eastAsia="Times New Roman" w:cs="Times New Roman"/>
          <w:spacing w:val="-6"/>
          <w:sz w:val="24"/>
          <w:szCs w:val="24"/>
          <w:u w:val="single"/>
          <w:lang w:eastAsia="zh-CN"/>
        </w:rPr>
        <w:t>2</w:t>
      </w:r>
      <w:r>
        <w:rPr>
          <w:rFonts w:ascii="宋体" w:hAnsi="宋体" w:eastAsia="宋体" w:cs="宋体"/>
          <w:spacing w:val="-6"/>
          <w:sz w:val="24"/>
          <w:szCs w:val="24"/>
          <w:u w:val="single"/>
          <w:lang w:eastAsia="zh-CN"/>
        </w:rPr>
        <w:t>）污水排放单位需要为入河排污口建立档案，并按要求认真填写有关内容。</w:t>
      </w:r>
      <w:r>
        <w:rPr>
          <w:rFonts w:ascii="宋体" w:hAnsi="宋体" w:eastAsia="宋体" w:cs="宋体"/>
          <w:spacing w:val="3"/>
          <w:sz w:val="24"/>
          <w:szCs w:val="24"/>
          <w:u w:val="single"/>
          <w:lang w:eastAsia="zh-CN"/>
        </w:rPr>
        <w:t>如：排污单位名称，入河排污口性质及编号，入</w:t>
      </w:r>
      <w:r>
        <w:rPr>
          <w:rFonts w:ascii="宋体" w:hAnsi="宋体" w:eastAsia="宋体" w:cs="宋体"/>
          <w:spacing w:val="2"/>
          <w:sz w:val="24"/>
          <w:szCs w:val="24"/>
          <w:u w:val="single"/>
          <w:lang w:eastAsia="zh-CN"/>
        </w:rPr>
        <w:t>河排污口地理位置，排放主要污</w:t>
      </w:r>
      <w:r>
        <w:rPr>
          <w:rFonts w:ascii="宋体" w:hAnsi="宋体" w:eastAsia="宋体" w:cs="宋体"/>
          <w:sz w:val="24"/>
          <w:szCs w:val="24"/>
          <w:u w:val="single"/>
          <w:lang w:eastAsia="zh-CN"/>
        </w:rPr>
        <w:t>染物种类、数量、浓度，排放去向，立标情</w:t>
      </w:r>
      <w:r>
        <w:rPr>
          <w:rFonts w:ascii="宋体" w:hAnsi="宋体" w:eastAsia="宋体" w:cs="宋体"/>
          <w:spacing w:val="-1"/>
          <w:sz w:val="24"/>
          <w:szCs w:val="24"/>
          <w:u w:val="single"/>
          <w:lang w:eastAsia="zh-CN"/>
        </w:rPr>
        <w:t>况，设施运行情况及整改意见等。</w:t>
      </w:r>
    </w:p>
    <w:p w14:paraId="1B95D69A">
      <w:pPr>
        <w:spacing w:line="480" w:lineRule="exact"/>
        <w:ind w:firstLine="491"/>
        <w:rPr>
          <w:rFonts w:ascii="宋体" w:hAnsi="宋体" w:eastAsia="宋体" w:cs="宋体"/>
          <w:sz w:val="24"/>
          <w:szCs w:val="24"/>
          <w:u w:val="single"/>
          <w:lang w:eastAsia="zh-CN"/>
        </w:rPr>
      </w:pPr>
      <w:r>
        <w:rPr>
          <w:rFonts w:ascii="宋体" w:hAnsi="宋体" w:eastAsia="宋体" w:cs="宋体"/>
          <w:spacing w:val="-2"/>
          <w:sz w:val="24"/>
          <w:szCs w:val="24"/>
          <w:u w:val="single"/>
          <w:lang w:eastAsia="zh-CN"/>
        </w:rPr>
        <w:t>（</w:t>
      </w:r>
      <w:r>
        <w:rPr>
          <w:rFonts w:ascii="Times New Roman" w:hAnsi="Times New Roman" w:eastAsia="Times New Roman" w:cs="Times New Roman"/>
          <w:spacing w:val="-2"/>
          <w:sz w:val="24"/>
          <w:szCs w:val="24"/>
          <w:u w:val="single"/>
          <w:lang w:eastAsia="zh-CN"/>
        </w:rPr>
        <w:t>3</w:t>
      </w:r>
      <w:r>
        <w:rPr>
          <w:rFonts w:ascii="宋体" w:hAnsi="宋体" w:eastAsia="宋体" w:cs="宋体"/>
          <w:spacing w:val="-2"/>
          <w:sz w:val="24"/>
          <w:szCs w:val="24"/>
          <w:u w:val="single"/>
          <w:lang w:eastAsia="zh-CN"/>
        </w:rPr>
        <w:t>）规范化入河排污口的相关设施（如：计量、监控装置、标志牌等</w:t>
      </w:r>
      <w:r>
        <w:rPr>
          <w:rFonts w:ascii="宋体" w:hAnsi="宋体" w:eastAsia="宋体" w:cs="宋体"/>
          <w:spacing w:val="12"/>
          <w:sz w:val="24"/>
          <w:szCs w:val="24"/>
          <w:u w:val="single"/>
          <w:lang w:eastAsia="zh-CN"/>
        </w:rPr>
        <w:t>），</w:t>
      </w:r>
      <w:r>
        <w:rPr>
          <w:rFonts w:ascii="宋体" w:hAnsi="宋体" w:eastAsia="宋体" w:cs="宋体"/>
          <w:spacing w:val="-2"/>
          <w:sz w:val="24"/>
          <w:szCs w:val="24"/>
          <w:u w:val="single"/>
          <w:lang w:eastAsia="zh-CN"/>
        </w:rPr>
        <w:t>生</w:t>
      </w:r>
      <w:r>
        <w:rPr>
          <w:rFonts w:ascii="宋体" w:hAnsi="宋体" w:eastAsia="宋体" w:cs="宋体"/>
          <w:spacing w:val="3"/>
          <w:sz w:val="24"/>
          <w:szCs w:val="24"/>
          <w:u w:val="single"/>
          <w:lang w:eastAsia="zh-CN"/>
        </w:rPr>
        <w:t>态环境部门应按照有关环境保护设施监督管理规定，加</w:t>
      </w:r>
      <w:r>
        <w:rPr>
          <w:rFonts w:ascii="宋体" w:hAnsi="宋体" w:eastAsia="宋体" w:cs="宋体"/>
          <w:spacing w:val="2"/>
          <w:sz w:val="24"/>
          <w:szCs w:val="24"/>
          <w:u w:val="single"/>
          <w:lang w:eastAsia="zh-CN"/>
        </w:rPr>
        <w:t>强日常监督管理。排污单</w:t>
      </w:r>
      <w:r>
        <w:rPr>
          <w:rFonts w:ascii="宋体" w:hAnsi="宋体" w:eastAsia="宋体" w:cs="宋体"/>
          <w:sz w:val="24"/>
          <w:szCs w:val="24"/>
          <w:u w:val="single"/>
          <w:lang w:eastAsia="zh-CN"/>
        </w:rPr>
        <w:t>位应将环境保护设施纳入本单位设备管理，制定相应</w:t>
      </w:r>
      <w:r>
        <w:rPr>
          <w:rFonts w:ascii="宋体" w:hAnsi="宋体" w:eastAsia="宋体" w:cs="宋体"/>
          <w:spacing w:val="-1"/>
          <w:sz w:val="24"/>
          <w:szCs w:val="24"/>
          <w:u w:val="single"/>
          <w:lang w:eastAsia="zh-CN"/>
        </w:rPr>
        <w:t>的管理办法和规章制度。</w:t>
      </w:r>
    </w:p>
    <w:p w14:paraId="6762BD77">
      <w:pPr>
        <w:spacing w:line="480" w:lineRule="exact"/>
        <w:ind w:firstLine="476" w:firstLineChars="200"/>
        <w:rPr>
          <w:rFonts w:ascii="宋体" w:hAnsi="宋体" w:eastAsia="宋体" w:cs="宋体"/>
          <w:sz w:val="24"/>
          <w:szCs w:val="24"/>
          <w:u w:val="single"/>
          <w:lang w:eastAsia="zh-CN"/>
        </w:rPr>
      </w:pPr>
      <w:r>
        <w:rPr>
          <w:rFonts w:ascii="宋体" w:hAnsi="宋体" w:eastAsia="宋体" w:cs="宋体"/>
          <w:spacing w:val="-1"/>
          <w:sz w:val="24"/>
          <w:szCs w:val="24"/>
          <w:u w:val="single"/>
          <w:lang w:eastAsia="zh-CN"/>
        </w:rPr>
        <w:t>（</w:t>
      </w:r>
      <w:r>
        <w:rPr>
          <w:rFonts w:ascii="Times New Roman" w:hAnsi="Times New Roman" w:eastAsia="Times New Roman" w:cs="Times New Roman"/>
          <w:spacing w:val="-1"/>
          <w:sz w:val="24"/>
          <w:szCs w:val="24"/>
          <w:u w:val="single"/>
          <w:lang w:eastAsia="zh-CN"/>
        </w:rPr>
        <w:t>4</w:t>
      </w:r>
      <w:r>
        <w:rPr>
          <w:rFonts w:ascii="宋体" w:hAnsi="宋体" w:eastAsia="宋体" w:cs="宋体"/>
          <w:spacing w:val="-1"/>
          <w:sz w:val="24"/>
          <w:szCs w:val="24"/>
          <w:u w:val="single"/>
          <w:lang w:eastAsia="zh-CN"/>
        </w:rPr>
        <w:t>）及时申请入河排污口设置验收，完善设置管理手续。</w:t>
      </w:r>
    </w:p>
    <w:p w14:paraId="4E2C5166">
      <w:pPr>
        <w:spacing w:line="480" w:lineRule="exact"/>
        <w:ind w:firstLine="493"/>
        <w:rPr>
          <w:rFonts w:ascii="宋体" w:hAnsi="宋体" w:eastAsia="宋体" w:cs="宋体"/>
          <w:sz w:val="24"/>
          <w:szCs w:val="24"/>
          <w:u w:val="single"/>
          <w:lang w:eastAsia="zh-CN"/>
        </w:rPr>
      </w:pPr>
      <w:r>
        <w:rPr>
          <w:rFonts w:ascii="宋体" w:hAnsi="宋体" w:eastAsia="宋体" w:cs="宋体"/>
          <w:spacing w:val="-1"/>
          <w:sz w:val="24"/>
          <w:szCs w:val="24"/>
          <w:u w:val="single"/>
          <w:lang w:eastAsia="zh-CN"/>
        </w:rPr>
        <w:t>（</w:t>
      </w:r>
      <w:r>
        <w:rPr>
          <w:rFonts w:ascii="Times New Roman" w:hAnsi="Times New Roman" w:eastAsia="Times New Roman" w:cs="Times New Roman"/>
          <w:spacing w:val="-1"/>
          <w:sz w:val="24"/>
          <w:szCs w:val="24"/>
          <w:u w:val="single"/>
          <w:lang w:eastAsia="zh-CN"/>
        </w:rPr>
        <w:t>5</w:t>
      </w:r>
      <w:r>
        <w:rPr>
          <w:rFonts w:ascii="宋体" w:hAnsi="宋体" w:eastAsia="宋体" w:cs="宋体"/>
          <w:spacing w:val="-1"/>
          <w:sz w:val="24"/>
          <w:szCs w:val="24"/>
          <w:u w:val="single"/>
          <w:lang w:eastAsia="zh-CN"/>
        </w:rPr>
        <w:t>）排污单位应选派责任心强，有专业知识和技能的专职人员对</w:t>
      </w:r>
      <w:r>
        <w:rPr>
          <w:rFonts w:ascii="宋体" w:hAnsi="宋体" w:eastAsia="宋体" w:cs="宋体"/>
          <w:spacing w:val="-2"/>
          <w:sz w:val="24"/>
          <w:szCs w:val="24"/>
          <w:u w:val="single"/>
          <w:lang w:eastAsia="zh-CN"/>
        </w:rPr>
        <w:t>入河排污口</w:t>
      </w:r>
      <w:r>
        <w:rPr>
          <w:rFonts w:ascii="宋体" w:hAnsi="宋体" w:eastAsia="宋体" w:cs="宋体"/>
          <w:spacing w:val="-1"/>
          <w:sz w:val="24"/>
          <w:szCs w:val="24"/>
          <w:u w:val="single"/>
          <w:lang w:eastAsia="zh-CN"/>
        </w:rPr>
        <w:t>进行管理，做到责任明确、奖罚分明。</w:t>
      </w:r>
    </w:p>
    <w:p w14:paraId="43B25C43">
      <w:pPr>
        <w:spacing w:before="186" w:line="220" w:lineRule="auto"/>
        <w:ind w:left="40"/>
        <w:outlineLvl w:val="1"/>
        <w:rPr>
          <w:rFonts w:ascii="宋体" w:hAnsi="宋体" w:eastAsia="宋体" w:cs="宋体"/>
          <w:sz w:val="28"/>
          <w:szCs w:val="28"/>
          <w:u w:val="single" w:color="auto"/>
          <w:lang w:eastAsia="zh-CN"/>
        </w:rPr>
      </w:pPr>
      <w:bookmarkStart w:id="167" w:name="_Toc25039"/>
      <w:bookmarkStart w:id="168" w:name="_Toc29585"/>
      <w:r>
        <w:rPr>
          <w:rFonts w:ascii="Times New Roman" w:hAnsi="Times New Roman" w:eastAsia="Times New Roman" w:cs="Times New Roman"/>
          <w:b/>
          <w:bCs/>
          <w:spacing w:val="-2"/>
          <w:sz w:val="28"/>
          <w:szCs w:val="28"/>
          <w:u w:val="single" w:color="auto"/>
          <w:lang w:eastAsia="zh-CN"/>
        </w:rPr>
        <w:t>6.2</w:t>
      </w:r>
      <w:r>
        <w:rPr>
          <w:rFonts w:ascii="宋体" w:hAnsi="宋体" w:eastAsia="宋体" w:cs="宋体"/>
          <w:b/>
          <w:bCs/>
          <w:spacing w:val="-2"/>
          <w:sz w:val="28"/>
          <w:szCs w:val="28"/>
          <w:u w:val="single" w:color="auto"/>
          <w:lang w:eastAsia="zh-CN"/>
        </w:rPr>
        <w:t>水功能区（水域）纳污能力、限制排污</w:t>
      </w:r>
      <w:r>
        <w:rPr>
          <w:rFonts w:ascii="宋体" w:hAnsi="宋体" w:eastAsia="宋体" w:cs="宋体"/>
          <w:b/>
          <w:bCs/>
          <w:spacing w:val="-3"/>
          <w:sz w:val="28"/>
          <w:szCs w:val="28"/>
          <w:u w:val="single" w:color="auto"/>
          <w:lang w:eastAsia="zh-CN"/>
        </w:rPr>
        <w:t>总量</w:t>
      </w:r>
      <w:bookmarkEnd w:id="167"/>
      <w:bookmarkEnd w:id="168"/>
    </w:p>
    <w:p w14:paraId="3FF1E2D6">
      <w:pPr>
        <w:spacing w:before="207" w:line="359" w:lineRule="auto"/>
        <w:ind w:left="39" w:right="18" w:firstLine="482"/>
        <w:jc w:val="both"/>
        <w:rPr>
          <w:rFonts w:ascii="宋体" w:hAnsi="宋体" w:eastAsia="宋体" w:cs="宋体"/>
          <w:sz w:val="24"/>
          <w:szCs w:val="24"/>
          <w:u w:val="single" w:color="auto"/>
          <w:lang w:eastAsia="zh-CN"/>
        </w:rPr>
      </w:pPr>
      <w:r>
        <w:rPr>
          <w:rFonts w:ascii="宋体" w:hAnsi="宋体" w:eastAsia="宋体" w:cs="宋体"/>
          <w:spacing w:val="-3"/>
          <w:sz w:val="24"/>
          <w:szCs w:val="24"/>
          <w:u w:val="single" w:color="auto"/>
          <w:lang w:eastAsia="zh-CN"/>
        </w:rPr>
        <w:t>水功能区纳污能力是指在设计水文条件下，满足计算水域的水质目标要求时，</w:t>
      </w:r>
      <w:r>
        <w:rPr>
          <w:rFonts w:ascii="宋体" w:hAnsi="宋体" w:eastAsia="宋体" w:cs="宋体"/>
          <w:sz w:val="24"/>
          <w:szCs w:val="24"/>
          <w:u w:val="single" w:color="auto"/>
          <w:lang w:eastAsia="zh-CN"/>
        </w:rPr>
        <w:t>水体所能容纳的某种污染物的最大数量。其大小与水体</w:t>
      </w:r>
      <w:r>
        <w:rPr>
          <w:rFonts w:ascii="宋体" w:hAnsi="宋体" w:eastAsia="宋体" w:cs="宋体"/>
          <w:spacing w:val="-1"/>
          <w:sz w:val="24"/>
          <w:szCs w:val="24"/>
          <w:u w:val="single" w:color="auto"/>
          <w:lang w:eastAsia="zh-CN"/>
        </w:rPr>
        <w:t>特征、水质目标及污染物特性有关，通常以单位时间内水体所能承受的污染物总量表示。</w:t>
      </w:r>
    </w:p>
    <w:p w14:paraId="0748CB50">
      <w:pPr>
        <w:spacing w:before="1" w:line="220" w:lineRule="auto"/>
        <w:ind w:left="38"/>
        <w:outlineLvl w:val="2"/>
        <w:rPr>
          <w:rFonts w:ascii="宋体" w:hAnsi="宋体" w:eastAsia="宋体" w:cs="宋体"/>
          <w:sz w:val="24"/>
          <w:szCs w:val="24"/>
          <w:u w:val="single" w:color="auto"/>
          <w:lang w:eastAsia="zh-CN"/>
        </w:rPr>
      </w:pPr>
      <w:bookmarkStart w:id="169" w:name="_Toc16169"/>
      <w:bookmarkStart w:id="170" w:name="_Toc10169"/>
      <w:r>
        <w:rPr>
          <w:rFonts w:ascii="Times New Roman" w:hAnsi="Times New Roman" w:eastAsia="Times New Roman" w:cs="Times New Roman"/>
          <w:b/>
          <w:bCs/>
          <w:spacing w:val="-2"/>
          <w:sz w:val="24"/>
          <w:szCs w:val="24"/>
          <w:u w:val="single" w:color="auto"/>
          <w:lang w:eastAsia="zh-CN"/>
        </w:rPr>
        <w:t>6.2.1</w:t>
      </w:r>
      <w:r>
        <w:rPr>
          <w:rFonts w:ascii="宋体" w:hAnsi="宋体" w:eastAsia="宋体" w:cs="宋体"/>
          <w:b/>
          <w:bCs/>
          <w:spacing w:val="-2"/>
          <w:sz w:val="24"/>
          <w:szCs w:val="24"/>
          <w:u w:val="single" w:color="auto"/>
          <w:lang w:eastAsia="zh-CN"/>
        </w:rPr>
        <w:t>控制指标</w:t>
      </w:r>
      <w:bookmarkEnd w:id="169"/>
      <w:bookmarkEnd w:id="170"/>
    </w:p>
    <w:p w14:paraId="753DF07C">
      <w:pPr>
        <w:spacing w:before="179" w:line="359" w:lineRule="auto"/>
        <w:ind w:left="48" w:right="80" w:firstLine="470"/>
        <w:rPr>
          <w:rFonts w:ascii="宋体" w:hAnsi="宋体" w:eastAsia="宋体" w:cs="宋体"/>
          <w:sz w:val="24"/>
          <w:szCs w:val="24"/>
          <w:u w:val="single" w:color="auto"/>
          <w:lang w:eastAsia="zh-CN"/>
        </w:rPr>
      </w:pPr>
      <w:r>
        <w:rPr>
          <w:rFonts w:ascii="宋体" w:hAnsi="宋体" w:eastAsia="宋体" w:cs="宋体"/>
          <w:spacing w:val="-1"/>
          <w:sz w:val="24"/>
          <w:szCs w:val="24"/>
          <w:u w:val="single" w:color="auto"/>
          <w:lang w:eastAsia="zh-CN"/>
        </w:rPr>
        <w:t>根据废水水质特征及总量控制指标，本次论证取</w:t>
      </w:r>
      <w:r>
        <w:rPr>
          <w:rFonts w:ascii="Times New Roman" w:hAnsi="Times New Roman" w:eastAsia="Times New Roman" w:cs="Times New Roman"/>
          <w:spacing w:val="-1"/>
          <w:sz w:val="24"/>
          <w:szCs w:val="24"/>
          <w:u w:val="single" w:color="auto"/>
          <w:lang w:eastAsia="zh-CN"/>
        </w:rPr>
        <w:t>COD</w:t>
      </w:r>
      <w:r>
        <w:rPr>
          <w:rFonts w:ascii="宋体" w:hAnsi="宋体" w:eastAsia="宋体" w:cs="宋体"/>
          <w:spacing w:val="-1"/>
          <w:sz w:val="24"/>
          <w:szCs w:val="24"/>
          <w:u w:val="single" w:color="auto"/>
          <w:lang w:eastAsia="zh-CN"/>
        </w:rPr>
        <w:t>、</w:t>
      </w:r>
      <w:r>
        <w:rPr>
          <w:rFonts w:ascii="Times New Roman" w:hAnsi="Times New Roman" w:eastAsia="Times New Roman" w:cs="Times New Roman"/>
          <w:spacing w:val="-1"/>
          <w:sz w:val="24"/>
          <w:szCs w:val="24"/>
          <w:u w:val="single" w:color="auto"/>
          <w:lang w:eastAsia="zh-CN"/>
        </w:rPr>
        <w:t>NH</w:t>
      </w:r>
      <w:r>
        <w:rPr>
          <w:rFonts w:ascii="Times New Roman" w:hAnsi="Times New Roman" w:eastAsia="Times New Roman" w:cs="Times New Roman"/>
          <w:spacing w:val="-1"/>
          <w:sz w:val="15"/>
          <w:szCs w:val="15"/>
          <w:u w:val="single" w:color="auto"/>
          <w:lang w:eastAsia="zh-CN"/>
        </w:rPr>
        <w:t>3</w:t>
      </w:r>
      <w:r>
        <w:rPr>
          <w:rFonts w:ascii="Times New Roman" w:hAnsi="Times New Roman" w:eastAsia="Times New Roman" w:cs="Times New Roman"/>
          <w:spacing w:val="-1"/>
          <w:sz w:val="24"/>
          <w:szCs w:val="24"/>
          <w:u w:val="single" w:color="auto"/>
          <w:lang w:eastAsia="zh-CN"/>
        </w:rPr>
        <w:t>-N</w:t>
      </w:r>
      <w:r>
        <w:rPr>
          <w:rFonts w:hint="eastAsia" w:ascii="Times New Roman" w:hAnsi="Times New Roman" w:eastAsia="Times New Roman" w:cs="Times New Roman"/>
          <w:spacing w:val="-1"/>
          <w:sz w:val="24"/>
          <w:szCs w:val="24"/>
          <w:u w:val="single" w:color="auto"/>
          <w:lang w:eastAsia="zh-CN"/>
        </w:rPr>
        <w:t>、</w:t>
      </w:r>
      <w:r>
        <w:rPr>
          <w:rFonts w:hint="eastAsia" w:ascii="Times New Roman" w:hAnsi="Times New Roman" w:eastAsia="Times New Roman" w:cs="Times New Roman"/>
          <w:spacing w:val="-1"/>
          <w:sz w:val="24"/>
          <w:szCs w:val="24"/>
          <w:u w:val="single" w:color="auto"/>
          <w:lang w:val="en-US" w:eastAsia="zh-CN"/>
        </w:rPr>
        <w:t>总磷</w:t>
      </w:r>
      <w:r>
        <w:rPr>
          <w:rFonts w:ascii="宋体" w:hAnsi="宋体" w:eastAsia="宋体" w:cs="宋体"/>
          <w:spacing w:val="-2"/>
          <w:sz w:val="24"/>
          <w:szCs w:val="24"/>
          <w:u w:val="single" w:color="auto"/>
          <w:lang w:eastAsia="zh-CN"/>
        </w:rPr>
        <w:t>指标作为纳污</w:t>
      </w:r>
      <w:r>
        <w:rPr>
          <w:rFonts w:ascii="宋体" w:hAnsi="宋体" w:eastAsia="宋体" w:cs="宋体"/>
          <w:spacing w:val="-3"/>
          <w:sz w:val="24"/>
          <w:szCs w:val="24"/>
          <w:u w:val="single" w:color="auto"/>
          <w:lang w:eastAsia="zh-CN"/>
        </w:rPr>
        <w:t>能力分析指标。</w:t>
      </w:r>
    </w:p>
    <w:p w14:paraId="1D2DF29F">
      <w:pPr>
        <w:pageBreakBefore w:val="0"/>
        <w:wordWrap/>
        <w:overflowPunct/>
        <w:topLinePunct w:val="0"/>
        <w:bidi w:val="0"/>
        <w:spacing w:line="360" w:lineRule="auto"/>
        <w:ind w:left="0"/>
        <w:jc w:val="both"/>
        <w:outlineLvl w:val="2"/>
        <w:rPr>
          <w:rFonts w:ascii="宋体" w:hAnsi="宋体" w:eastAsia="宋体" w:cs="宋体"/>
          <w:sz w:val="24"/>
          <w:szCs w:val="24"/>
          <w:u w:val="single" w:color="auto"/>
          <w:lang w:eastAsia="zh-CN"/>
        </w:rPr>
      </w:pPr>
      <w:bookmarkStart w:id="171" w:name="_Toc14520"/>
      <w:bookmarkStart w:id="172" w:name="_Toc14940"/>
      <w:r>
        <w:rPr>
          <w:rFonts w:ascii="Times New Roman" w:hAnsi="Times New Roman" w:eastAsia="Times New Roman" w:cs="Times New Roman"/>
          <w:b/>
          <w:bCs/>
          <w:spacing w:val="-2"/>
          <w:sz w:val="24"/>
          <w:szCs w:val="24"/>
          <w:u w:val="single" w:color="auto"/>
          <w:lang w:eastAsia="zh-CN"/>
        </w:rPr>
        <w:t>6.2.2</w:t>
      </w:r>
      <w:r>
        <w:rPr>
          <w:rFonts w:ascii="宋体" w:hAnsi="宋体" w:eastAsia="宋体" w:cs="宋体"/>
          <w:b/>
          <w:bCs/>
          <w:spacing w:val="-2"/>
          <w:sz w:val="24"/>
          <w:szCs w:val="24"/>
          <w:u w:val="single" w:color="auto"/>
          <w:lang w:eastAsia="zh-CN"/>
        </w:rPr>
        <w:t>计算模型</w:t>
      </w:r>
      <w:bookmarkEnd w:id="171"/>
      <w:bookmarkEnd w:id="172"/>
    </w:p>
    <w:p w14:paraId="2F8E2AF4">
      <w:pPr>
        <w:pStyle w:val="30"/>
        <w:pageBreakBefore w:val="0"/>
        <w:wordWrap/>
        <w:overflowPunct/>
        <w:topLinePunct w:val="0"/>
        <w:bidi w:val="0"/>
        <w:spacing w:line="360" w:lineRule="auto"/>
        <w:ind w:left="0" w:leftChars="0" w:firstLine="480" w:firstLineChars="200"/>
        <w:jc w:val="both"/>
        <w:rPr>
          <w:rFonts w:ascii="Times New Roman" w:hAnsi="Times New Roman" w:eastAsia="宋体" w:cs="Times New Roman"/>
          <w:bCs/>
          <w:szCs w:val="22"/>
          <w:u w:val="single" w:color="auto"/>
          <w:lang w:eastAsia="zh-CN"/>
        </w:rPr>
      </w:pPr>
      <w:r>
        <w:rPr>
          <w:rFonts w:hint="eastAsia" w:ascii="Times New Roman" w:hAnsi="Times New Roman" w:eastAsia="宋体" w:cs="Times New Roman"/>
          <w:bCs/>
          <w:szCs w:val="22"/>
          <w:u w:val="single" w:color="auto"/>
          <w:lang w:eastAsia="zh-CN"/>
        </w:rPr>
        <w:t>根据《水域纳污能力计算规程》（GBT25173-2010）河流纳污能力数学模型计算法，按计算河段的多年平均流量Q将计算河段划分为以下三种类型：</w:t>
      </w:r>
    </w:p>
    <w:p w14:paraId="10156EC6">
      <w:pPr>
        <w:pStyle w:val="30"/>
        <w:pageBreakBefore w:val="0"/>
        <w:wordWrap/>
        <w:overflowPunct/>
        <w:topLinePunct w:val="0"/>
        <w:bidi w:val="0"/>
        <w:spacing w:line="360" w:lineRule="auto"/>
        <w:ind w:left="0" w:firstLine="480"/>
        <w:jc w:val="both"/>
        <w:rPr>
          <w:rFonts w:ascii="Times New Roman" w:hAnsi="Times New Roman" w:eastAsia="宋体" w:cs="Times New Roman"/>
          <w:bCs/>
          <w:szCs w:val="22"/>
          <w:u w:val="single" w:color="auto"/>
          <w:lang w:eastAsia="zh-CN"/>
        </w:rPr>
      </w:pPr>
      <w:r>
        <w:rPr>
          <w:rFonts w:hint="eastAsia" w:ascii="Times New Roman" w:hAnsi="Times New Roman" w:eastAsia="宋体" w:cs="Times New Roman"/>
          <w:bCs/>
          <w:szCs w:val="22"/>
          <w:u w:val="single" w:color="auto"/>
          <w:lang w:eastAsia="zh-CN"/>
        </w:rPr>
        <w:t>——Q≥150m</w:t>
      </w:r>
      <w:r>
        <w:rPr>
          <w:rFonts w:hint="eastAsia" w:ascii="Times New Roman" w:hAnsi="Times New Roman" w:eastAsia="宋体" w:cs="Times New Roman"/>
          <w:bCs/>
          <w:szCs w:val="22"/>
          <w:u w:val="single" w:color="auto"/>
          <w:vertAlign w:val="superscript"/>
          <w:lang w:eastAsia="zh-CN"/>
        </w:rPr>
        <w:t>3</w:t>
      </w:r>
      <w:r>
        <w:rPr>
          <w:rFonts w:hint="eastAsia" w:ascii="Times New Roman" w:hAnsi="Times New Roman" w:eastAsia="宋体" w:cs="Times New Roman"/>
          <w:bCs/>
          <w:szCs w:val="22"/>
          <w:u w:val="single" w:color="auto"/>
          <w:lang w:eastAsia="zh-CN"/>
        </w:rPr>
        <w:t>/s为大型河段；</w:t>
      </w:r>
    </w:p>
    <w:p w14:paraId="5C8BE287">
      <w:pPr>
        <w:pStyle w:val="30"/>
        <w:pageBreakBefore w:val="0"/>
        <w:wordWrap/>
        <w:overflowPunct/>
        <w:topLinePunct w:val="0"/>
        <w:bidi w:val="0"/>
        <w:spacing w:line="360" w:lineRule="auto"/>
        <w:ind w:left="0" w:firstLine="480"/>
        <w:jc w:val="both"/>
        <w:rPr>
          <w:rFonts w:ascii="Times New Roman" w:hAnsi="Times New Roman" w:eastAsia="宋体" w:cs="Times New Roman"/>
          <w:bCs/>
          <w:szCs w:val="22"/>
          <w:u w:val="single" w:color="auto"/>
          <w:lang w:eastAsia="zh-CN"/>
        </w:rPr>
      </w:pPr>
      <w:r>
        <w:rPr>
          <w:rFonts w:hint="eastAsia" w:ascii="Times New Roman" w:hAnsi="Times New Roman" w:eastAsia="宋体" w:cs="Times New Roman"/>
          <w:bCs/>
          <w:szCs w:val="22"/>
          <w:u w:val="single" w:color="auto"/>
          <w:lang w:eastAsia="zh-CN"/>
        </w:rPr>
        <w:t>——15m</w:t>
      </w:r>
      <w:r>
        <w:rPr>
          <w:rFonts w:hint="eastAsia" w:ascii="Times New Roman" w:hAnsi="Times New Roman" w:eastAsia="宋体" w:cs="Times New Roman"/>
          <w:bCs/>
          <w:szCs w:val="22"/>
          <w:u w:val="single" w:color="auto"/>
          <w:vertAlign w:val="superscript"/>
          <w:lang w:eastAsia="zh-CN"/>
        </w:rPr>
        <w:t>3</w:t>
      </w:r>
      <w:r>
        <w:rPr>
          <w:rFonts w:hint="eastAsia" w:ascii="Times New Roman" w:hAnsi="Times New Roman" w:eastAsia="宋体" w:cs="Times New Roman"/>
          <w:bCs/>
          <w:szCs w:val="22"/>
          <w:u w:val="single" w:color="auto"/>
          <w:lang w:eastAsia="zh-CN"/>
        </w:rPr>
        <w:t>/s＜Q＜150m</w:t>
      </w:r>
      <w:r>
        <w:rPr>
          <w:rFonts w:hint="eastAsia" w:ascii="Times New Roman" w:hAnsi="Times New Roman" w:eastAsia="宋体" w:cs="Times New Roman"/>
          <w:bCs/>
          <w:szCs w:val="22"/>
          <w:u w:val="single" w:color="auto"/>
          <w:vertAlign w:val="superscript"/>
          <w:lang w:eastAsia="zh-CN"/>
        </w:rPr>
        <w:t>3</w:t>
      </w:r>
      <w:r>
        <w:rPr>
          <w:rFonts w:hint="eastAsia" w:ascii="Times New Roman" w:hAnsi="Times New Roman" w:eastAsia="宋体" w:cs="Times New Roman"/>
          <w:bCs/>
          <w:szCs w:val="22"/>
          <w:u w:val="single" w:color="auto"/>
          <w:lang w:eastAsia="zh-CN"/>
        </w:rPr>
        <w:t>/s为中型河段；</w:t>
      </w:r>
    </w:p>
    <w:p w14:paraId="343C45CB">
      <w:pPr>
        <w:pStyle w:val="30"/>
        <w:pageBreakBefore w:val="0"/>
        <w:wordWrap/>
        <w:overflowPunct/>
        <w:topLinePunct w:val="0"/>
        <w:bidi w:val="0"/>
        <w:spacing w:line="360" w:lineRule="auto"/>
        <w:ind w:left="0" w:firstLine="480"/>
        <w:jc w:val="both"/>
        <w:rPr>
          <w:rFonts w:ascii="Times New Roman" w:hAnsi="Times New Roman" w:eastAsia="宋体" w:cs="Times New Roman"/>
          <w:bCs/>
          <w:szCs w:val="22"/>
          <w:u w:val="single" w:color="auto"/>
          <w:lang w:eastAsia="zh-CN"/>
        </w:rPr>
      </w:pPr>
      <w:r>
        <w:rPr>
          <w:rFonts w:hint="eastAsia" w:ascii="Times New Roman" w:hAnsi="Times New Roman" w:eastAsia="宋体" w:cs="Times New Roman"/>
          <w:bCs/>
          <w:szCs w:val="22"/>
          <w:u w:val="single" w:color="auto"/>
          <w:lang w:eastAsia="zh-CN"/>
        </w:rPr>
        <w:t>——Q≤15m</w:t>
      </w:r>
      <w:r>
        <w:rPr>
          <w:rFonts w:hint="eastAsia" w:ascii="Times New Roman" w:hAnsi="Times New Roman" w:eastAsia="宋体" w:cs="Times New Roman"/>
          <w:bCs/>
          <w:szCs w:val="22"/>
          <w:u w:val="single" w:color="auto"/>
          <w:vertAlign w:val="superscript"/>
          <w:lang w:eastAsia="zh-CN"/>
        </w:rPr>
        <w:t>3</w:t>
      </w:r>
      <w:r>
        <w:rPr>
          <w:rFonts w:hint="eastAsia" w:ascii="Times New Roman" w:hAnsi="Times New Roman" w:eastAsia="宋体" w:cs="Times New Roman"/>
          <w:bCs/>
          <w:szCs w:val="22"/>
          <w:u w:val="single" w:color="auto"/>
          <w:lang w:eastAsia="zh-CN"/>
        </w:rPr>
        <w:t>/s为小型河段。</w:t>
      </w:r>
    </w:p>
    <w:p w14:paraId="2C416154">
      <w:pPr>
        <w:pStyle w:val="30"/>
        <w:pageBreakBefore w:val="0"/>
        <w:wordWrap/>
        <w:overflowPunct/>
        <w:topLinePunct w:val="0"/>
        <w:bidi w:val="0"/>
        <w:spacing w:line="360" w:lineRule="auto"/>
        <w:ind w:left="0" w:right="0" w:firstLine="480"/>
        <w:jc w:val="both"/>
        <w:rPr>
          <w:rFonts w:hint="eastAsia" w:ascii="Times New Roman" w:hAnsi="Times New Roman" w:eastAsia="宋体" w:cs="Times New Roman"/>
          <w:bCs/>
          <w:color w:val="auto"/>
          <w:szCs w:val="22"/>
          <w:u w:val="single" w:color="auto"/>
          <w:lang w:eastAsia="zh-CN"/>
        </w:rPr>
      </w:pPr>
      <w:r>
        <w:rPr>
          <w:rFonts w:hint="eastAsia" w:ascii="Times New Roman" w:hAnsi="Times New Roman" w:eastAsia="宋体" w:cs="Times New Roman"/>
          <w:color w:val="auto"/>
          <w:spacing w:val="0"/>
          <w:sz w:val="24"/>
          <w:szCs w:val="24"/>
          <w:highlight w:val="none"/>
          <w:u w:val="single" w:color="auto"/>
          <w:lang w:val="en-US" w:eastAsia="zh-CN"/>
        </w:rPr>
        <w:t>本次青山河流量来源于现场实测，</w:t>
      </w:r>
      <w:r>
        <w:rPr>
          <w:rFonts w:hint="eastAsia" w:ascii="Times New Roman" w:hAnsi="Times New Roman" w:eastAsia="宋体" w:cs="Times New Roman"/>
          <w:bCs/>
          <w:szCs w:val="22"/>
          <w:u w:val="single" w:color="auto"/>
          <w:lang w:eastAsia="zh-CN"/>
        </w:rPr>
        <w:t>青山河平均流量约2.56m</w:t>
      </w:r>
      <w:r>
        <w:rPr>
          <w:rFonts w:hint="eastAsia" w:ascii="Times New Roman" w:hAnsi="Times New Roman" w:eastAsia="宋体" w:cs="Times New Roman"/>
          <w:bCs/>
          <w:szCs w:val="22"/>
          <w:u w:val="single" w:color="auto"/>
          <w:vertAlign w:val="superscript"/>
          <w:lang w:eastAsia="zh-CN"/>
        </w:rPr>
        <w:t>3</w:t>
      </w:r>
      <w:r>
        <w:rPr>
          <w:rFonts w:hint="eastAsia" w:ascii="Times New Roman" w:hAnsi="Times New Roman" w:eastAsia="宋体" w:cs="Times New Roman"/>
          <w:bCs/>
          <w:szCs w:val="22"/>
          <w:u w:val="single" w:color="auto"/>
          <w:lang w:eastAsia="zh-CN"/>
        </w:rPr>
        <w:t>/s，≤15m</w:t>
      </w:r>
      <w:r>
        <w:rPr>
          <w:rFonts w:hint="eastAsia" w:ascii="Times New Roman" w:hAnsi="Times New Roman" w:eastAsia="宋体" w:cs="Times New Roman"/>
          <w:bCs/>
          <w:szCs w:val="22"/>
          <w:u w:val="single" w:color="auto"/>
          <w:vertAlign w:val="superscript"/>
          <w:lang w:eastAsia="zh-CN"/>
        </w:rPr>
        <w:t>3</w:t>
      </w:r>
      <w:r>
        <w:rPr>
          <w:rFonts w:hint="eastAsia" w:ascii="Times New Roman" w:hAnsi="Times New Roman" w:eastAsia="宋体" w:cs="Times New Roman"/>
          <w:bCs/>
          <w:szCs w:val="22"/>
          <w:u w:val="single" w:color="auto"/>
          <w:lang w:eastAsia="zh-CN"/>
        </w:rPr>
        <w:t>/s为小型河段</w:t>
      </w:r>
      <w:r>
        <w:rPr>
          <w:rFonts w:hint="default" w:ascii="Times New Roman" w:hAnsi="Times New Roman" w:eastAsia="宋体" w:cs="Times New Roman"/>
          <w:bCs/>
          <w:color w:val="auto"/>
          <w:szCs w:val="22"/>
          <w:u w:val="single" w:color="auto"/>
          <w:lang w:eastAsia="zh-CN"/>
        </w:rPr>
        <w:t>，</w:t>
      </w:r>
      <w:r>
        <w:rPr>
          <w:rFonts w:hint="default" w:ascii="Times New Roman" w:hAnsi="Times New Roman" w:cs="Times New Roman"/>
          <w:bCs/>
          <w:color w:val="auto"/>
          <w:szCs w:val="22"/>
          <w:u w:val="single" w:color="auto"/>
          <w:lang w:eastAsia="zh-CN"/>
        </w:rPr>
        <w:t>按</w:t>
      </w:r>
      <w:r>
        <w:rPr>
          <w:rFonts w:hint="default" w:ascii="Times New Roman" w:hAnsi="Times New Roman" w:eastAsia="宋体" w:cs="Times New Roman"/>
          <w:color w:val="auto"/>
          <w:szCs w:val="24"/>
          <w:u w:val="single" w:color="auto"/>
          <w:lang w:eastAsia="zh-CN"/>
        </w:rPr>
        <w:t>《环境影响评价技术导则  地表水环境》（HJ2.3-2018）要</w:t>
      </w:r>
      <w:r>
        <w:rPr>
          <w:rFonts w:ascii="Times New Roman" w:hAnsi="Times New Roman" w:eastAsia="宋体" w:cs="Times New Roman"/>
          <w:color w:val="auto"/>
          <w:szCs w:val="24"/>
          <w:u w:val="single" w:color="auto"/>
          <w:lang w:eastAsia="zh-CN"/>
        </w:rPr>
        <w:t>求</w:t>
      </w:r>
      <w:r>
        <w:rPr>
          <w:rFonts w:hint="eastAsia" w:ascii="Times New Roman" w:hAnsi="Times New Roman" w:eastAsia="宋体" w:cs="Times New Roman"/>
          <w:color w:val="auto"/>
          <w:szCs w:val="24"/>
          <w:u w:val="single" w:color="auto"/>
          <w:lang w:eastAsia="zh-CN"/>
        </w:rPr>
        <w:t>，</w:t>
      </w:r>
      <w:r>
        <w:rPr>
          <w:rFonts w:hint="eastAsia" w:cs="Times New Roman"/>
          <w:bCs/>
          <w:color w:val="auto"/>
          <w:szCs w:val="22"/>
          <w:u w:val="single" w:color="auto"/>
          <w:lang w:eastAsia="zh-CN"/>
        </w:rPr>
        <w:t>采用</w:t>
      </w:r>
      <w:r>
        <w:rPr>
          <w:rFonts w:hint="default" w:ascii="Times New Roman" w:hAnsi="Times New Roman" w:eastAsia="宋体" w:cs="Times New Roman"/>
          <w:bCs/>
          <w:color w:val="auto"/>
          <w:sz w:val="24"/>
          <w:u w:val="single" w:color="auto"/>
        </w:rPr>
        <w:t>河流一维模型对受纳水体纳污能力进行核算</w:t>
      </w:r>
      <w:r>
        <w:rPr>
          <w:rFonts w:hint="eastAsia" w:ascii="Times New Roman" w:hAnsi="Times New Roman" w:eastAsia="宋体" w:cs="Times New Roman"/>
          <w:bCs/>
          <w:color w:val="auto"/>
          <w:szCs w:val="22"/>
          <w:u w:val="single" w:color="auto"/>
          <w:lang w:eastAsia="zh-CN"/>
        </w:rPr>
        <w:t>，</w:t>
      </w:r>
      <w:r>
        <w:rPr>
          <w:rFonts w:hint="eastAsia" w:cs="Times New Roman"/>
          <w:bCs/>
          <w:color w:val="auto"/>
          <w:szCs w:val="22"/>
          <w:u w:val="single" w:color="auto"/>
          <w:lang w:eastAsia="zh-CN"/>
        </w:rPr>
        <w:t>选取</w:t>
      </w:r>
      <w:r>
        <w:rPr>
          <w:rFonts w:hint="eastAsia" w:ascii="Times New Roman" w:hAnsi="Times New Roman" w:eastAsia="宋体" w:cs="Times New Roman"/>
          <w:bCs/>
          <w:color w:val="auto"/>
          <w:szCs w:val="22"/>
          <w:u w:val="single" w:color="auto"/>
          <w:lang w:eastAsia="zh-CN"/>
        </w:rPr>
        <w:t>核算过程如下：</w:t>
      </w:r>
    </w:p>
    <w:p w14:paraId="038A79AF">
      <w:pPr>
        <w:pageBreakBefore w:val="0"/>
        <w:wordWrap/>
        <w:overflowPunct/>
        <w:topLinePunct w:val="0"/>
        <w:bidi w:val="0"/>
        <w:spacing w:line="360" w:lineRule="auto"/>
        <w:ind w:left="0" w:right="0" w:firstLine="480"/>
        <w:jc w:val="center"/>
        <w:rPr>
          <w:rFonts w:hint="default" w:ascii="Times New Roman" w:hAnsi="Times New Roman" w:eastAsia="宋体" w:cs="Times New Roman"/>
          <w:color w:val="auto"/>
          <w:position w:val="-42"/>
          <w:sz w:val="24"/>
          <w:szCs w:val="24"/>
          <w:u w:val="single" w:color="auto"/>
        </w:rPr>
      </w:pPr>
      <w:r>
        <w:rPr>
          <w:rFonts w:hint="default" w:ascii="Times New Roman" w:hAnsi="Times New Roman" w:eastAsia="宋体" w:cs="Times New Roman"/>
          <w:color w:val="auto"/>
          <w:position w:val="-24"/>
          <w:sz w:val="24"/>
          <w:szCs w:val="24"/>
          <w:u w:val="single" w:color="auto"/>
        </w:rPr>
        <w:object>
          <v:shape id="_x0000_i1025" o:spt="75" type="#_x0000_t75" style="height:31pt;width:100pt;" o:ole="t" filled="f" o:preferrelative="t" stroked="f" coordsize="21600,21600">
            <v:path/>
            <v:fill on="f" focussize="0,0"/>
            <v:stroke on="f"/>
            <v:imagedata r:id="rId23" o:title=""/>
            <o:lock v:ext="edit" aspectratio="t"/>
            <w10:wrap type="none"/>
            <w10:anchorlock/>
          </v:shape>
          <o:OLEObject Type="Embed" ProgID="Equation.3" ShapeID="_x0000_i1025" DrawAspect="Content" ObjectID="_1468075725" r:id="rId22">
            <o:LockedField>false</o:LockedField>
          </o:OLEObject>
        </w:object>
      </w:r>
    </w:p>
    <w:p w14:paraId="0682B0EF">
      <w:pPr>
        <w:pageBreakBefore w:val="0"/>
        <w:wordWrap/>
        <w:overflowPunct/>
        <w:topLinePunct w:val="0"/>
        <w:bidi w:val="0"/>
        <w:spacing w:line="360" w:lineRule="auto"/>
        <w:ind w:left="0" w:right="0" w:firstLine="480"/>
        <w:jc w:val="both"/>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rPr>
        <w:t>式中：</w:t>
      </w:r>
      <w:r>
        <w:rPr>
          <w:rFonts w:hint="default" w:ascii="Times New Roman" w:hAnsi="Times New Roman" w:eastAsia="宋体" w:cs="Times New Roman"/>
          <w:color w:val="auto"/>
          <w:sz w:val="24"/>
          <w:szCs w:val="24"/>
          <w:u w:val="single" w:color="auto"/>
          <w:lang w:val="en-US" w:eastAsia="zh-CN"/>
        </w:rPr>
        <w:t>C</w:t>
      </w:r>
      <w:r>
        <w:rPr>
          <w:rFonts w:hint="default" w:ascii="Times New Roman" w:hAnsi="Times New Roman" w:eastAsia="宋体" w:cs="Times New Roman"/>
          <w:color w:val="auto"/>
          <w:sz w:val="24"/>
          <w:szCs w:val="24"/>
          <w:u w:val="single" w:color="auto"/>
          <w:vertAlign w:val="subscript"/>
          <w:lang w:val="en-US" w:eastAsia="zh-CN"/>
        </w:rPr>
        <w:t>x</w:t>
      </w:r>
      <w:r>
        <w:rPr>
          <w:rFonts w:hint="default" w:ascii="Times New Roman" w:hAnsi="Times New Roman" w:eastAsia="宋体" w:cs="Times New Roman"/>
          <w:color w:val="auto"/>
          <w:sz w:val="24"/>
          <w:szCs w:val="24"/>
          <w:u w:val="single" w:color="auto"/>
        </w:rPr>
        <w:t>——</w:t>
      </w:r>
      <w:r>
        <w:rPr>
          <w:rFonts w:hint="default" w:ascii="Times New Roman" w:hAnsi="Times New Roman" w:eastAsia="宋体" w:cs="Times New Roman"/>
          <w:color w:val="auto"/>
          <w:sz w:val="24"/>
          <w:szCs w:val="24"/>
          <w:u w:val="single" w:color="auto"/>
          <w:lang w:val="en-US" w:eastAsia="zh-CN"/>
        </w:rPr>
        <w:t>流经x距离后的污染物浓度，mg/L；</w:t>
      </w:r>
    </w:p>
    <w:p w14:paraId="197A0E1A">
      <w:pPr>
        <w:pageBreakBefore w:val="0"/>
        <w:wordWrap/>
        <w:overflowPunct/>
        <w:topLinePunct w:val="0"/>
        <w:bidi w:val="0"/>
        <w:spacing w:line="360" w:lineRule="auto"/>
        <w:ind w:left="0" w:right="0" w:firstLine="1024" w:firstLineChars="427"/>
        <w:jc w:val="both"/>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C</w:t>
      </w:r>
      <w:r>
        <w:rPr>
          <w:rFonts w:hint="default" w:ascii="Times New Roman" w:hAnsi="Times New Roman" w:eastAsia="宋体" w:cs="Times New Roman"/>
          <w:color w:val="auto"/>
          <w:sz w:val="24"/>
          <w:szCs w:val="24"/>
          <w:u w:val="single" w:color="auto"/>
          <w:vertAlign w:val="subscript"/>
          <w:lang w:val="en-US" w:eastAsia="zh-CN"/>
        </w:rPr>
        <w:t>0</w:t>
      </w:r>
      <w:r>
        <w:rPr>
          <w:rFonts w:hint="default" w:ascii="Times New Roman" w:hAnsi="Times New Roman" w:eastAsia="宋体" w:cs="Times New Roman"/>
          <w:color w:val="auto"/>
          <w:sz w:val="24"/>
          <w:szCs w:val="24"/>
          <w:u w:val="single" w:color="auto"/>
        </w:rPr>
        <w:t>——</w:t>
      </w:r>
      <w:r>
        <w:rPr>
          <w:rFonts w:hint="default" w:ascii="Times New Roman" w:hAnsi="Times New Roman" w:eastAsia="宋体" w:cs="Times New Roman"/>
          <w:color w:val="auto"/>
          <w:sz w:val="24"/>
          <w:szCs w:val="24"/>
          <w:u w:val="single" w:color="auto"/>
          <w:lang w:val="en-US" w:eastAsia="zh-CN"/>
        </w:rPr>
        <w:t>初始断面的污染物浓度，mg/L；</w:t>
      </w:r>
    </w:p>
    <w:p w14:paraId="757F403C">
      <w:pPr>
        <w:pageBreakBefore w:val="0"/>
        <w:wordWrap/>
        <w:overflowPunct/>
        <w:topLinePunct w:val="0"/>
        <w:bidi w:val="0"/>
        <w:spacing w:line="360" w:lineRule="auto"/>
        <w:ind w:left="0" w:right="0" w:firstLine="1024" w:firstLineChars="427"/>
        <w:jc w:val="both"/>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u</w:t>
      </w:r>
      <w:r>
        <w:rPr>
          <w:rFonts w:hint="default" w:ascii="Times New Roman" w:hAnsi="Times New Roman" w:eastAsia="宋体" w:cs="Times New Roman"/>
          <w:color w:val="auto"/>
          <w:sz w:val="24"/>
          <w:szCs w:val="24"/>
          <w:u w:val="single" w:color="auto"/>
        </w:rPr>
        <w:t>——</w:t>
      </w:r>
      <w:r>
        <w:rPr>
          <w:rFonts w:hint="default" w:ascii="Times New Roman" w:hAnsi="Times New Roman" w:eastAsia="宋体" w:cs="Times New Roman"/>
          <w:color w:val="auto"/>
          <w:sz w:val="24"/>
          <w:szCs w:val="24"/>
          <w:u w:val="single" w:color="auto"/>
          <w:lang w:val="en-US" w:eastAsia="zh-CN"/>
        </w:rPr>
        <w:t>平均流速，m/s</w:t>
      </w:r>
    </w:p>
    <w:p w14:paraId="2B3C67FE">
      <w:pPr>
        <w:pageBreakBefore w:val="0"/>
        <w:wordWrap/>
        <w:overflowPunct/>
        <w:topLinePunct w:val="0"/>
        <w:bidi w:val="0"/>
        <w:spacing w:line="360" w:lineRule="auto"/>
        <w:ind w:left="0" w:right="0" w:firstLine="1024" w:firstLineChars="427"/>
        <w:jc w:val="both"/>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x</w:t>
      </w:r>
      <w:r>
        <w:rPr>
          <w:rFonts w:hint="default" w:ascii="Times New Roman" w:hAnsi="Times New Roman" w:eastAsia="宋体" w:cs="Times New Roman"/>
          <w:color w:val="auto"/>
          <w:sz w:val="24"/>
          <w:szCs w:val="24"/>
          <w:u w:val="single" w:color="auto"/>
        </w:rPr>
        <w:t>——</w:t>
      </w:r>
      <w:r>
        <w:rPr>
          <w:rFonts w:hint="default" w:ascii="Times New Roman" w:hAnsi="Times New Roman" w:eastAsia="宋体" w:cs="Times New Roman"/>
          <w:color w:val="auto"/>
          <w:sz w:val="24"/>
          <w:szCs w:val="24"/>
          <w:u w:val="single" w:color="auto"/>
          <w:lang w:val="en-US" w:eastAsia="zh-CN"/>
        </w:rPr>
        <w:t>沿河段纵向距离，m；</w:t>
      </w:r>
    </w:p>
    <w:p w14:paraId="7CD198D8">
      <w:pPr>
        <w:pageBreakBefore w:val="0"/>
        <w:wordWrap/>
        <w:overflowPunct/>
        <w:topLinePunct w:val="0"/>
        <w:bidi w:val="0"/>
        <w:spacing w:line="360" w:lineRule="auto"/>
        <w:ind w:left="0" w:right="0" w:firstLine="1024" w:firstLineChars="427"/>
        <w:jc w:val="both"/>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K</w:t>
      </w:r>
      <w:r>
        <w:rPr>
          <w:rFonts w:hint="default" w:ascii="Times New Roman" w:hAnsi="Times New Roman" w:eastAsia="宋体" w:cs="Times New Roman"/>
          <w:color w:val="auto"/>
          <w:sz w:val="24"/>
          <w:szCs w:val="24"/>
          <w:u w:val="single" w:color="auto"/>
        </w:rPr>
        <w:t>——</w:t>
      </w:r>
      <w:r>
        <w:rPr>
          <w:rFonts w:hint="default" w:ascii="Times New Roman" w:hAnsi="Times New Roman" w:eastAsia="宋体" w:cs="Times New Roman"/>
          <w:color w:val="auto"/>
          <w:sz w:val="24"/>
          <w:szCs w:val="24"/>
          <w:u w:val="single" w:color="auto"/>
          <w:lang w:val="en-US" w:eastAsia="zh-CN"/>
        </w:rPr>
        <w:t>污染物综合衰减系数。</w:t>
      </w:r>
    </w:p>
    <w:p w14:paraId="742043A9">
      <w:pPr>
        <w:pageBreakBefore w:val="0"/>
        <w:wordWrap/>
        <w:overflowPunct/>
        <w:topLinePunct w:val="0"/>
        <w:bidi w:val="0"/>
        <w:spacing w:line="360" w:lineRule="auto"/>
        <w:ind w:left="0" w:right="0"/>
        <w:jc w:val="center"/>
        <w:rPr>
          <w:rFonts w:hint="default" w:ascii="Times New Roman" w:hAnsi="Times New Roman" w:cs="Times New Roman"/>
          <w:color w:val="auto"/>
          <w:sz w:val="24"/>
          <w:szCs w:val="24"/>
          <w:u w:val="single" w:color="auto"/>
          <w:lang w:val="en-US" w:eastAsia="zh-CN"/>
        </w:rPr>
      </w:pPr>
      <w:r>
        <w:rPr>
          <w:rFonts w:hint="default" w:ascii="Times New Roman" w:hAnsi="Times New Roman" w:eastAsia="宋体" w:cs="Times New Roman"/>
          <w:color w:val="auto"/>
          <w:position w:val="-10"/>
          <w:sz w:val="24"/>
          <w:szCs w:val="24"/>
          <w:u w:val="single" w:color="auto"/>
        </w:rPr>
        <w:object>
          <v:shape id="_x0000_i1026" o:spt="75" type="#_x0000_t75" style="height:17pt;width:123pt;" o:ole="t" filled="f" o:preferrelative="t" stroked="f" coordsize="21600,21600">
            <v:path/>
            <v:fill on="f" focussize="0,0"/>
            <v:stroke on="f"/>
            <v:imagedata r:id="rId25" o:title=""/>
            <o:lock v:ext="edit" aspectratio="t"/>
            <w10:wrap type="none"/>
            <w10:anchorlock/>
          </v:shape>
          <o:OLEObject Type="Embed" ProgID="Equation.3" ShapeID="_x0000_i1026" DrawAspect="Content" ObjectID="_1468075726" r:id="rId24">
            <o:LockedField>false</o:LockedField>
          </o:OLEObject>
        </w:object>
      </w:r>
    </w:p>
    <w:p w14:paraId="0688130C">
      <w:pPr>
        <w:pageBreakBefore w:val="0"/>
        <w:wordWrap/>
        <w:overflowPunct/>
        <w:topLinePunct w:val="0"/>
        <w:bidi w:val="0"/>
        <w:spacing w:line="360" w:lineRule="auto"/>
        <w:ind w:left="0" w:right="0" w:firstLine="480"/>
        <w:jc w:val="both"/>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rPr>
        <w:t>式中：</w:t>
      </w:r>
      <w:r>
        <w:rPr>
          <w:rFonts w:hint="default" w:ascii="Times New Roman" w:hAnsi="Times New Roman" w:eastAsia="宋体" w:cs="Times New Roman"/>
          <w:color w:val="auto"/>
          <w:sz w:val="24"/>
          <w:szCs w:val="24"/>
          <w:u w:val="single" w:color="auto"/>
          <w:lang w:val="en-US" w:eastAsia="zh-CN"/>
        </w:rPr>
        <w:t>M</w:t>
      </w:r>
      <w:r>
        <w:rPr>
          <w:rFonts w:hint="default" w:ascii="Times New Roman" w:hAnsi="Times New Roman" w:eastAsia="宋体" w:cs="Times New Roman"/>
          <w:color w:val="auto"/>
          <w:sz w:val="24"/>
          <w:szCs w:val="24"/>
          <w:u w:val="single" w:color="auto"/>
        </w:rPr>
        <w:t>——</w:t>
      </w:r>
      <w:r>
        <w:rPr>
          <w:rFonts w:hint="default" w:ascii="Times New Roman" w:hAnsi="Times New Roman" w:eastAsia="宋体" w:cs="Times New Roman"/>
          <w:color w:val="auto"/>
          <w:sz w:val="24"/>
          <w:szCs w:val="24"/>
          <w:u w:val="single" w:color="auto"/>
          <w:lang w:val="en-US" w:eastAsia="zh-CN"/>
        </w:rPr>
        <w:t>水域纳污能力，kg/s；</w:t>
      </w:r>
    </w:p>
    <w:p w14:paraId="654F186B">
      <w:pPr>
        <w:pageBreakBefore w:val="0"/>
        <w:wordWrap/>
        <w:overflowPunct/>
        <w:topLinePunct w:val="0"/>
        <w:bidi w:val="0"/>
        <w:spacing w:line="360" w:lineRule="auto"/>
        <w:ind w:left="0" w:right="0" w:firstLine="1024" w:firstLineChars="427"/>
        <w:jc w:val="both"/>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C</w:t>
      </w:r>
      <w:r>
        <w:rPr>
          <w:rFonts w:hint="default" w:ascii="Times New Roman" w:hAnsi="Times New Roman" w:eastAsia="宋体" w:cs="Times New Roman"/>
          <w:color w:val="auto"/>
          <w:sz w:val="24"/>
          <w:szCs w:val="24"/>
          <w:u w:val="single" w:color="auto"/>
          <w:vertAlign w:val="subscript"/>
          <w:lang w:val="en-US" w:eastAsia="zh-CN"/>
        </w:rPr>
        <w:t>s</w:t>
      </w:r>
      <w:r>
        <w:rPr>
          <w:rFonts w:hint="default" w:ascii="Times New Roman" w:hAnsi="Times New Roman" w:eastAsia="宋体" w:cs="Times New Roman"/>
          <w:color w:val="auto"/>
          <w:sz w:val="24"/>
          <w:szCs w:val="24"/>
          <w:u w:val="single" w:color="auto"/>
        </w:rPr>
        <w:t>——</w:t>
      </w:r>
      <w:r>
        <w:rPr>
          <w:rFonts w:hint="default" w:ascii="Times New Roman" w:hAnsi="Times New Roman" w:eastAsia="宋体" w:cs="Times New Roman"/>
          <w:color w:val="auto"/>
          <w:sz w:val="24"/>
          <w:szCs w:val="24"/>
          <w:u w:val="single" w:color="auto"/>
          <w:lang w:val="en-US" w:eastAsia="zh-CN"/>
        </w:rPr>
        <w:t>水质目标浓度值，mg/L；</w:t>
      </w:r>
    </w:p>
    <w:p w14:paraId="0FF9C061">
      <w:pPr>
        <w:pageBreakBefore w:val="0"/>
        <w:wordWrap/>
        <w:overflowPunct/>
        <w:topLinePunct w:val="0"/>
        <w:bidi w:val="0"/>
        <w:spacing w:line="360" w:lineRule="auto"/>
        <w:ind w:left="0" w:right="0" w:firstLine="1024" w:firstLineChars="427"/>
        <w:jc w:val="both"/>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C</w:t>
      </w:r>
      <w:r>
        <w:rPr>
          <w:rFonts w:hint="default" w:ascii="Times New Roman" w:hAnsi="Times New Roman" w:eastAsia="宋体" w:cs="Times New Roman"/>
          <w:color w:val="auto"/>
          <w:sz w:val="24"/>
          <w:szCs w:val="24"/>
          <w:u w:val="single" w:color="auto"/>
          <w:vertAlign w:val="subscript"/>
          <w:lang w:val="en-US" w:eastAsia="zh-CN"/>
        </w:rPr>
        <w:t>x</w:t>
      </w:r>
      <w:r>
        <w:rPr>
          <w:rFonts w:hint="default" w:ascii="Times New Roman" w:hAnsi="Times New Roman" w:eastAsia="宋体" w:cs="Times New Roman"/>
          <w:color w:val="auto"/>
          <w:sz w:val="24"/>
          <w:szCs w:val="24"/>
          <w:u w:val="single" w:color="auto"/>
        </w:rPr>
        <w:t>——</w:t>
      </w:r>
      <w:r>
        <w:rPr>
          <w:rFonts w:hint="default" w:ascii="Times New Roman" w:hAnsi="Times New Roman" w:eastAsia="宋体" w:cs="Times New Roman"/>
          <w:color w:val="auto"/>
          <w:sz w:val="24"/>
          <w:szCs w:val="24"/>
          <w:u w:val="single" w:color="auto"/>
          <w:lang w:val="en-US" w:eastAsia="zh-CN"/>
        </w:rPr>
        <w:t>流经x距离后的污染物浓度，mg/L；</w:t>
      </w:r>
    </w:p>
    <w:p w14:paraId="2407C1AB">
      <w:pPr>
        <w:pageBreakBefore w:val="0"/>
        <w:wordWrap/>
        <w:overflowPunct/>
        <w:topLinePunct w:val="0"/>
        <w:bidi w:val="0"/>
        <w:spacing w:line="360" w:lineRule="auto"/>
        <w:ind w:left="0" w:right="0" w:firstLine="1024" w:firstLineChars="427"/>
        <w:jc w:val="both"/>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Q</w:t>
      </w:r>
      <w:r>
        <w:rPr>
          <w:rFonts w:hint="default" w:ascii="Times New Roman" w:hAnsi="Times New Roman" w:eastAsia="宋体" w:cs="Times New Roman"/>
          <w:color w:val="auto"/>
          <w:sz w:val="24"/>
          <w:szCs w:val="24"/>
          <w:u w:val="single" w:color="auto"/>
        </w:rPr>
        <w:t>——</w:t>
      </w:r>
      <w:r>
        <w:rPr>
          <w:rFonts w:hint="default" w:ascii="Times New Roman" w:hAnsi="Times New Roman" w:eastAsia="宋体" w:cs="Times New Roman"/>
          <w:color w:val="auto"/>
          <w:sz w:val="24"/>
          <w:szCs w:val="24"/>
          <w:u w:val="single" w:color="auto"/>
          <w:lang w:val="en-US" w:eastAsia="zh-CN"/>
        </w:rPr>
        <w:t>初设断面入流流量，m</w:t>
      </w:r>
      <w:r>
        <w:rPr>
          <w:rFonts w:hint="default" w:ascii="Times New Roman" w:hAnsi="Times New Roman" w:eastAsia="宋体" w:cs="Times New Roman"/>
          <w:color w:val="auto"/>
          <w:sz w:val="24"/>
          <w:szCs w:val="24"/>
          <w:u w:val="single" w:color="auto"/>
          <w:vertAlign w:val="superscript"/>
          <w:lang w:val="en-US" w:eastAsia="zh-CN"/>
        </w:rPr>
        <w:t>3</w:t>
      </w:r>
      <w:r>
        <w:rPr>
          <w:rFonts w:hint="default" w:ascii="Times New Roman" w:hAnsi="Times New Roman" w:eastAsia="宋体" w:cs="Times New Roman"/>
          <w:color w:val="auto"/>
          <w:sz w:val="24"/>
          <w:szCs w:val="24"/>
          <w:u w:val="single" w:color="auto"/>
          <w:lang w:val="en-US" w:eastAsia="zh-CN"/>
        </w:rPr>
        <w:t>/s；</w:t>
      </w:r>
    </w:p>
    <w:p w14:paraId="71E5552B">
      <w:pPr>
        <w:pageBreakBefore w:val="0"/>
        <w:wordWrap/>
        <w:overflowPunct/>
        <w:topLinePunct w:val="0"/>
        <w:bidi w:val="0"/>
        <w:spacing w:line="360" w:lineRule="auto"/>
        <w:ind w:left="0" w:right="0" w:firstLine="1024" w:firstLineChars="427"/>
        <w:jc w:val="both"/>
        <w:rPr>
          <w:rFonts w:hint="default" w:ascii="Times New Roman" w:hAnsi="Times New Roman" w:eastAsia="宋体" w:cs="Times New Roman"/>
          <w:bCs/>
          <w:color w:val="auto"/>
          <w:sz w:val="24"/>
          <w:u w:val="single" w:color="auto"/>
          <w:lang w:eastAsia="zh-CN"/>
        </w:rPr>
      </w:pPr>
      <w:r>
        <w:rPr>
          <w:rFonts w:hint="default" w:ascii="Times New Roman" w:hAnsi="Times New Roman" w:eastAsia="宋体" w:cs="Times New Roman"/>
          <w:color w:val="auto"/>
          <w:sz w:val="24"/>
          <w:szCs w:val="24"/>
          <w:u w:val="single" w:color="auto"/>
          <w:lang w:val="en-US" w:eastAsia="zh-CN"/>
        </w:rPr>
        <w:t>Q</w:t>
      </w:r>
      <w:r>
        <w:rPr>
          <w:rFonts w:hint="default" w:ascii="Times New Roman" w:hAnsi="Times New Roman" w:eastAsia="宋体" w:cs="Times New Roman"/>
          <w:color w:val="auto"/>
          <w:sz w:val="24"/>
          <w:szCs w:val="24"/>
          <w:u w:val="single" w:color="auto"/>
          <w:vertAlign w:val="subscript"/>
          <w:lang w:val="en-US" w:eastAsia="zh-CN"/>
        </w:rPr>
        <w:t>p</w:t>
      </w:r>
      <w:r>
        <w:rPr>
          <w:rFonts w:hint="default" w:ascii="Times New Roman" w:hAnsi="Times New Roman" w:eastAsia="宋体" w:cs="Times New Roman"/>
          <w:color w:val="auto"/>
          <w:sz w:val="24"/>
          <w:szCs w:val="24"/>
          <w:u w:val="single" w:color="auto"/>
        </w:rPr>
        <w:t>——</w:t>
      </w:r>
      <w:r>
        <w:rPr>
          <w:rFonts w:hint="default" w:ascii="Times New Roman" w:hAnsi="Times New Roman" w:eastAsia="宋体" w:cs="Times New Roman"/>
          <w:color w:val="auto"/>
          <w:sz w:val="24"/>
          <w:szCs w:val="24"/>
          <w:u w:val="single" w:color="auto"/>
          <w:lang w:val="en-US" w:eastAsia="zh-CN"/>
        </w:rPr>
        <w:t>废污水排放流量，m</w:t>
      </w:r>
      <w:r>
        <w:rPr>
          <w:rFonts w:hint="default" w:ascii="Times New Roman" w:hAnsi="Times New Roman" w:eastAsia="宋体" w:cs="Times New Roman"/>
          <w:color w:val="auto"/>
          <w:sz w:val="24"/>
          <w:szCs w:val="24"/>
          <w:u w:val="single" w:color="auto"/>
          <w:vertAlign w:val="superscript"/>
          <w:lang w:val="en-US" w:eastAsia="zh-CN"/>
        </w:rPr>
        <w:t>3</w:t>
      </w:r>
      <w:r>
        <w:rPr>
          <w:rFonts w:hint="default" w:ascii="Times New Roman" w:hAnsi="Times New Roman" w:eastAsia="宋体" w:cs="Times New Roman"/>
          <w:color w:val="auto"/>
          <w:sz w:val="24"/>
          <w:szCs w:val="24"/>
          <w:u w:val="single" w:color="auto"/>
          <w:lang w:val="en-US" w:eastAsia="zh-CN"/>
        </w:rPr>
        <w:t>/s。</w:t>
      </w:r>
      <w:r>
        <w:rPr>
          <w:rFonts w:hint="default" w:ascii="Times New Roman" w:hAnsi="Times New Roman" w:cs="Times New Roman"/>
          <w:color w:val="auto"/>
          <w:sz w:val="24"/>
          <w:szCs w:val="24"/>
          <w:u w:val="single" w:color="auto"/>
          <w:lang w:val="en-US" w:eastAsia="zh-CN"/>
        </w:rPr>
        <w:t>项目废水量0.00011</w:t>
      </w:r>
      <w:r>
        <w:rPr>
          <w:rFonts w:hint="default" w:ascii="Times New Roman" w:hAnsi="Times New Roman" w:eastAsia="宋体" w:cs="Times New Roman"/>
          <w:color w:val="auto"/>
          <w:sz w:val="24"/>
          <w:szCs w:val="24"/>
          <w:u w:val="single" w:color="auto"/>
          <w:lang w:val="en-US" w:eastAsia="zh-CN"/>
        </w:rPr>
        <w:t>m</w:t>
      </w:r>
      <w:r>
        <w:rPr>
          <w:rFonts w:hint="default" w:ascii="Times New Roman" w:hAnsi="Times New Roman" w:eastAsia="宋体" w:cs="Times New Roman"/>
          <w:color w:val="auto"/>
          <w:sz w:val="24"/>
          <w:szCs w:val="24"/>
          <w:u w:val="single" w:color="auto"/>
          <w:vertAlign w:val="superscript"/>
          <w:lang w:val="en-US" w:eastAsia="zh-CN"/>
        </w:rPr>
        <w:t>3</w:t>
      </w:r>
      <w:r>
        <w:rPr>
          <w:rFonts w:hint="default" w:ascii="Times New Roman" w:hAnsi="Times New Roman" w:eastAsia="宋体" w:cs="Times New Roman"/>
          <w:color w:val="auto"/>
          <w:sz w:val="24"/>
          <w:szCs w:val="24"/>
          <w:u w:val="single" w:color="auto"/>
          <w:lang w:val="en-US" w:eastAsia="zh-CN"/>
        </w:rPr>
        <w:t>/s</w:t>
      </w:r>
    </w:p>
    <w:p w14:paraId="27F62AC2">
      <w:pPr>
        <w:pStyle w:val="4"/>
        <w:pageBreakBefore w:val="0"/>
        <w:widowControl w:val="0"/>
        <w:tabs>
          <w:tab w:val="left" w:pos="360"/>
          <w:tab w:val="left" w:pos="432"/>
        </w:tabs>
        <w:kinsoku/>
        <w:wordWrap/>
        <w:overflowPunct/>
        <w:topLinePunct w:val="0"/>
        <w:autoSpaceDE/>
        <w:autoSpaceDN/>
        <w:bidi w:val="0"/>
        <w:adjustRightInd/>
        <w:snapToGrid/>
        <w:spacing w:before="0" w:after="0" w:line="360" w:lineRule="auto"/>
        <w:ind w:left="0" w:right="0"/>
        <w:jc w:val="both"/>
        <w:textAlignment w:val="auto"/>
        <w:rPr>
          <w:rFonts w:ascii="Times New Roman" w:hAnsi="Times New Roman" w:eastAsia="宋体" w:cs="Times New Roman"/>
          <w:lang w:eastAsia="zh-CN"/>
        </w:rPr>
      </w:pPr>
      <w:bookmarkStart w:id="173" w:name="_Toc8872"/>
      <w:bookmarkStart w:id="174" w:name="_Toc32639"/>
      <w:bookmarkStart w:id="175" w:name="_Toc9843"/>
      <w:r>
        <w:rPr>
          <w:rFonts w:hint="eastAsia" w:ascii="Times New Roman" w:hAnsi="Times New Roman" w:eastAsia="宋体" w:cs="Times New Roman"/>
          <w:lang w:eastAsia="zh-CN"/>
        </w:rPr>
        <w:t>6.</w:t>
      </w:r>
      <w:r>
        <w:rPr>
          <w:rFonts w:hint="eastAsia" w:ascii="Times New Roman" w:hAnsi="Times New Roman" w:cs="Times New Roman"/>
          <w:lang w:eastAsia="zh-CN"/>
        </w:rPr>
        <w:t>2</w:t>
      </w:r>
      <w:r>
        <w:rPr>
          <w:rFonts w:hint="eastAsia" w:ascii="Times New Roman" w:hAnsi="Times New Roman" w:eastAsia="宋体" w:cs="Times New Roman"/>
          <w:lang w:eastAsia="zh-CN"/>
        </w:rPr>
        <w:t>.3</w:t>
      </w:r>
      <w:r>
        <w:rPr>
          <w:rFonts w:ascii="Times New Roman" w:hAnsi="Times New Roman" w:eastAsia="宋体" w:cs="Times New Roman"/>
          <w:lang w:eastAsia="zh-CN"/>
        </w:rPr>
        <w:t>各数据及计算参数的确定</w:t>
      </w:r>
      <w:bookmarkEnd w:id="173"/>
      <w:bookmarkEnd w:id="174"/>
      <w:bookmarkEnd w:id="175"/>
    </w:p>
    <w:p w14:paraId="01745BF6">
      <w:pPr>
        <w:pStyle w:val="9"/>
        <w:keepNext w:val="0"/>
        <w:keepLines w:val="0"/>
        <w:pageBreakBefore w:val="0"/>
        <w:widowControl w:val="0"/>
        <w:tabs>
          <w:tab w:val="left" w:pos="-2486"/>
        </w:tabs>
        <w:kinsoku/>
        <w:wordWrap/>
        <w:overflowPunct/>
        <w:topLinePunct w:val="0"/>
        <w:autoSpaceDE w:val="0"/>
        <w:autoSpaceDN w:val="0"/>
        <w:bidi w:val="0"/>
        <w:adjustRightInd/>
        <w:snapToGrid w:val="0"/>
        <w:spacing w:after="0" w:line="360" w:lineRule="auto"/>
        <w:ind w:left="0" w:right="0" w:firstLine="420" w:firstLineChars="200"/>
        <w:jc w:val="both"/>
        <w:textAlignment w:val="auto"/>
        <w:rPr>
          <w:rFonts w:hint="default" w:ascii="Times New Roman" w:hAnsi="Times New Roman" w:eastAsia="宋体" w:cs="Times New Roman"/>
          <w:color w:val="auto"/>
          <w:sz w:val="24"/>
          <w:szCs w:val="24"/>
          <w:highlight w:val="none"/>
          <w:u w:val="none" w:color="auto"/>
          <w:lang w:val="en-US" w:eastAsia="zh-CN" w:bidi="zh-CN"/>
        </w:rPr>
      </w:pPr>
      <w:r>
        <w:rPr>
          <w:rFonts w:hint="default" w:ascii="Times New Roman" w:hAnsi="Times New Roman" w:eastAsia="宋体" w:cs="Times New Roman"/>
          <w:color w:val="auto"/>
          <w:highlight w:val="none"/>
          <w:u w:val="none" w:color="auto"/>
        </w:rPr>
        <w:t>（</w:t>
      </w:r>
      <w:r>
        <w:rPr>
          <w:rFonts w:hint="default" w:ascii="Times New Roman" w:hAnsi="Times New Roman" w:eastAsia="宋体" w:cs="Times New Roman"/>
          <w:color w:val="auto"/>
          <w:sz w:val="24"/>
          <w:szCs w:val="24"/>
          <w:highlight w:val="none"/>
          <w:u w:val="none" w:color="auto"/>
          <w:lang w:val="en-US" w:eastAsia="zh-CN" w:bidi="zh-CN"/>
        </w:rPr>
        <w:t>1）水质目标C</w:t>
      </w:r>
      <w:r>
        <w:rPr>
          <w:rFonts w:hint="default" w:ascii="Times New Roman" w:hAnsi="Times New Roman" w:eastAsia="宋体" w:cs="Times New Roman"/>
          <w:color w:val="auto"/>
          <w:sz w:val="24"/>
          <w:szCs w:val="24"/>
          <w:highlight w:val="none"/>
          <w:u w:val="none" w:color="auto"/>
          <w:vertAlign w:val="subscript"/>
          <w:lang w:val="en-US" w:eastAsia="zh-CN" w:bidi="zh-CN"/>
        </w:rPr>
        <w:t>s</w:t>
      </w:r>
    </w:p>
    <w:p w14:paraId="2013B2B6">
      <w:pPr>
        <w:pStyle w:val="9"/>
        <w:keepNext w:val="0"/>
        <w:keepLines w:val="0"/>
        <w:pageBreakBefore w:val="0"/>
        <w:widowControl w:val="0"/>
        <w:tabs>
          <w:tab w:val="left" w:pos="-2486"/>
        </w:tabs>
        <w:kinsoku/>
        <w:wordWrap/>
        <w:overflowPunct/>
        <w:topLinePunct w:val="0"/>
        <w:autoSpaceDE w:val="0"/>
        <w:autoSpaceDN w:val="0"/>
        <w:bidi w:val="0"/>
        <w:adjustRightInd/>
        <w:snapToGrid w:val="0"/>
        <w:spacing w:after="0" w:line="360" w:lineRule="auto"/>
        <w:ind w:left="0" w:right="0" w:firstLine="480" w:firstLineChars="200"/>
        <w:jc w:val="both"/>
        <w:textAlignment w:val="auto"/>
        <w:rPr>
          <w:rFonts w:hint="default"/>
          <w:lang w:val="en-US" w:eastAsia="zh-CN"/>
        </w:rPr>
      </w:pPr>
      <w:r>
        <w:rPr>
          <w:rFonts w:hint="default" w:ascii="Times New Roman" w:hAnsi="Times New Roman" w:eastAsia="宋体" w:cs="Times New Roman"/>
          <w:color w:val="auto"/>
          <w:spacing w:val="0"/>
          <w:sz w:val="24"/>
          <w:szCs w:val="24"/>
          <w:highlight w:val="none"/>
          <w:u w:val="none" w:color="auto"/>
          <w:lang w:val="en-US" w:eastAsia="zh-CN"/>
        </w:rPr>
        <w:t>本入河排污口所在河段水质目标</w:t>
      </w:r>
      <w:r>
        <w:rPr>
          <w:rFonts w:hint="default" w:ascii="Times New Roman" w:hAnsi="Times New Roman" w:cs="Times New Roman"/>
          <w:color w:val="auto"/>
          <w:spacing w:val="0"/>
          <w:sz w:val="24"/>
          <w:szCs w:val="24"/>
          <w:highlight w:val="none"/>
          <w:u w:val="none" w:color="auto"/>
          <w:lang w:val="en-US" w:eastAsia="zh-CN"/>
        </w:rPr>
        <w:t>为</w:t>
      </w:r>
      <w:r>
        <w:rPr>
          <w:rFonts w:hint="default" w:ascii="Times New Roman" w:hAnsi="Times New Roman" w:eastAsia="宋体" w:cs="Times New Roman"/>
          <w:color w:val="auto"/>
          <w:spacing w:val="0"/>
          <w:sz w:val="24"/>
          <w:szCs w:val="24"/>
          <w:highlight w:val="none"/>
          <w:u w:val="none" w:color="auto"/>
          <w:lang w:val="en-US" w:eastAsia="zh-CN"/>
        </w:rPr>
        <w:t>Ⅲ类</w:t>
      </w:r>
      <w:r>
        <w:rPr>
          <w:rFonts w:hint="eastAsia" w:ascii="Times New Roman" w:hAnsi="Times New Roman" w:eastAsia="宋体" w:cs="Times New Roman"/>
          <w:color w:val="auto"/>
          <w:spacing w:val="0"/>
          <w:sz w:val="24"/>
          <w:szCs w:val="24"/>
          <w:highlight w:val="none"/>
          <w:u w:val="none" w:color="auto"/>
          <w:lang w:val="en-US" w:eastAsia="zh-CN"/>
        </w:rPr>
        <w:t>，COD20mg/L、氨氮1.0mg/L、总磷0.2mg/L。</w:t>
      </w:r>
    </w:p>
    <w:p w14:paraId="77ABFC40">
      <w:pPr>
        <w:pStyle w:val="9"/>
        <w:keepNext w:val="0"/>
        <w:keepLines w:val="0"/>
        <w:pageBreakBefore w:val="0"/>
        <w:widowControl w:val="0"/>
        <w:tabs>
          <w:tab w:val="left" w:pos="-2486"/>
        </w:tabs>
        <w:kinsoku/>
        <w:wordWrap/>
        <w:overflowPunct/>
        <w:topLinePunct w:val="0"/>
        <w:autoSpaceDE w:val="0"/>
        <w:autoSpaceDN w:val="0"/>
        <w:bidi w:val="0"/>
        <w:adjustRightInd/>
        <w:snapToGrid w:val="0"/>
        <w:spacing w:after="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u w:val="single" w:color="auto"/>
          <w:lang w:val="en-US" w:eastAsia="zh-CN" w:bidi="zh-CN"/>
        </w:rPr>
      </w:pPr>
      <w:r>
        <w:rPr>
          <w:rFonts w:hint="default" w:ascii="Times New Roman" w:hAnsi="Times New Roman" w:eastAsia="宋体" w:cs="Times New Roman"/>
          <w:color w:val="auto"/>
          <w:sz w:val="24"/>
          <w:szCs w:val="24"/>
          <w:highlight w:val="none"/>
          <w:u w:val="single" w:color="auto"/>
          <w:lang w:val="en-US" w:eastAsia="zh-CN" w:bidi="zh-CN"/>
        </w:rPr>
        <w:t>（2）水文参数</w:t>
      </w:r>
    </w:p>
    <w:p w14:paraId="25AF1B24">
      <w:pPr>
        <w:pStyle w:val="9"/>
        <w:keepNext w:val="0"/>
        <w:keepLines w:val="0"/>
        <w:pageBreakBefore w:val="0"/>
        <w:widowControl w:val="0"/>
        <w:tabs>
          <w:tab w:val="left" w:pos="-2486"/>
        </w:tabs>
        <w:kinsoku/>
        <w:wordWrap/>
        <w:overflowPunct/>
        <w:topLinePunct w:val="0"/>
        <w:autoSpaceDE w:val="0"/>
        <w:autoSpaceDN w:val="0"/>
        <w:bidi w:val="0"/>
        <w:adjustRightInd/>
        <w:snapToGrid w:val="0"/>
        <w:spacing w:after="0" w:line="360" w:lineRule="auto"/>
        <w:ind w:left="0" w:right="0" w:firstLine="480" w:firstLineChars="200"/>
        <w:jc w:val="both"/>
        <w:textAlignment w:val="auto"/>
        <w:rPr>
          <w:rFonts w:hint="default" w:ascii="Times New Roman" w:hAnsi="Times New Roman" w:eastAsia="宋体" w:cs="Times New Roman"/>
          <w:color w:val="auto"/>
          <w:spacing w:val="0"/>
          <w:sz w:val="24"/>
          <w:szCs w:val="24"/>
          <w:highlight w:val="none"/>
          <w:u w:val="single" w:color="auto"/>
        </w:rPr>
      </w:pPr>
      <w:r>
        <w:rPr>
          <w:rFonts w:hint="eastAsia" w:ascii="Times New Roman" w:hAnsi="Times New Roman" w:eastAsia="宋体" w:cs="Times New Roman"/>
          <w:color w:val="auto"/>
          <w:spacing w:val="0"/>
          <w:sz w:val="24"/>
          <w:szCs w:val="24"/>
          <w:highlight w:val="none"/>
          <w:u w:val="single" w:color="auto"/>
          <w:lang w:val="en-US" w:eastAsia="zh-CN"/>
        </w:rPr>
        <w:t>本次青山河水文参数来源于《湘潭县青山桥镇污水处理工程建设项目环境影响报告表》及现场实测，</w:t>
      </w:r>
      <w:r>
        <w:rPr>
          <w:rFonts w:hint="default" w:ascii="Times New Roman" w:hAnsi="Times New Roman" w:eastAsia="宋体" w:cs="Times New Roman"/>
          <w:color w:val="auto"/>
          <w:spacing w:val="0"/>
          <w:sz w:val="24"/>
          <w:szCs w:val="24"/>
          <w:highlight w:val="none"/>
          <w:u w:val="single" w:color="auto"/>
          <w:lang w:val="en-US" w:eastAsia="zh-CN"/>
        </w:rPr>
        <w:t>水文参数见下表</w:t>
      </w:r>
      <w:r>
        <w:rPr>
          <w:rFonts w:hint="default" w:ascii="Times New Roman" w:hAnsi="Times New Roman" w:eastAsia="宋体" w:cs="Times New Roman"/>
          <w:color w:val="auto"/>
          <w:spacing w:val="0"/>
          <w:sz w:val="24"/>
          <w:szCs w:val="24"/>
          <w:highlight w:val="none"/>
          <w:u w:val="single" w:color="auto"/>
        </w:rPr>
        <w:t>即：</w:t>
      </w:r>
    </w:p>
    <w:p w14:paraId="3443E038">
      <w:pPr>
        <w:pageBreakBefore w:val="0"/>
        <w:wordWrap/>
        <w:overflowPunct/>
        <w:topLinePunct w:val="0"/>
        <w:bidi w:val="0"/>
        <w:spacing w:line="240" w:lineRule="auto"/>
        <w:jc w:val="center"/>
        <w:rPr>
          <w:rFonts w:hint="default" w:ascii="Times New Roman" w:hAnsi="Times New Roman" w:cs="Times New Roman"/>
          <w:b/>
          <w:bCs/>
          <w:sz w:val="21"/>
          <w:szCs w:val="21"/>
          <w:u w:val="single" w:color="auto"/>
          <w:lang w:val="en-US" w:eastAsia="zh-CN"/>
        </w:rPr>
      </w:pPr>
      <w:r>
        <w:rPr>
          <w:rFonts w:hint="default" w:ascii="Times New Roman" w:hAnsi="Times New Roman" w:cs="Times New Roman"/>
          <w:b/>
          <w:bCs/>
          <w:sz w:val="21"/>
          <w:szCs w:val="21"/>
          <w:u w:val="single" w:color="auto"/>
        </w:rPr>
        <w:t>表</w:t>
      </w:r>
      <w:r>
        <w:rPr>
          <w:rFonts w:hint="eastAsia" w:ascii="Times New Roman" w:hAnsi="Times New Roman" w:eastAsia="宋体" w:cs="Times New Roman"/>
          <w:b/>
          <w:bCs/>
          <w:sz w:val="21"/>
          <w:szCs w:val="21"/>
          <w:u w:val="single" w:color="auto"/>
          <w:lang w:val="en-US" w:eastAsia="zh-CN"/>
        </w:rPr>
        <w:t>6</w:t>
      </w:r>
      <w:r>
        <w:rPr>
          <w:rFonts w:hint="default" w:ascii="Times New Roman" w:hAnsi="Times New Roman" w:cs="Times New Roman"/>
          <w:b/>
          <w:bCs/>
          <w:sz w:val="21"/>
          <w:szCs w:val="21"/>
          <w:u w:val="single" w:color="auto"/>
          <w:lang w:val="en-US" w:eastAsia="zh-CN"/>
        </w:rPr>
        <w:t>.2</w:t>
      </w:r>
      <w:r>
        <w:rPr>
          <w:rFonts w:hint="default" w:ascii="Times New Roman" w:hAnsi="Times New Roman" w:cs="Times New Roman"/>
          <w:b/>
          <w:bCs/>
          <w:sz w:val="21"/>
          <w:szCs w:val="21"/>
          <w:u w:val="single" w:color="auto"/>
        </w:rPr>
        <w:t>-1</w:t>
      </w:r>
      <w:r>
        <w:rPr>
          <w:rFonts w:hint="default" w:ascii="Times New Roman" w:hAnsi="Times New Roman" w:cs="Times New Roman"/>
          <w:b/>
          <w:bCs/>
          <w:sz w:val="21"/>
          <w:szCs w:val="21"/>
          <w:u w:val="single" w:color="auto"/>
          <w:lang w:val="en-US" w:eastAsia="zh-CN"/>
        </w:rPr>
        <w:t>水文参数情况表</w:t>
      </w:r>
    </w:p>
    <w:tbl>
      <w:tblPr>
        <w:tblStyle w:val="24"/>
        <w:tblW w:w="4998" w:type="pct"/>
        <w:jc w:val="center"/>
        <w:tblBorders>
          <w:top w:val="single" w:color="auto" w:sz="8" w:space="0"/>
          <w:left w:val="single" w:color="auto" w:sz="8" w:space="0"/>
          <w:bottom w:val="single" w:color="auto" w:sz="8" w:space="0"/>
          <w:right w:val="single" w:color="auto" w:sz="8" w:space="0"/>
          <w:insideH w:val="single" w:color="000000" w:sz="8" w:space="0"/>
          <w:insideV w:val="single" w:color="000000" w:sz="8" w:space="0"/>
        </w:tblBorders>
        <w:tblLayout w:type="autofit"/>
        <w:tblCellMar>
          <w:top w:w="0" w:type="dxa"/>
          <w:left w:w="0" w:type="dxa"/>
          <w:bottom w:w="0" w:type="dxa"/>
          <w:right w:w="0" w:type="dxa"/>
        </w:tblCellMar>
      </w:tblPr>
      <w:tblGrid>
        <w:gridCol w:w="899"/>
        <w:gridCol w:w="1614"/>
        <w:gridCol w:w="1619"/>
        <w:gridCol w:w="1491"/>
        <w:gridCol w:w="1315"/>
        <w:gridCol w:w="1378"/>
      </w:tblGrid>
      <w:tr w14:paraId="4E389E3D">
        <w:tblPrEx>
          <w:tblBorders>
            <w:top w:val="single" w:color="auto" w:sz="8" w:space="0"/>
            <w:left w:val="single" w:color="auto" w:sz="8" w:space="0"/>
            <w:bottom w:val="single" w:color="auto" w:sz="8" w:space="0"/>
            <w:right w:val="single" w:color="auto" w:sz="8" w:space="0"/>
            <w:insideH w:val="single" w:color="000000" w:sz="8" w:space="0"/>
            <w:insideV w:val="single" w:color="000000" w:sz="8" w:space="0"/>
          </w:tblBorders>
          <w:tblCellMar>
            <w:top w:w="0" w:type="dxa"/>
            <w:left w:w="0" w:type="dxa"/>
            <w:bottom w:w="0" w:type="dxa"/>
            <w:right w:w="0" w:type="dxa"/>
          </w:tblCellMar>
        </w:tblPrEx>
        <w:trPr>
          <w:trHeight w:val="90" w:hRule="atLeast"/>
          <w:jc w:val="center"/>
        </w:trPr>
        <w:tc>
          <w:tcPr>
            <w:tcW w:w="540" w:type="pct"/>
            <w:tcBorders>
              <w:tl2br w:val="nil"/>
              <w:tr2bl w:val="nil"/>
            </w:tcBorders>
            <w:noWrap w:val="0"/>
            <w:vAlign w:val="center"/>
          </w:tcPr>
          <w:p w14:paraId="3D01AA24">
            <w:pPr>
              <w:pStyle w:val="39"/>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auto"/>
              <w:rPr>
                <w:rFonts w:hint="default" w:ascii="Times New Roman" w:hAnsi="Times New Roman" w:eastAsia="宋体" w:cs="Times New Roman"/>
                <w:b/>
                <w:bCs/>
                <w:color w:val="auto"/>
                <w:sz w:val="21"/>
                <w:szCs w:val="21"/>
                <w:highlight w:val="none"/>
                <w:u w:val="single" w:color="auto"/>
              </w:rPr>
            </w:pPr>
            <w:r>
              <w:rPr>
                <w:rFonts w:hint="default" w:ascii="Times New Roman" w:hAnsi="Times New Roman" w:eastAsia="宋体" w:cs="Times New Roman"/>
                <w:b/>
                <w:bCs/>
                <w:color w:val="auto"/>
                <w:sz w:val="21"/>
                <w:szCs w:val="21"/>
                <w:highlight w:val="none"/>
                <w:u w:val="single" w:color="auto"/>
              </w:rPr>
              <w:t>河流</w:t>
            </w:r>
          </w:p>
        </w:tc>
        <w:tc>
          <w:tcPr>
            <w:tcW w:w="970" w:type="pct"/>
            <w:tcBorders>
              <w:tl2br w:val="nil"/>
              <w:tr2bl w:val="nil"/>
            </w:tcBorders>
            <w:noWrap w:val="0"/>
            <w:vAlign w:val="center"/>
          </w:tcPr>
          <w:p w14:paraId="5141DCAB">
            <w:pPr>
              <w:pStyle w:val="39"/>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auto"/>
              <w:rPr>
                <w:rFonts w:hint="default" w:ascii="Times New Roman" w:hAnsi="Times New Roman" w:eastAsia="宋体" w:cs="Times New Roman"/>
                <w:b/>
                <w:bCs/>
                <w:color w:val="auto"/>
                <w:sz w:val="21"/>
                <w:szCs w:val="21"/>
                <w:highlight w:val="none"/>
                <w:u w:val="single" w:color="auto"/>
                <w:lang w:eastAsia="zh-CN"/>
              </w:rPr>
            </w:pPr>
            <w:r>
              <w:rPr>
                <w:rFonts w:hint="default" w:ascii="Times New Roman" w:hAnsi="Times New Roman" w:eastAsia="宋体" w:cs="Times New Roman"/>
                <w:b/>
                <w:bCs/>
                <w:color w:val="auto"/>
                <w:sz w:val="21"/>
                <w:szCs w:val="21"/>
                <w:highlight w:val="none"/>
                <w:u w:val="single" w:color="auto"/>
                <w:lang w:val="en-US" w:eastAsia="zh-CN"/>
              </w:rPr>
              <w:t>时期</w:t>
            </w:r>
          </w:p>
        </w:tc>
        <w:tc>
          <w:tcPr>
            <w:tcW w:w="973" w:type="pct"/>
            <w:tcBorders>
              <w:tl2br w:val="nil"/>
              <w:tr2bl w:val="nil"/>
            </w:tcBorders>
            <w:noWrap w:val="0"/>
            <w:vAlign w:val="center"/>
          </w:tcPr>
          <w:p w14:paraId="2F8BB77A">
            <w:pPr>
              <w:pStyle w:val="39"/>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auto"/>
              <w:rPr>
                <w:rFonts w:hint="default" w:ascii="Times New Roman" w:hAnsi="Times New Roman" w:eastAsia="宋体" w:cs="Times New Roman"/>
                <w:b/>
                <w:bCs/>
                <w:color w:val="auto"/>
                <w:sz w:val="21"/>
                <w:szCs w:val="21"/>
                <w:highlight w:val="none"/>
                <w:u w:val="single" w:color="auto"/>
                <w:lang w:val="en-US" w:eastAsia="zh-CN"/>
              </w:rPr>
            </w:pPr>
            <w:r>
              <w:rPr>
                <w:rFonts w:hint="default" w:ascii="Times New Roman" w:hAnsi="Times New Roman" w:eastAsia="宋体" w:cs="Times New Roman"/>
                <w:b/>
                <w:bCs/>
                <w:color w:val="auto"/>
                <w:sz w:val="21"/>
                <w:szCs w:val="21"/>
                <w:highlight w:val="none"/>
                <w:u w:val="single" w:color="auto"/>
                <w:lang w:val="en-US" w:eastAsia="zh-CN"/>
              </w:rPr>
              <w:t>河宽（m）</w:t>
            </w:r>
          </w:p>
        </w:tc>
        <w:tc>
          <w:tcPr>
            <w:tcW w:w="896" w:type="pct"/>
            <w:tcBorders>
              <w:tl2br w:val="nil"/>
              <w:tr2bl w:val="nil"/>
            </w:tcBorders>
            <w:noWrap w:val="0"/>
            <w:vAlign w:val="center"/>
          </w:tcPr>
          <w:p w14:paraId="086D9898">
            <w:pPr>
              <w:pStyle w:val="39"/>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auto"/>
              <w:rPr>
                <w:rFonts w:hint="default" w:ascii="Times New Roman" w:hAnsi="Times New Roman" w:eastAsia="宋体" w:cs="Times New Roman"/>
                <w:b/>
                <w:bCs/>
                <w:color w:val="auto"/>
                <w:sz w:val="21"/>
                <w:szCs w:val="21"/>
                <w:highlight w:val="none"/>
                <w:u w:val="single" w:color="auto"/>
                <w:lang w:eastAsia="zh-CN"/>
              </w:rPr>
            </w:pPr>
            <w:r>
              <w:rPr>
                <w:rFonts w:hint="default" w:ascii="Times New Roman" w:hAnsi="Times New Roman" w:eastAsia="宋体" w:cs="Times New Roman"/>
                <w:b/>
                <w:bCs/>
                <w:color w:val="auto"/>
                <w:sz w:val="21"/>
                <w:szCs w:val="21"/>
                <w:highlight w:val="none"/>
                <w:u w:val="single" w:color="auto"/>
                <w:lang w:val="en-US" w:eastAsia="zh-CN"/>
              </w:rPr>
              <w:t>水深（m）</w:t>
            </w:r>
          </w:p>
        </w:tc>
        <w:tc>
          <w:tcPr>
            <w:tcW w:w="790" w:type="pct"/>
            <w:tcBorders>
              <w:tl2br w:val="nil"/>
              <w:tr2bl w:val="nil"/>
            </w:tcBorders>
            <w:noWrap w:val="0"/>
            <w:vAlign w:val="center"/>
          </w:tcPr>
          <w:p w14:paraId="2B205C32">
            <w:pPr>
              <w:pStyle w:val="39"/>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auto"/>
              <w:rPr>
                <w:rFonts w:hint="default" w:ascii="Times New Roman" w:hAnsi="Times New Roman" w:eastAsia="宋体" w:cs="Times New Roman"/>
                <w:b/>
                <w:bCs/>
                <w:color w:val="auto"/>
                <w:sz w:val="21"/>
                <w:szCs w:val="21"/>
                <w:highlight w:val="none"/>
                <w:u w:val="single" w:color="auto"/>
                <w:lang w:eastAsia="zh-CN"/>
              </w:rPr>
            </w:pPr>
            <w:r>
              <w:rPr>
                <w:rFonts w:hint="default" w:ascii="Times New Roman" w:hAnsi="Times New Roman" w:eastAsia="宋体" w:cs="Times New Roman"/>
                <w:b/>
                <w:bCs/>
                <w:color w:val="auto"/>
                <w:sz w:val="21"/>
                <w:szCs w:val="21"/>
                <w:highlight w:val="none"/>
                <w:u w:val="single" w:color="auto"/>
                <w:lang w:val="en-US" w:eastAsia="zh-CN"/>
              </w:rPr>
              <w:t>流量（m</w:t>
            </w:r>
            <w:r>
              <w:rPr>
                <w:rFonts w:hint="default" w:ascii="Times New Roman" w:hAnsi="Times New Roman" w:eastAsia="宋体" w:cs="Times New Roman"/>
                <w:b/>
                <w:bCs/>
                <w:color w:val="auto"/>
                <w:sz w:val="21"/>
                <w:szCs w:val="21"/>
                <w:highlight w:val="none"/>
                <w:u w:val="single" w:color="auto"/>
                <w:vertAlign w:val="superscript"/>
                <w:lang w:val="en-US" w:eastAsia="zh-CN"/>
              </w:rPr>
              <w:t>3</w:t>
            </w:r>
            <w:r>
              <w:rPr>
                <w:rFonts w:hint="default" w:ascii="Times New Roman" w:hAnsi="Times New Roman" w:eastAsia="宋体" w:cs="Times New Roman"/>
                <w:b/>
                <w:bCs/>
                <w:color w:val="auto"/>
                <w:sz w:val="21"/>
                <w:szCs w:val="21"/>
                <w:highlight w:val="none"/>
                <w:u w:val="single" w:color="auto"/>
                <w:lang w:val="en-US" w:eastAsia="zh-CN"/>
              </w:rPr>
              <w:t>/s）</w:t>
            </w:r>
          </w:p>
        </w:tc>
        <w:tc>
          <w:tcPr>
            <w:tcW w:w="828" w:type="pct"/>
            <w:tcBorders>
              <w:tl2br w:val="nil"/>
              <w:tr2bl w:val="nil"/>
            </w:tcBorders>
            <w:noWrap w:val="0"/>
            <w:vAlign w:val="center"/>
          </w:tcPr>
          <w:p w14:paraId="7E99FB72">
            <w:pPr>
              <w:pStyle w:val="39"/>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auto"/>
              <w:rPr>
                <w:rFonts w:hint="default" w:ascii="Times New Roman" w:hAnsi="Times New Roman" w:eastAsia="宋体" w:cs="Times New Roman"/>
                <w:b/>
                <w:bCs/>
                <w:color w:val="auto"/>
                <w:sz w:val="21"/>
                <w:szCs w:val="21"/>
                <w:highlight w:val="none"/>
                <w:u w:val="single" w:color="auto"/>
                <w:lang w:eastAsia="zh-CN"/>
              </w:rPr>
            </w:pPr>
            <w:r>
              <w:rPr>
                <w:rFonts w:hint="default" w:ascii="Times New Roman" w:hAnsi="Times New Roman" w:eastAsia="宋体" w:cs="Times New Roman"/>
                <w:b/>
                <w:bCs/>
                <w:color w:val="auto"/>
                <w:sz w:val="21"/>
                <w:szCs w:val="21"/>
                <w:highlight w:val="none"/>
                <w:u w:val="single" w:color="auto"/>
                <w:lang w:val="en-US" w:eastAsia="zh-CN"/>
              </w:rPr>
              <w:t>流速（m/s）</w:t>
            </w:r>
          </w:p>
        </w:tc>
      </w:tr>
      <w:tr w14:paraId="038369F5">
        <w:tblPrEx>
          <w:tblBorders>
            <w:top w:val="single" w:color="auto" w:sz="8" w:space="0"/>
            <w:left w:val="single" w:color="auto" w:sz="8" w:space="0"/>
            <w:bottom w:val="single" w:color="auto" w:sz="8" w:space="0"/>
            <w:right w:val="single" w:color="auto" w:sz="8" w:space="0"/>
            <w:insideH w:val="single" w:color="000000" w:sz="8" w:space="0"/>
            <w:insideV w:val="single" w:color="000000" w:sz="8" w:space="0"/>
          </w:tblBorders>
          <w:tblCellMar>
            <w:top w:w="0" w:type="dxa"/>
            <w:left w:w="0" w:type="dxa"/>
            <w:bottom w:w="0" w:type="dxa"/>
            <w:right w:w="0" w:type="dxa"/>
          </w:tblCellMar>
        </w:tblPrEx>
        <w:trPr>
          <w:trHeight w:val="272" w:hRule="atLeast"/>
          <w:jc w:val="center"/>
        </w:trPr>
        <w:tc>
          <w:tcPr>
            <w:tcW w:w="540" w:type="pct"/>
            <w:tcBorders>
              <w:tl2br w:val="nil"/>
              <w:tr2bl w:val="nil"/>
            </w:tcBorders>
            <w:noWrap w:val="0"/>
            <w:vAlign w:val="center"/>
          </w:tcPr>
          <w:p w14:paraId="490C7D8C">
            <w:pPr>
              <w:pStyle w:val="39"/>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auto"/>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青山河</w:t>
            </w:r>
          </w:p>
        </w:tc>
        <w:tc>
          <w:tcPr>
            <w:tcW w:w="970" w:type="pct"/>
            <w:tcBorders>
              <w:tl2br w:val="nil"/>
              <w:tr2bl w:val="nil"/>
            </w:tcBorders>
            <w:noWrap w:val="0"/>
            <w:vAlign w:val="center"/>
          </w:tcPr>
          <w:p w14:paraId="40E1A6BE">
            <w:pPr>
              <w:pStyle w:val="39"/>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auto"/>
              <w:rPr>
                <w:rFonts w:hint="default" w:ascii="Times New Roman" w:hAnsi="Times New Roman" w:eastAsia="宋体" w:cs="Times New Roman"/>
                <w:b w:val="0"/>
                <w:bCs w:val="0"/>
                <w:color w:val="auto"/>
                <w:sz w:val="21"/>
                <w:szCs w:val="21"/>
                <w:highlight w:val="none"/>
                <w:u w:val="single" w:color="auto"/>
                <w:lang w:val="en-US" w:eastAsia="zh-CN"/>
              </w:rPr>
            </w:pPr>
            <w:r>
              <w:rPr>
                <w:rFonts w:hint="default" w:ascii="Times New Roman" w:hAnsi="Times New Roman" w:eastAsia="宋体" w:cs="Times New Roman"/>
                <w:b w:val="0"/>
                <w:bCs w:val="0"/>
                <w:color w:val="auto"/>
                <w:sz w:val="21"/>
                <w:szCs w:val="21"/>
                <w:highlight w:val="none"/>
                <w:u w:val="single" w:color="auto"/>
                <w:lang w:val="en-US" w:eastAsia="zh-CN"/>
              </w:rPr>
              <w:t>枯水期</w:t>
            </w:r>
          </w:p>
        </w:tc>
        <w:tc>
          <w:tcPr>
            <w:tcW w:w="973" w:type="pct"/>
            <w:tcBorders>
              <w:tl2br w:val="nil"/>
              <w:tr2bl w:val="nil"/>
            </w:tcBorders>
            <w:noWrap w:val="0"/>
            <w:vAlign w:val="center"/>
          </w:tcPr>
          <w:p w14:paraId="20C14846">
            <w:pPr>
              <w:pStyle w:val="39"/>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auto"/>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20.3</w:t>
            </w:r>
          </w:p>
        </w:tc>
        <w:tc>
          <w:tcPr>
            <w:tcW w:w="896" w:type="pct"/>
            <w:tcBorders>
              <w:tl2br w:val="nil"/>
              <w:tr2bl w:val="nil"/>
            </w:tcBorders>
            <w:noWrap w:val="0"/>
            <w:vAlign w:val="center"/>
          </w:tcPr>
          <w:p w14:paraId="3284F1DF">
            <w:pPr>
              <w:pStyle w:val="39"/>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auto"/>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0.84</w:t>
            </w:r>
          </w:p>
        </w:tc>
        <w:tc>
          <w:tcPr>
            <w:tcW w:w="790" w:type="pct"/>
            <w:tcBorders>
              <w:tl2br w:val="nil"/>
              <w:tr2bl w:val="nil"/>
            </w:tcBorders>
            <w:noWrap w:val="0"/>
            <w:vAlign w:val="center"/>
          </w:tcPr>
          <w:p w14:paraId="0803922F">
            <w:pPr>
              <w:pStyle w:val="39"/>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auto"/>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2.56</w:t>
            </w:r>
          </w:p>
        </w:tc>
        <w:tc>
          <w:tcPr>
            <w:tcW w:w="828" w:type="pct"/>
            <w:tcBorders>
              <w:tl2br w:val="nil"/>
              <w:tr2bl w:val="nil"/>
            </w:tcBorders>
            <w:noWrap w:val="0"/>
            <w:vAlign w:val="center"/>
          </w:tcPr>
          <w:p w14:paraId="3EC77CDD">
            <w:pPr>
              <w:pStyle w:val="39"/>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auto"/>
              <w:rPr>
                <w:rFonts w:hint="default" w:ascii="Times New Roman" w:hAnsi="Times New Roman" w:eastAsia="宋体" w:cs="Times New Roman"/>
                <w:b w:val="0"/>
                <w:bCs w:val="0"/>
                <w:color w:val="auto"/>
                <w:sz w:val="21"/>
                <w:szCs w:val="21"/>
                <w:highlight w:val="none"/>
                <w:u w:val="single" w:color="auto"/>
                <w:lang w:val="en-US" w:eastAsia="zh-CN"/>
              </w:rPr>
            </w:pPr>
            <w:r>
              <w:rPr>
                <w:rFonts w:hint="eastAsia" w:ascii="Times New Roman" w:hAnsi="Times New Roman" w:eastAsia="宋体" w:cs="Times New Roman"/>
                <w:b w:val="0"/>
                <w:bCs w:val="0"/>
                <w:color w:val="auto"/>
                <w:sz w:val="21"/>
                <w:szCs w:val="21"/>
                <w:highlight w:val="none"/>
                <w:u w:val="single" w:color="auto"/>
                <w:lang w:val="en-US" w:eastAsia="zh-CN"/>
              </w:rPr>
              <w:t>0.15</w:t>
            </w:r>
          </w:p>
        </w:tc>
      </w:tr>
    </w:tbl>
    <w:p w14:paraId="037C7E1C">
      <w:pPr>
        <w:pStyle w:val="45"/>
        <w:keepNext w:val="0"/>
        <w:keepLines w:val="0"/>
        <w:pageBreakBefore w:val="0"/>
        <w:widowControl w:val="0"/>
        <w:numPr>
          <w:ilvl w:val="0"/>
          <w:numId w:val="0"/>
        </w:numPr>
        <w:tabs>
          <w:tab w:val="left" w:pos="1424"/>
        </w:tabs>
        <w:kinsoku/>
        <w:wordWrap/>
        <w:overflowPunct/>
        <w:topLinePunct w:val="0"/>
        <w:autoSpaceDE w:val="0"/>
        <w:autoSpaceDN w:val="0"/>
        <w:bidi w:val="0"/>
        <w:adjustRightInd/>
        <w:snapToGrid w:val="0"/>
        <w:spacing w:line="360" w:lineRule="auto"/>
        <w:ind w:right="0" w:rightChars="0" w:firstLine="480" w:firstLineChars="200"/>
        <w:jc w:val="both"/>
        <w:textAlignment w:val="auto"/>
        <w:rPr>
          <w:rFonts w:hint="default" w:ascii="Times New Roman" w:hAnsi="Times New Roman" w:eastAsia="宋体" w:cs="Times New Roman"/>
          <w:color w:val="auto"/>
          <w:sz w:val="24"/>
          <w:szCs w:val="24"/>
          <w:highlight w:val="none"/>
          <w:u w:val="single" w:color="auto"/>
          <w:lang w:val="en-US" w:eastAsia="zh-CN"/>
        </w:rPr>
      </w:pPr>
      <w:r>
        <w:rPr>
          <w:rFonts w:hint="default" w:ascii="Times New Roman" w:hAnsi="Times New Roman" w:eastAsia="宋体" w:cs="Times New Roman"/>
          <w:color w:val="auto"/>
          <w:sz w:val="24"/>
          <w:szCs w:val="24"/>
          <w:highlight w:val="none"/>
          <w:u w:val="single" w:color="auto"/>
          <w:lang w:val="en-US" w:eastAsia="zh-CN"/>
        </w:rPr>
        <w:t>（3）初始断面的污染物浓度</w:t>
      </w:r>
    </w:p>
    <w:p w14:paraId="0A50B7AB">
      <w:pPr>
        <w:pStyle w:val="9"/>
        <w:keepNext w:val="0"/>
        <w:keepLines w:val="0"/>
        <w:pageBreakBefore w:val="0"/>
        <w:widowControl w:val="0"/>
        <w:tabs>
          <w:tab w:val="left" w:pos="-2486"/>
        </w:tabs>
        <w:kinsoku/>
        <w:wordWrap/>
        <w:overflowPunct/>
        <w:topLinePunct w:val="0"/>
        <w:autoSpaceDE w:val="0"/>
        <w:autoSpaceDN w:val="0"/>
        <w:bidi w:val="0"/>
        <w:adjustRightInd/>
        <w:snapToGrid w:val="0"/>
        <w:spacing w:before="0" w:after="0" w:line="360" w:lineRule="auto"/>
        <w:ind w:left="0" w:right="0" w:firstLine="480" w:firstLineChars="200"/>
        <w:jc w:val="left"/>
        <w:textAlignment w:val="auto"/>
        <w:rPr>
          <w:rFonts w:hint="default" w:ascii="Times New Roman" w:hAnsi="Times New Roman" w:eastAsia="宋体" w:cs="Times New Roman"/>
          <w:color w:val="auto"/>
          <w:spacing w:val="0"/>
          <w:sz w:val="24"/>
          <w:szCs w:val="24"/>
          <w:highlight w:val="none"/>
          <w:u w:val="single" w:color="auto"/>
          <w:lang w:val="en-US" w:eastAsia="zh-CN"/>
        </w:rPr>
      </w:pPr>
      <w:r>
        <w:rPr>
          <w:rFonts w:hint="default" w:ascii="Times New Roman" w:hAnsi="Times New Roman" w:eastAsia="宋体" w:cs="Times New Roman"/>
          <w:color w:val="auto"/>
          <w:spacing w:val="0"/>
          <w:sz w:val="24"/>
          <w:szCs w:val="24"/>
          <w:highlight w:val="none"/>
          <w:u w:val="single" w:color="auto"/>
          <w:lang w:val="en-US" w:eastAsia="zh-CN"/>
        </w:rPr>
        <w:t>初始断面污染物COD</w:t>
      </w:r>
      <w:r>
        <w:rPr>
          <w:rFonts w:hint="default" w:ascii="Times New Roman" w:hAnsi="Times New Roman" w:eastAsia="宋体" w:cs="Times New Roman"/>
          <w:color w:val="auto"/>
          <w:spacing w:val="0"/>
          <w:sz w:val="24"/>
          <w:szCs w:val="24"/>
          <w:highlight w:val="none"/>
          <w:u w:val="single" w:color="auto"/>
          <w:vertAlign w:val="subscript"/>
          <w:lang w:val="en-US" w:eastAsia="zh-CN"/>
        </w:rPr>
        <w:t>cr</w:t>
      </w:r>
      <w:r>
        <w:rPr>
          <w:rFonts w:hint="default" w:ascii="Times New Roman" w:hAnsi="Times New Roman" w:cs="Times New Roman"/>
          <w:color w:val="auto"/>
          <w:spacing w:val="0"/>
          <w:sz w:val="24"/>
          <w:szCs w:val="24"/>
          <w:highlight w:val="none"/>
          <w:u w:val="single" w:color="auto"/>
          <w:vertAlign w:val="baseline"/>
          <w:lang w:val="en-US" w:eastAsia="zh-CN"/>
        </w:rPr>
        <w:t>、</w:t>
      </w:r>
      <w:r>
        <w:rPr>
          <w:rFonts w:hint="default" w:ascii="Times New Roman" w:hAnsi="Times New Roman" w:eastAsia="宋体" w:cs="Times New Roman"/>
          <w:color w:val="auto"/>
          <w:spacing w:val="0"/>
          <w:sz w:val="24"/>
          <w:szCs w:val="24"/>
          <w:highlight w:val="none"/>
          <w:u w:val="single" w:color="auto"/>
          <w:lang w:val="en-US" w:eastAsia="zh-CN"/>
        </w:rPr>
        <w:t>NH</w:t>
      </w:r>
      <w:r>
        <w:rPr>
          <w:rFonts w:hint="default" w:ascii="Times New Roman" w:hAnsi="Times New Roman" w:eastAsia="宋体" w:cs="Times New Roman"/>
          <w:color w:val="auto"/>
          <w:spacing w:val="0"/>
          <w:sz w:val="24"/>
          <w:szCs w:val="24"/>
          <w:highlight w:val="none"/>
          <w:u w:val="single" w:color="auto"/>
          <w:vertAlign w:val="subscript"/>
          <w:lang w:val="en-US" w:eastAsia="zh-CN"/>
        </w:rPr>
        <w:t>3</w:t>
      </w:r>
      <w:r>
        <w:rPr>
          <w:rFonts w:hint="default" w:ascii="Times New Roman" w:hAnsi="Times New Roman" w:eastAsia="宋体" w:cs="Times New Roman"/>
          <w:color w:val="auto"/>
          <w:spacing w:val="0"/>
          <w:sz w:val="24"/>
          <w:szCs w:val="24"/>
          <w:highlight w:val="none"/>
          <w:u w:val="single" w:color="auto"/>
          <w:lang w:val="en-US" w:eastAsia="zh-CN"/>
        </w:rPr>
        <w:t>-N</w:t>
      </w:r>
      <w:r>
        <w:rPr>
          <w:rFonts w:hint="default" w:ascii="Times New Roman" w:hAnsi="Times New Roman" w:cs="Times New Roman"/>
          <w:color w:val="auto"/>
          <w:spacing w:val="0"/>
          <w:sz w:val="24"/>
          <w:szCs w:val="24"/>
          <w:highlight w:val="none"/>
          <w:u w:val="single" w:color="auto"/>
          <w:lang w:val="en-US" w:eastAsia="zh-CN"/>
        </w:rPr>
        <w:t>、总磷</w:t>
      </w:r>
      <w:r>
        <w:rPr>
          <w:rFonts w:hint="default" w:ascii="Times New Roman" w:hAnsi="Times New Roman" w:eastAsia="宋体" w:cs="Times New Roman"/>
          <w:color w:val="auto"/>
          <w:spacing w:val="0"/>
          <w:sz w:val="24"/>
          <w:szCs w:val="24"/>
          <w:highlight w:val="none"/>
          <w:u w:val="single" w:color="auto"/>
          <w:lang w:val="en-US" w:eastAsia="zh-CN"/>
        </w:rPr>
        <w:t>浓度取排污口上游200m检测数据（取</w:t>
      </w:r>
      <w:r>
        <w:rPr>
          <w:rFonts w:hint="default" w:ascii="Times New Roman" w:hAnsi="Times New Roman" w:cs="Times New Roman"/>
          <w:color w:val="auto"/>
          <w:spacing w:val="0"/>
          <w:sz w:val="24"/>
          <w:szCs w:val="24"/>
          <w:highlight w:val="none"/>
          <w:u w:val="single" w:color="auto"/>
          <w:lang w:val="en-US" w:eastAsia="zh-CN"/>
        </w:rPr>
        <w:t>最大值</w:t>
      </w:r>
      <w:r>
        <w:rPr>
          <w:rFonts w:hint="default" w:ascii="Times New Roman" w:hAnsi="Times New Roman" w:eastAsia="宋体" w:cs="Times New Roman"/>
          <w:color w:val="auto"/>
          <w:spacing w:val="0"/>
          <w:sz w:val="24"/>
          <w:szCs w:val="24"/>
          <w:highlight w:val="none"/>
          <w:u w:val="single" w:color="auto"/>
          <w:lang w:val="en-US" w:eastAsia="zh-CN"/>
        </w:rPr>
        <w:t>），即COD1</w:t>
      </w:r>
      <w:r>
        <w:rPr>
          <w:rFonts w:hint="default" w:ascii="Times New Roman" w:hAnsi="Times New Roman" w:cs="Times New Roman"/>
          <w:color w:val="auto"/>
          <w:spacing w:val="0"/>
          <w:sz w:val="24"/>
          <w:szCs w:val="24"/>
          <w:highlight w:val="none"/>
          <w:u w:val="single" w:color="auto"/>
          <w:lang w:val="en-US" w:eastAsia="zh-CN"/>
        </w:rPr>
        <w:t>2</w:t>
      </w:r>
      <w:r>
        <w:rPr>
          <w:rFonts w:hint="default" w:ascii="Times New Roman" w:hAnsi="Times New Roman" w:eastAsia="宋体" w:cs="Times New Roman"/>
          <w:color w:val="auto"/>
          <w:spacing w:val="0"/>
          <w:sz w:val="24"/>
          <w:szCs w:val="24"/>
          <w:highlight w:val="none"/>
          <w:u w:val="single" w:color="auto"/>
          <w:lang w:val="en-US" w:eastAsia="zh-CN"/>
        </w:rPr>
        <w:t>mg/L</w:t>
      </w:r>
      <w:r>
        <w:rPr>
          <w:rFonts w:hint="default" w:ascii="Times New Roman" w:hAnsi="Times New Roman" w:cs="Times New Roman"/>
          <w:color w:val="auto"/>
          <w:spacing w:val="0"/>
          <w:sz w:val="24"/>
          <w:szCs w:val="24"/>
          <w:highlight w:val="none"/>
          <w:u w:val="single" w:color="auto"/>
          <w:lang w:val="en-US" w:eastAsia="zh-CN"/>
        </w:rPr>
        <w:t>、</w:t>
      </w:r>
      <w:r>
        <w:rPr>
          <w:rFonts w:hint="default" w:ascii="Times New Roman" w:hAnsi="Times New Roman" w:eastAsia="宋体" w:cs="Times New Roman"/>
          <w:color w:val="auto"/>
          <w:spacing w:val="0"/>
          <w:sz w:val="24"/>
          <w:szCs w:val="24"/>
          <w:highlight w:val="none"/>
          <w:u w:val="single" w:color="auto"/>
          <w:lang w:val="en-US" w:eastAsia="zh-CN"/>
        </w:rPr>
        <w:t>NH</w:t>
      </w:r>
      <w:r>
        <w:rPr>
          <w:rFonts w:hint="default" w:ascii="Times New Roman" w:hAnsi="Times New Roman" w:eastAsia="宋体" w:cs="Times New Roman"/>
          <w:color w:val="auto"/>
          <w:spacing w:val="0"/>
          <w:sz w:val="24"/>
          <w:szCs w:val="24"/>
          <w:highlight w:val="none"/>
          <w:u w:val="single" w:color="auto"/>
          <w:vertAlign w:val="subscript"/>
          <w:lang w:val="en-US" w:eastAsia="zh-CN"/>
        </w:rPr>
        <w:t>3</w:t>
      </w:r>
      <w:r>
        <w:rPr>
          <w:rFonts w:hint="default" w:ascii="Times New Roman" w:hAnsi="Times New Roman" w:eastAsia="宋体" w:cs="Times New Roman"/>
          <w:color w:val="auto"/>
          <w:spacing w:val="0"/>
          <w:sz w:val="24"/>
          <w:szCs w:val="24"/>
          <w:highlight w:val="none"/>
          <w:u w:val="single" w:color="auto"/>
          <w:lang w:val="en-US" w:eastAsia="zh-CN"/>
        </w:rPr>
        <w:t>-N</w:t>
      </w:r>
      <w:r>
        <w:rPr>
          <w:rFonts w:hint="eastAsia" w:ascii="Times New Roman" w:hAnsi="Times New Roman" w:eastAsia="宋体" w:cs="Times New Roman"/>
          <w:color w:val="auto"/>
          <w:spacing w:val="0"/>
          <w:sz w:val="24"/>
          <w:szCs w:val="24"/>
          <w:highlight w:val="none"/>
          <w:u w:val="single" w:color="auto"/>
          <w:lang w:val="en-US" w:eastAsia="zh-CN"/>
        </w:rPr>
        <w:t>0</w:t>
      </w:r>
      <w:r>
        <w:rPr>
          <w:rFonts w:hint="default" w:ascii="Times New Roman" w:hAnsi="Times New Roman" w:cs="Times New Roman"/>
          <w:color w:val="auto"/>
          <w:spacing w:val="0"/>
          <w:sz w:val="24"/>
          <w:szCs w:val="24"/>
          <w:highlight w:val="none"/>
          <w:u w:val="single" w:color="auto"/>
          <w:lang w:val="en-US" w:eastAsia="zh-CN"/>
        </w:rPr>
        <w:t>.188</w:t>
      </w:r>
      <w:r>
        <w:rPr>
          <w:rFonts w:hint="default" w:ascii="Times New Roman" w:hAnsi="Times New Roman" w:eastAsia="宋体" w:cs="Times New Roman"/>
          <w:color w:val="auto"/>
          <w:spacing w:val="0"/>
          <w:sz w:val="24"/>
          <w:szCs w:val="24"/>
          <w:highlight w:val="none"/>
          <w:u w:val="single" w:color="auto"/>
          <w:lang w:val="en-US" w:eastAsia="zh-CN"/>
        </w:rPr>
        <w:t>mg/L</w:t>
      </w:r>
      <w:r>
        <w:rPr>
          <w:rFonts w:hint="default" w:ascii="Times New Roman" w:hAnsi="Times New Roman" w:cs="Times New Roman"/>
          <w:color w:val="auto"/>
          <w:spacing w:val="0"/>
          <w:sz w:val="24"/>
          <w:szCs w:val="24"/>
          <w:highlight w:val="none"/>
          <w:u w:val="single" w:color="auto"/>
          <w:lang w:val="en-US" w:eastAsia="zh-CN"/>
        </w:rPr>
        <w:t>、总磷0.04</w:t>
      </w:r>
      <w:r>
        <w:rPr>
          <w:rFonts w:hint="default" w:ascii="Times New Roman" w:hAnsi="Times New Roman" w:eastAsia="宋体" w:cs="Times New Roman"/>
          <w:color w:val="auto"/>
          <w:spacing w:val="0"/>
          <w:sz w:val="24"/>
          <w:szCs w:val="24"/>
          <w:highlight w:val="none"/>
          <w:u w:val="single" w:color="auto"/>
          <w:lang w:val="en-US" w:eastAsia="zh-CN"/>
        </w:rPr>
        <w:t>mg/L。</w:t>
      </w:r>
    </w:p>
    <w:p w14:paraId="5D719AED">
      <w:pPr>
        <w:pStyle w:val="45"/>
        <w:keepNext w:val="0"/>
        <w:keepLines w:val="0"/>
        <w:pageBreakBefore w:val="0"/>
        <w:widowControl w:val="0"/>
        <w:numPr>
          <w:ilvl w:val="0"/>
          <w:numId w:val="0"/>
        </w:numPr>
        <w:tabs>
          <w:tab w:val="left" w:pos="1424"/>
        </w:tabs>
        <w:kinsoku/>
        <w:wordWrap/>
        <w:overflowPunct/>
        <w:topLinePunct w:val="0"/>
        <w:autoSpaceDE w:val="0"/>
        <w:autoSpaceDN w:val="0"/>
        <w:bidi w:val="0"/>
        <w:adjustRightInd/>
        <w:snapToGrid w:val="0"/>
        <w:spacing w:line="360" w:lineRule="auto"/>
        <w:ind w:right="0" w:rightChars="0" w:firstLine="480" w:firstLineChars="200"/>
        <w:jc w:val="both"/>
        <w:textAlignment w:val="auto"/>
        <w:rPr>
          <w:rFonts w:hint="default" w:ascii="Times New Roman" w:hAnsi="Times New Roman" w:eastAsia="宋体" w:cs="Times New Roman"/>
          <w:color w:val="auto"/>
          <w:sz w:val="24"/>
          <w:szCs w:val="24"/>
          <w:highlight w:val="none"/>
          <w:u w:val="single" w:color="auto"/>
          <w:lang w:val="en-US" w:eastAsia="zh-CN"/>
        </w:rPr>
      </w:pPr>
      <w:r>
        <w:rPr>
          <w:rFonts w:hint="default" w:ascii="Times New Roman" w:hAnsi="Times New Roman" w:eastAsia="宋体" w:cs="Times New Roman"/>
          <w:color w:val="auto"/>
          <w:sz w:val="24"/>
          <w:szCs w:val="24"/>
          <w:highlight w:val="none"/>
          <w:u w:val="single" w:color="auto"/>
          <w:lang w:val="en-US" w:eastAsia="zh-CN"/>
        </w:rPr>
        <w:t>（4）污染物综合衰减系数K</w:t>
      </w:r>
    </w:p>
    <w:p w14:paraId="7F3E1D24">
      <w:pPr>
        <w:pStyle w:val="9"/>
        <w:keepNext w:val="0"/>
        <w:keepLines w:val="0"/>
        <w:pageBreakBefore w:val="0"/>
        <w:widowControl w:val="0"/>
        <w:tabs>
          <w:tab w:val="left" w:pos="-2486"/>
        </w:tabs>
        <w:kinsoku/>
        <w:wordWrap/>
        <w:overflowPunct/>
        <w:topLinePunct w:val="0"/>
        <w:autoSpaceDE w:val="0"/>
        <w:autoSpaceDN w:val="0"/>
        <w:bidi w:val="0"/>
        <w:adjustRightInd/>
        <w:snapToGrid w:val="0"/>
        <w:spacing w:before="0" w:after="0" w:line="360" w:lineRule="auto"/>
        <w:ind w:left="0" w:right="0" w:firstLine="480" w:firstLineChars="200"/>
        <w:jc w:val="both"/>
        <w:textAlignment w:val="auto"/>
        <w:rPr>
          <w:rFonts w:hint="default" w:ascii="Times New Roman" w:hAnsi="Times New Roman" w:eastAsia="宋体" w:cs="Times New Roman"/>
          <w:color w:val="auto"/>
          <w:spacing w:val="0"/>
          <w:sz w:val="24"/>
          <w:szCs w:val="24"/>
          <w:highlight w:val="none"/>
          <w:u w:val="single" w:color="auto"/>
          <w:lang w:val="en-US" w:eastAsia="zh-CN"/>
        </w:rPr>
      </w:pPr>
      <w:r>
        <w:rPr>
          <w:rFonts w:hint="default" w:ascii="Times New Roman" w:hAnsi="Times New Roman" w:eastAsia="宋体" w:cs="Times New Roman"/>
          <w:color w:val="auto"/>
          <w:spacing w:val="0"/>
          <w:sz w:val="24"/>
          <w:szCs w:val="24"/>
          <w:highlight w:val="none"/>
          <w:u w:val="single" w:color="auto"/>
          <w:lang w:val="en-US" w:eastAsia="zh-CN"/>
        </w:rPr>
        <w:t>根据两点法计算，参照中国环境规划院发布的《全国地表水水环境容量核定技术复核要点》，根据</w:t>
      </w:r>
      <w:r>
        <w:rPr>
          <w:rFonts w:hint="eastAsia" w:ascii="Times New Roman" w:hAnsi="Times New Roman" w:eastAsia="宋体" w:cs="Times New Roman"/>
          <w:color w:val="auto"/>
          <w:spacing w:val="0"/>
          <w:sz w:val="24"/>
          <w:szCs w:val="24"/>
          <w:highlight w:val="none"/>
          <w:u w:val="single" w:color="auto"/>
          <w:lang w:val="en-US" w:eastAsia="zh-CN"/>
        </w:rPr>
        <w:t>青山河</w:t>
      </w:r>
      <w:r>
        <w:rPr>
          <w:rFonts w:hint="default" w:ascii="Times New Roman" w:hAnsi="Times New Roman" w:eastAsia="宋体" w:cs="Times New Roman"/>
          <w:color w:val="auto"/>
          <w:spacing w:val="0"/>
          <w:sz w:val="24"/>
          <w:szCs w:val="24"/>
          <w:highlight w:val="none"/>
          <w:u w:val="single" w:color="auto"/>
          <w:lang w:val="en-US" w:eastAsia="zh-CN"/>
        </w:rPr>
        <w:t>纳污河段水功能区划、现状水质、河宽和流量确定水质降解系数参考值， CODcr、NH</w:t>
      </w:r>
      <w:r>
        <w:rPr>
          <w:rFonts w:hint="default" w:ascii="Times New Roman" w:hAnsi="Times New Roman" w:eastAsia="宋体" w:cs="Times New Roman"/>
          <w:color w:val="auto"/>
          <w:spacing w:val="0"/>
          <w:sz w:val="24"/>
          <w:szCs w:val="24"/>
          <w:highlight w:val="none"/>
          <w:u w:val="single" w:color="auto"/>
          <w:vertAlign w:val="subscript"/>
          <w:lang w:val="en-US" w:eastAsia="zh-CN"/>
        </w:rPr>
        <w:t>3</w:t>
      </w:r>
      <w:r>
        <w:rPr>
          <w:rFonts w:hint="default" w:ascii="Times New Roman" w:hAnsi="Times New Roman" w:eastAsia="宋体" w:cs="Times New Roman"/>
          <w:color w:val="auto"/>
          <w:spacing w:val="0"/>
          <w:sz w:val="24"/>
          <w:szCs w:val="24"/>
          <w:highlight w:val="none"/>
          <w:u w:val="single" w:color="auto"/>
          <w:lang w:val="en-US" w:eastAsia="zh-CN"/>
        </w:rPr>
        <w:t>-N和总磷降解系数分别为</w:t>
      </w:r>
      <w:r>
        <w:rPr>
          <w:rFonts w:hint="eastAsia" w:ascii="Times New Roman" w:hAnsi="Times New Roman" w:eastAsia="宋体" w:cs="Times New Roman"/>
          <w:color w:val="auto"/>
          <w:spacing w:val="0"/>
          <w:sz w:val="24"/>
          <w:szCs w:val="24"/>
          <w:highlight w:val="none"/>
          <w:u w:val="single" w:color="auto"/>
          <w:lang w:val="en-US" w:eastAsia="zh-CN"/>
        </w:rPr>
        <w:t>0.18/d、0.15/d、0.07</w:t>
      </w:r>
      <w:r>
        <w:rPr>
          <w:rFonts w:hint="default" w:ascii="Times New Roman" w:hAnsi="Times New Roman" w:eastAsia="宋体" w:cs="Times New Roman"/>
          <w:color w:val="auto"/>
          <w:spacing w:val="0"/>
          <w:sz w:val="24"/>
          <w:szCs w:val="24"/>
          <w:highlight w:val="none"/>
          <w:u w:val="single" w:color="auto"/>
          <w:lang w:val="en-US" w:eastAsia="zh-CN"/>
        </w:rPr>
        <w:t>/</w:t>
      </w:r>
      <w:r>
        <w:rPr>
          <w:rFonts w:hint="eastAsia" w:ascii="Times New Roman" w:hAnsi="Times New Roman" w:eastAsia="宋体" w:cs="Times New Roman"/>
          <w:color w:val="auto"/>
          <w:spacing w:val="0"/>
          <w:sz w:val="24"/>
          <w:szCs w:val="24"/>
          <w:highlight w:val="none"/>
          <w:u w:val="single" w:color="auto"/>
          <w:lang w:val="en-US" w:eastAsia="zh-CN"/>
        </w:rPr>
        <w:t>d</w:t>
      </w:r>
      <w:r>
        <w:rPr>
          <w:rFonts w:hint="default" w:ascii="Times New Roman" w:hAnsi="Times New Roman" w:eastAsia="宋体" w:cs="Times New Roman"/>
          <w:color w:val="auto"/>
          <w:spacing w:val="0"/>
          <w:sz w:val="24"/>
          <w:szCs w:val="24"/>
          <w:highlight w:val="none"/>
          <w:u w:val="single" w:color="auto"/>
          <w:lang w:val="en-US" w:eastAsia="zh-CN"/>
        </w:rPr>
        <w:t>。</w:t>
      </w:r>
    </w:p>
    <w:p w14:paraId="47A00F59">
      <w:pPr>
        <w:pStyle w:val="4"/>
        <w:pageBreakBefore w:val="0"/>
        <w:widowControl w:val="0"/>
        <w:tabs>
          <w:tab w:val="left" w:pos="360"/>
          <w:tab w:val="left" w:pos="432"/>
        </w:tabs>
        <w:kinsoku/>
        <w:wordWrap/>
        <w:overflowPunct/>
        <w:topLinePunct w:val="0"/>
        <w:autoSpaceDE/>
        <w:autoSpaceDN/>
        <w:bidi w:val="0"/>
        <w:adjustRightInd/>
        <w:snapToGrid/>
        <w:spacing w:before="0" w:after="0" w:line="360" w:lineRule="auto"/>
        <w:jc w:val="both"/>
        <w:textAlignment w:val="auto"/>
        <w:rPr>
          <w:rFonts w:ascii="Times New Roman" w:hAnsi="Times New Roman" w:eastAsia="宋体" w:cs="Times New Roman"/>
          <w:color w:val="auto"/>
          <w:u w:val="single" w:color="auto"/>
        </w:rPr>
      </w:pPr>
      <w:bookmarkStart w:id="176" w:name="_Toc23271"/>
      <w:bookmarkStart w:id="177" w:name="_Toc22998"/>
      <w:bookmarkStart w:id="178" w:name="_Toc24651"/>
      <w:r>
        <w:rPr>
          <w:rFonts w:hint="eastAsia" w:ascii="Times New Roman" w:hAnsi="Times New Roman" w:eastAsia="宋体" w:cs="Times New Roman"/>
          <w:u w:val="single" w:color="auto"/>
          <w:lang w:eastAsia="zh-CN"/>
        </w:rPr>
        <w:t>6.</w:t>
      </w:r>
      <w:r>
        <w:rPr>
          <w:rFonts w:hint="eastAsia" w:ascii="Times New Roman" w:hAnsi="Times New Roman" w:cs="Times New Roman"/>
          <w:u w:val="single" w:color="auto"/>
          <w:lang w:eastAsia="zh-CN"/>
        </w:rPr>
        <w:t>2</w:t>
      </w:r>
      <w:r>
        <w:rPr>
          <w:rFonts w:hint="eastAsia" w:ascii="Times New Roman" w:hAnsi="Times New Roman" w:eastAsia="宋体" w:cs="Times New Roman"/>
          <w:u w:val="single" w:color="auto"/>
          <w:lang w:eastAsia="zh-CN"/>
        </w:rPr>
        <w:t>.4</w:t>
      </w:r>
      <w:r>
        <w:rPr>
          <w:rFonts w:ascii="Times New Roman" w:hAnsi="Times New Roman" w:eastAsia="宋体" w:cs="Times New Roman"/>
          <w:u w:val="single" w:color="auto"/>
        </w:rPr>
        <w:t>水域纳污能</w:t>
      </w:r>
      <w:r>
        <w:rPr>
          <w:rFonts w:ascii="Times New Roman" w:hAnsi="Times New Roman" w:eastAsia="宋体" w:cs="Times New Roman"/>
          <w:color w:val="auto"/>
          <w:u w:val="single" w:color="auto"/>
        </w:rPr>
        <w:t>力核算结果</w:t>
      </w:r>
      <w:bookmarkEnd w:id="176"/>
      <w:bookmarkEnd w:id="177"/>
      <w:bookmarkEnd w:id="178"/>
    </w:p>
    <w:p w14:paraId="3BC4C348">
      <w:pPr>
        <w:pStyle w:val="9"/>
        <w:keepNext w:val="0"/>
        <w:keepLines w:val="0"/>
        <w:pageBreakBefore w:val="0"/>
        <w:widowControl w:val="0"/>
        <w:tabs>
          <w:tab w:val="left" w:pos="-2486"/>
        </w:tabs>
        <w:kinsoku/>
        <w:wordWrap/>
        <w:overflowPunct/>
        <w:topLinePunct w:val="0"/>
        <w:autoSpaceDE w:val="0"/>
        <w:autoSpaceDN w:val="0"/>
        <w:bidi w:val="0"/>
        <w:adjustRightInd/>
        <w:snapToGrid w:val="0"/>
        <w:spacing w:before="0" w:after="0" w:line="360" w:lineRule="auto"/>
        <w:ind w:left="0" w:right="0" w:firstLine="480" w:firstLineChars="200"/>
        <w:jc w:val="left"/>
        <w:textAlignment w:val="auto"/>
        <w:rPr>
          <w:rFonts w:hint="default" w:ascii="Times New Roman" w:hAnsi="Times New Roman" w:eastAsia="宋体" w:cs="Times New Roman"/>
          <w:color w:val="auto"/>
          <w:sz w:val="24"/>
          <w:szCs w:val="24"/>
          <w:highlight w:val="none"/>
          <w:u w:val="single" w:color="auto"/>
          <w:lang w:val="en-US" w:eastAsia="zh-CN" w:bidi="zh-CN"/>
        </w:rPr>
      </w:pPr>
      <w:r>
        <w:rPr>
          <w:rFonts w:hint="default" w:ascii="Times New Roman" w:hAnsi="Times New Roman" w:eastAsia="宋体" w:cs="Times New Roman"/>
          <w:color w:val="auto"/>
          <w:sz w:val="24"/>
          <w:szCs w:val="24"/>
          <w:highlight w:val="none"/>
          <w:u w:val="single" w:color="auto"/>
          <w:lang w:val="zh-CN" w:eastAsia="zh-CN" w:bidi="zh-CN"/>
        </w:rPr>
        <w:t>计算输入以上数据值，排污口所在河段水域纳污能力</w:t>
      </w:r>
      <w:r>
        <w:rPr>
          <w:rFonts w:hint="eastAsia" w:cs="Times New Roman"/>
          <w:color w:val="auto"/>
          <w:sz w:val="24"/>
          <w:szCs w:val="24"/>
          <w:highlight w:val="none"/>
          <w:u w:val="single" w:color="auto"/>
          <w:lang w:val="zh-CN" w:eastAsia="zh-CN" w:bidi="zh-CN"/>
        </w:rPr>
        <w:t>见下</w:t>
      </w:r>
      <w:r>
        <w:rPr>
          <w:rFonts w:hint="default" w:ascii="Times New Roman" w:hAnsi="Times New Roman" w:eastAsia="宋体" w:cs="Times New Roman"/>
          <w:color w:val="auto"/>
          <w:sz w:val="24"/>
          <w:szCs w:val="24"/>
          <w:highlight w:val="none"/>
          <w:u w:val="single" w:color="auto"/>
          <w:lang w:val="zh-CN" w:eastAsia="zh-CN" w:bidi="zh-CN"/>
        </w:rPr>
        <w:t>表</w:t>
      </w:r>
      <w:r>
        <w:rPr>
          <w:rFonts w:hint="eastAsia" w:eastAsia="宋体" w:cs="Times New Roman"/>
          <w:color w:val="auto"/>
          <w:sz w:val="24"/>
          <w:szCs w:val="24"/>
          <w:highlight w:val="none"/>
          <w:u w:val="single" w:color="auto"/>
          <w:lang w:val="en-US" w:eastAsia="zh-CN" w:bidi="zh-CN"/>
        </w:rPr>
        <w:t>。</w:t>
      </w:r>
    </w:p>
    <w:p w14:paraId="792DA8EC">
      <w:pPr>
        <w:keepNext w:val="0"/>
        <w:keepLines w:val="0"/>
        <w:pageBreakBefore w:val="0"/>
        <w:widowControl w:val="0"/>
        <w:kinsoku/>
        <w:wordWrap/>
        <w:overflowPunct/>
        <w:topLinePunct w:val="0"/>
        <w:autoSpaceDE/>
        <w:autoSpaceDN/>
        <w:bidi w:val="0"/>
        <w:adjustRightInd/>
        <w:snapToGrid/>
        <w:spacing w:line="240" w:lineRule="auto"/>
        <w:ind w:left="0" w:leftChars="0" w:right="0" w:firstLine="422" w:firstLineChars="200"/>
        <w:jc w:val="center"/>
        <w:textAlignment w:val="auto"/>
        <w:rPr>
          <w:rFonts w:hint="default" w:ascii="Times New Roman" w:hAnsi="Times New Roman" w:eastAsia="宋体" w:cs="Times New Roman"/>
          <w:b/>
          <w:bCs/>
          <w:color w:val="auto"/>
          <w:sz w:val="21"/>
          <w:szCs w:val="21"/>
          <w:highlight w:val="none"/>
          <w:u w:val="single" w:color="auto"/>
          <w:lang w:val="en-US" w:eastAsia="zh-CN" w:bidi="zh-CN"/>
        </w:rPr>
      </w:pPr>
      <w:r>
        <w:rPr>
          <w:rFonts w:hint="eastAsia" w:ascii="Times New Roman" w:hAnsi="Times New Roman" w:eastAsia="宋体" w:cs="Times New Roman"/>
          <w:b/>
          <w:bCs/>
          <w:color w:val="auto"/>
          <w:sz w:val="21"/>
          <w:szCs w:val="21"/>
          <w:highlight w:val="none"/>
          <w:u w:val="single" w:color="auto"/>
          <w:lang w:val="en-US" w:eastAsia="zh-CN" w:bidi="zh-CN"/>
        </w:rPr>
        <w:t xml:space="preserve">表6.2-2 </w:t>
      </w:r>
      <w:r>
        <w:rPr>
          <w:rFonts w:hint="default" w:ascii="Times New Roman" w:hAnsi="Times New Roman" w:eastAsia="宋体" w:cs="Times New Roman"/>
          <w:b/>
          <w:bCs/>
          <w:color w:val="auto"/>
          <w:sz w:val="21"/>
          <w:szCs w:val="21"/>
          <w:u w:val="single" w:color="auto"/>
          <w:lang w:val="en-US" w:eastAsia="zh-CN"/>
        </w:rPr>
        <w:t>论证排污口所在水域纳污能力</w:t>
      </w:r>
    </w:p>
    <w:tbl>
      <w:tblPr>
        <w:tblStyle w:val="24"/>
        <w:tblW w:w="506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1269"/>
        <w:gridCol w:w="1269"/>
        <w:gridCol w:w="1289"/>
        <w:gridCol w:w="1369"/>
        <w:gridCol w:w="1271"/>
        <w:gridCol w:w="1348"/>
      </w:tblGrid>
      <w:tr w14:paraId="74A18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vMerge w:val="restart"/>
            <w:noWrap w:val="0"/>
            <w:tcMar>
              <w:left w:w="28" w:type="dxa"/>
              <w:right w:w="28" w:type="dxa"/>
            </w:tcMar>
            <w:vAlign w:val="center"/>
          </w:tcPr>
          <w:p w14:paraId="3769387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sz w:val="21"/>
                <w:szCs w:val="21"/>
                <w:u w:val="single" w:color="auto"/>
                <w:lang w:val="en-GB" w:eastAsia="zh-CN"/>
              </w:rPr>
            </w:pPr>
            <w:r>
              <w:rPr>
                <w:rFonts w:hint="default" w:ascii="Times New Roman" w:hAnsi="Times New Roman" w:eastAsia="宋体" w:cs="Times New Roman"/>
                <w:b w:val="0"/>
                <w:bCs w:val="0"/>
                <w:color w:val="auto"/>
                <w:sz w:val="21"/>
                <w:szCs w:val="21"/>
                <w:u w:val="single" w:color="auto"/>
                <w:lang w:val="en-GB" w:eastAsia="zh-CN"/>
              </w:rPr>
              <w:t>X</w:t>
            </w:r>
          </w:p>
        </w:tc>
        <w:tc>
          <w:tcPr>
            <w:tcW w:w="2259" w:type="pct"/>
            <w:gridSpan w:val="3"/>
            <w:noWrap w:val="0"/>
            <w:tcMar>
              <w:left w:w="28" w:type="dxa"/>
              <w:right w:w="28" w:type="dxa"/>
            </w:tcMar>
            <w:vAlign w:val="center"/>
          </w:tcPr>
          <w:p w14:paraId="530D3C6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sz w:val="21"/>
                <w:szCs w:val="21"/>
                <w:u w:val="single" w:color="auto"/>
                <w:lang w:val="zh-CN" w:eastAsia="zh-CN"/>
              </w:rPr>
            </w:pPr>
            <w:r>
              <w:rPr>
                <w:rFonts w:hint="default" w:ascii="Times New Roman" w:hAnsi="Times New Roman" w:eastAsia="宋体" w:cs="Times New Roman"/>
                <w:b w:val="0"/>
                <w:bCs w:val="0"/>
                <w:color w:val="auto"/>
                <w:sz w:val="21"/>
                <w:szCs w:val="21"/>
                <w:u w:val="single" w:color="auto"/>
                <w:lang w:val="zh-CN" w:eastAsia="zh-CN"/>
              </w:rPr>
              <w:t>核算结果（</w:t>
            </w:r>
            <w:r>
              <w:rPr>
                <w:rFonts w:hint="default" w:ascii="Times New Roman" w:hAnsi="Times New Roman" w:eastAsia="宋体" w:cs="Times New Roman"/>
                <w:b w:val="0"/>
                <w:bCs w:val="0"/>
                <w:color w:val="auto"/>
                <w:sz w:val="21"/>
                <w:szCs w:val="21"/>
                <w:u w:val="single" w:color="auto"/>
                <w:lang w:val="en-US" w:eastAsia="zh-CN"/>
              </w:rPr>
              <w:t>g/s</w:t>
            </w:r>
            <w:r>
              <w:rPr>
                <w:rFonts w:hint="default" w:ascii="Times New Roman" w:hAnsi="Times New Roman" w:eastAsia="宋体" w:cs="Times New Roman"/>
                <w:b w:val="0"/>
                <w:bCs w:val="0"/>
                <w:color w:val="auto"/>
                <w:sz w:val="21"/>
                <w:szCs w:val="21"/>
                <w:u w:val="single" w:color="auto"/>
                <w:lang w:val="zh-CN" w:eastAsia="zh-CN"/>
              </w:rPr>
              <w:t>）</w:t>
            </w:r>
          </w:p>
        </w:tc>
        <w:tc>
          <w:tcPr>
            <w:tcW w:w="2353" w:type="pct"/>
            <w:gridSpan w:val="3"/>
            <w:noWrap w:val="0"/>
            <w:tcMar>
              <w:left w:w="28" w:type="dxa"/>
              <w:right w:w="28" w:type="dxa"/>
            </w:tcMar>
            <w:vAlign w:val="center"/>
          </w:tcPr>
          <w:p w14:paraId="60E127A8">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sz w:val="21"/>
                <w:szCs w:val="21"/>
                <w:u w:val="single" w:color="auto"/>
                <w:lang w:val="zh-CN" w:eastAsia="zh-CN"/>
              </w:rPr>
            </w:pPr>
            <w:r>
              <w:rPr>
                <w:rFonts w:hint="default" w:ascii="Times New Roman" w:hAnsi="Times New Roman" w:eastAsia="宋体" w:cs="Times New Roman"/>
                <w:b w:val="0"/>
                <w:bCs w:val="0"/>
                <w:color w:val="auto"/>
                <w:sz w:val="21"/>
                <w:szCs w:val="21"/>
                <w:u w:val="single" w:color="auto"/>
                <w:lang w:val="zh-CN" w:eastAsia="zh-CN"/>
              </w:rPr>
              <w:t>核算结果（</w:t>
            </w:r>
            <w:r>
              <w:rPr>
                <w:rFonts w:hint="default" w:ascii="Times New Roman" w:hAnsi="Times New Roman" w:eastAsia="宋体" w:cs="Times New Roman"/>
                <w:b w:val="0"/>
                <w:bCs w:val="0"/>
                <w:color w:val="auto"/>
                <w:sz w:val="21"/>
                <w:szCs w:val="21"/>
                <w:u w:val="single" w:color="auto"/>
                <w:lang w:val="en-US" w:eastAsia="zh-CN"/>
              </w:rPr>
              <w:t>t/a</w:t>
            </w:r>
            <w:r>
              <w:rPr>
                <w:rFonts w:hint="default" w:ascii="Times New Roman" w:hAnsi="Times New Roman" w:eastAsia="宋体" w:cs="Times New Roman"/>
                <w:b w:val="0"/>
                <w:bCs w:val="0"/>
                <w:color w:val="auto"/>
                <w:sz w:val="21"/>
                <w:szCs w:val="21"/>
                <w:u w:val="single" w:color="auto"/>
                <w:lang w:val="zh-CN" w:eastAsia="zh-CN"/>
              </w:rPr>
              <w:t>）</w:t>
            </w:r>
          </w:p>
        </w:tc>
      </w:tr>
      <w:tr w14:paraId="151DF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vMerge w:val="continue"/>
            <w:noWrap w:val="0"/>
            <w:tcMar>
              <w:left w:w="28" w:type="dxa"/>
              <w:right w:w="28" w:type="dxa"/>
            </w:tcMar>
            <w:vAlign w:val="center"/>
          </w:tcPr>
          <w:p w14:paraId="24C7B43D">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sz w:val="21"/>
                <w:szCs w:val="21"/>
                <w:u w:val="single" w:color="auto"/>
                <w:lang w:val="en-GB" w:eastAsia="zh-CN"/>
              </w:rPr>
            </w:pPr>
          </w:p>
        </w:tc>
        <w:tc>
          <w:tcPr>
            <w:tcW w:w="749" w:type="pct"/>
            <w:noWrap w:val="0"/>
            <w:tcMar>
              <w:left w:w="28" w:type="dxa"/>
              <w:right w:w="28" w:type="dxa"/>
            </w:tcMar>
            <w:vAlign w:val="center"/>
          </w:tcPr>
          <w:p w14:paraId="64081C0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sz w:val="21"/>
                <w:szCs w:val="21"/>
                <w:u w:val="single" w:color="auto"/>
                <w:lang w:val="zh-CN" w:eastAsia="zh-CN"/>
              </w:rPr>
            </w:pPr>
            <w:r>
              <w:rPr>
                <w:rFonts w:hint="default" w:ascii="Times New Roman" w:hAnsi="Times New Roman" w:cs="Times New Roman"/>
                <w:b w:val="0"/>
                <w:bCs w:val="0"/>
                <w:color w:val="auto"/>
                <w:sz w:val="21"/>
                <w:szCs w:val="21"/>
                <w:u w:val="single" w:color="auto"/>
                <w:lang w:val="en-GB" w:eastAsia="zh-CN"/>
              </w:rPr>
              <w:t>CODcr</w:t>
            </w:r>
          </w:p>
        </w:tc>
        <w:tc>
          <w:tcPr>
            <w:tcW w:w="749" w:type="pct"/>
            <w:noWrap w:val="0"/>
            <w:tcMar>
              <w:left w:w="28" w:type="dxa"/>
              <w:right w:w="28" w:type="dxa"/>
            </w:tcMar>
            <w:vAlign w:val="center"/>
          </w:tcPr>
          <w:p w14:paraId="6145B4FA">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sz w:val="21"/>
                <w:szCs w:val="21"/>
                <w:u w:val="single" w:color="auto"/>
                <w:lang w:val="en-GB" w:eastAsia="zh-CN"/>
              </w:rPr>
            </w:pPr>
            <w:r>
              <w:rPr>
                <w:rFonts w:hint="default" w:ascii="Times New Roman" w:hAnsi="Times New Roman" w:eastAsia="宋体" w:cs="Times New Roman"/>
                <w:b w:val="0"/>
                <w:bCs w:val="0"/>
                <w:color w:val="auto"/>
                <w:sz w:val="21"/>
                <w:szCs w:val="21"/>
                <w:u w:val="single" w:color="auto"/>
                <w:lang w:val="en-GB" w:eastAsia="zh-CN"/>
              </w:rPr>
              <w:t>氨氮</w:t>
            </w:r>
          </w:p>
        </w:tc>
        <w:tc>
          <w:tcPr>
            <w:tcW w:w="759" w:type="pct"/>
            <w:noWrap w:val="0"/>
            <w:tcMar>
              <w:left w:w="28" w:type="dxa"/>
              <w:right w:w="28" w:type="dxa"/>
            </w:tcMar>
            <w:vAlign w:val="center"/>
          </w:tcPr>
          <w:p w14:paraId="64B760E9">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sz w:val="21"/>
                <w:szCs w:val="21"/>
                <w:u w:val="single" w:color="auto"/>
                <w:lang w:val="en-GB" w:eastAsia="zh-CN"/>
              </w:rPr>
            </w:pPr>
            <w:r>
              <w:rPr>
                <w:rFonts w:hint="default" w:ascii="Times New Roman" w:hAnsi="Times New Roman" w:cs="Times New Roman"/>
                <w:b w:val="0"/>
                <w:bCs w:val="0"/>
                <w:color w:val="auto"/>
                <w:sz w:val="21"/>
                <w:szCs w:val="21"/>
                <w:u w:val="single" w:color="auto"/>
                <w:lang w:val="en-GB" w:eastAsia="zh-CN"/>
              </w:rPr>
              <w:t>总磷</w:t>
            </w:r>
          </w:p>
        </w:tc>
        <w:tc>
          <w:tcPr>
            <w:tcW w:w="808" w:type="pct"/>
            <w:noWrap w:val="0"/>
            <w:tcMar>
              <w:left w:w="28" w:type="dxa"/>
              <w:right w:w="28" w:type="dxa"/>
            </w:tcMar>
            <w:vAlign w:val="center"/>
          </w:tcPr>
          <w:p w14:paraId="1F5DB12C">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sz w:val="21"/>
                <w:szCs w:val="21"/>
                <w:u w:val="single" w:color="auto"/>
                <w:lang w:val="en-US" w:eastAsia="zh-CN"/>
              </w:rPr>
            </w:pPr>
            <w:r>
              <w:rPr>
                <w:rFonts w:hint="default" w:ascii="Times New Roman" w:hAnsi="Times New Roman" w:cs="Times New Roman"/>
                <w:b w:val="0"/>
                <w:bCs w:val="0"/>
                <w:color w:val="auto"/>
                <w:sz w:val="21"/>
                <w:szCs w:val="21"/>
                <w:u w:val="single" w:color="auto"/>
                <w:lang w:val="en-GB" w:eastAsia="zh-CN"/>
              </w:rPr>
              <w:t>CODcr</w:t>
            </w:r>
          </w:p>
        </w:tc>
        <w:tc>
          <w:tcPr>
            <w:tcW w:w="750" w:type="pct"/>
            <w:noWrap w:val="0"/>
            <w:tcMar>
              <w:left w:w="28" w:type="dxa"/>
              <w:right w:w="28" w:type="dxa"/>
            </w:tcMar>
            <w:vAlign w:val="center"/>
          </w:tcPr>
          <w:p w14:paraId="5D40CA65">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sz w:val="21"/>
                <w:szCs w:val="21"/>
                <w:u w:val="single" w:color="auto"/>
                <w:lang w:val="en-GB" w:eastAsia="zh-CN"/>
              </w:rPr>
            </w:pPr>
            <w:r>
              <w:rPr>
                <w:rFonts w:hint="default" w:ascii="Times New Roman" w:hAnsi="Times New Roman" w:eastAsia="宋体" w:cs="Times New Roman"/>
                <w:b w:val="0"/>
                <w:bCs w:val="0"/>
                <w:color w:val="auto"/>
                <w:sz w:val="21"/>
                <w:szCs w:val="21"/>
                <w:u w:val="single" w:color="auto"/>
                <w:lang w:val="en-GB" w:eastAsia="zh-CN"/>
              </w:rPr>
              <w:t>氨氮</w:t>
            </w:r>
          </w:p>
        </w:tc>
        <w:tc>
          <w:tcPr>
            <w:tcW w:w="794" w:type="pct"/>
            <w:noWrap w:val="0"/>
            <w:tcMar>
              <w:left w:w="28" w:type="dxa"/>
              <w:right w:w="28" w:type="dxa"/>
            </w:tcMar>
            <w:vAlign w:val="center"/>
          </w:tcPr>
          <w:p w14:paraId="20E8A790">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sz w:val="21"/>
                <w:szCs w:val="21"/>
                <w:u w:val="single" w:color="auto"/>
                <w:lang w:val="en-GB" w:eastAsia="zh-CN"/>
              </w:rPr>
            </w:pPr>
            <w:r>
              <w:rPr>
                <w:rFonts w:hint="default" w:ascii="Times New Roman" w:hAnsi="Times New Roman" w:cs="Times New Roman"/>
                <w:b w:val="0"/>
                <w:bCs w:val="0"/>
                <w:color w:val="auto"/>
                <w:sz w:val="21"/>
                <w:szCs w:val="21"/>
                <w:u w:val="single" w:color="auto"/>
                <w:lang w:val="en-GB" w:eastAsia="zh-CN"/>
              </w:rPr>
              <w:t>总磷</w:t>
            </w:r>
          </w:p>
        </w:tc>
      </w:tr>
      <w:tr w14:paraId="6B211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tcMar>
              <w:left w:w="28" w:type="dxa"/>
              <w:right w:w="28" w:type="dxa"/>
            </w:tcMar>
            <w:vAlign w:val="center"/>
          </w:tcPr>
          <w:p w14:paraId="0D0A425F">
            <w:pPr>
              <w:keepNext w:val="0"/>
              <w:keepLines w:val="0"/>
              <w:widowControl/>
              <w:suppressLineNumbers w:val="0"/>
              <w:jc w:val="center"/>
              <w:textAlignment w:val="center"/>
              <w:rPr>
                <w:rFonts w:hint="default" w:ascii="Times New Roman" w:hAnsi="Times New Roman" w:cs="Times New Roman"/>
                <w:b w:val="0"/>
                <w:bCs w:val="0"/>
                <w:color w:val="auto"/>
                <w:u w:val="single" w:color="auto"/>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10</w:t>
            </w:r>
          </w:p>
        </w:tc>
        <w:tc>
          <w:tcPr>
            <w:tcW w:w="1270" w:type="dxa"/>
            <w:noWrap w:val="0"/>
            <w:tcMar>
              <w:left w:w="28" w:type="dxa"/>
              <w:right w:w="28" w:type="dxa"/>
            </w:tcMar>
            <w:vAlign w:val="center"/>
          </w:tcPr>
          <w:p w14:paraId="68394CA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20.475387912 </w:t>
            </w:r>
          </w:p>
        </w:tc>
        <w:tc>
          <w:tcPr>
            <w:tcW w:w="1270" w:type="dxa"/>
            <w:noWrap w:val="0"/>
            <w:tcMar>
              <w:left w:w="28" w:type="dxa"/>
              <w:right w:w="28" w:type="dxa"/>
            </w:tcMar>
            <w:vAlign w:val="center"/>
          </w:tcPr>
          <w:p w14:paraId="34B50D2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2.077221893 </w:t>
            </w:r>
          </w:p>
        </w:tc>
        <w:tc>
          <w:tcPr>
            <w:tcW w:w="1287" w:type="dxa"/>
            <w:noWrap w:val="0"/>
            <w:tcMar>
              <w:left w:w="28" w:type="dxa"/>
              <w:right w:w="28" w:type="dxa"/>
            </w:tcMar>
            <w:vAlign w:val="center"/>
          </w:tcPr>
          <w:p w14:paraId="5FE3395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0.409516737 </w:t>
            </w:r>
          </w:p>
        </w:tc>
        <w:tc>
          <w:tcPr>
            <w:tcW w:w="1369" w:type="dxa"/>
            <w:noWrap w:val="0"/>
            <w:tcMar>
              <w:left w:w="28" w:type="dxa"/>
              <w:right w:w="28" w:type="dxa"/>
            </w:tcMar>
            <w:vAlign w:val="center"/>
          </w:tcPr>
          <w:p w14:paraId="4DF0D91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645.711833191 </w:t>
            </w:r>
          </w:p>
        </w:tc>
        <w:tc>
          <w:tcPr>
            <w:tcW w:w="1272" w:type="dxa"/>
            <w:noWrap w:val="0"/>
            <w:tcMar>
              <w:left w:w="28" w:type="dxa"/>
              <w:right w:w="28" w:type="dxa"/>
            </w:tcMar>
            <w:vAlign w:val="center"/>
          </w:tcPr>
          <w:p w14:paraId="011F916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65.507269623 </w:t>
            </w:r>
          </w:p>
        </w:tc>
        <w:tc>
          <w:tcPr>
            <w:tcW w:w="1346" w:type="dxa"/>
            <w:noWrap w:val="0"/>
            <w:tcMar>
              <w:left w:w="28" w:type="dxa"/>
              <w:right w:w="28" w:type="dxa"/>
            </w:tcMar>
            <w:vAlign w:val="center"/>
          </w:tcPr>
          <w:p w14:paraId="0205168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12.914519809 </w:t>
            </w:r>
          </w:p>
        </w:tc>
      </w:tr>
      <w:tr w14:paraId="4124E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tcMar>
              <w:left w:w="28" w:type="dxa"/>
              <w:right w:w="28" w:type="dxa"/>
            </w:tcMar>
            <w:vAlign w:val="center"/>
          </w:tcPr>
          <w:p w14:paraId="30AE1AC9">
            <w:pPr>
              <w:keepNext w:val="0"/>
              <w:keepLines w:val="0"/>
              <w:widowControl/>
              <w:suppressLineNumbers w:val="0"/>
              <w:jc w:val="center"/>
              <w:textAlignment w:val="center"/>
              <w:rPr>
                <w:rFonts w:hint="default" w:ascii="Times New Roman" w:hAnsi="Times New Roman" w:cs="Times New Roman"/>
                <w:b w:val="0"/>
                <w:bCs w:val="0"/>
                <w:color w:val="auto"/>
                <w:u w:val="single" w:color="auto"/>
              </w:rPr>
            </w:pPr>
            <w:r>
              <w:rPr>
                <w:rFonts w:hint="default" w:ascii="Times New Roman" w:hAnsi="Times New Roman" w:eastAsia="宋体" w:cs="Times New Roman"/>
                <w:i w:val="0"/>
                <w:iCs w:val="0"/>
                <w:color w:val="000000"/>
                <w:kern w:val="0"/>
                <w:sz w:val="21"/>
                <w:szCs w:val="21"/>
                <w:u w:val="single" w:color="auto"/>
                <w:lang w:val="en-US" w:eastAsia="zh-CN" w:bidi="ar"/>
              </w:rPr>
              <w:t>20</w:t>
            </w:r>
          </w:p>
        </w:tc>
        <w:tc>
          <w:tcPr>
            <w:tcW w:w="1270" w:type="dxa"/>
            <w:noWrap w:val="0"/>
            <w:tcMar>
              <w:left w:w="28" w:type="dxa"/>
              <w:right w:w="28" w:type="dxa"/>
            </w:tcMar>
            <w:vAlign w:val="center"/>
          </w:tcPr>
          <w:p w14:paraId="75C5B31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20.479655231 </w:t>
            </w:r>
          </w:p>
        </w:tc>
        <w:tc>
          <w:tcPr>
            <w:tcW w:w="1270" w:type="dxa"/>
            <w:noWrap w:val="0"/>
            <w:tcMar>
              <w:left w:w="28" w:type="dxa"/>
              <w:right w:w="28" w:type="dxa"/>
            </w:tcMar>
            <w:vAlign w:val="center"/>
          </w:tcPr>
          <w:p w14:paraId="7106EC5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2.077277780 </w:t>
            </w:r>
          </w:p>
        </w:tc>
        <w:tc>
          <w:tcPr>
            <w:tcW w:w="1287" w:type="dxa"/>
            <w:noWrap w:val="0"/>
            <w:tcMar>
              <w:left w:w="28" w:type="dxa"/>
              <w:right w:w="28" w:type="dxa"/>
            </w:tcMar>
            <w:vAlign w:val="center"/>
          </w:tcPr>
          <w:p w14:paraId="42F2E23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0.409522273 </w:t>
            </w:r>
          </w:p>
        </w:tc>
        <w:tc>
          <w:tcPr>
            <w:tcW w:w="1369" w:type="dxa"/>
            <w:noWrap w:val="0"/>
            <w:tcMar>
              <w:left w:w="28" w:type="dxa"/>
              <w:right w:w="28" w:type="dxa"/>
            </w:tcMar>
            <w:vAlign w:val="center"/>
          </w:tcPr>
          <w:p w14:paraId="40AA5FF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645.846407370 </w:t>
            </w:r>
          </w:p>
        </w:tc>
        <w:tc>
          <w:tcPr>
            <w:tcW w:w="1272" w:type="dxa"/>
            <w:noWrap w:val="0"/>
            <w:tcMar>
              <w:left w:w="28" w:type="dxa"/>
              <w:right w:w="28" w:type="dxa"/>
            </w:tcMar>
            <w:vAlign w:val="center"/>
          </w:tcPr>
          <w:p w14:paraId="3C2AA88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65.509032066 </w:t>
            </w:r>
          </w:p>
        </w:tc>
        <w:tc>
          <w:tcPr>
            <w:tcW w:w="1346" w:type="dxa"/>
            <w:noWrap w:val="0"/>
            <w:tcMar>
              <w:left w:w="28" w:type="dxa"/>
              <w:right w:w="28" w:type="dxa"/>
            </w:tcMar>
            <w:vAlign w:val="center"/>
          </w:tcPr>
          <w:p w14:paraId="55A54BE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12.914694405 </w:t>
            </w:r>
          </w:p>
        </w:tc>
      </w:tr>
      <w:tr w14:paraId="38A1F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tcMar>
              <w:left w:w="28" w:type="dxa"/>
              <w:right w:w="28" w:type="dxa"/>
            </w:tcMar>
            <w:vAlign w:val="center"/>
          </w:tcPr>
          <w:p w14:paraId="5688359A">
            <w:pPr>
              <w:keepNext w:val="0"/>
              <w:keepLines w:val="0"/>
              <w:widowControl/>
              <w:suppressLineNumbers w:val="0"/>
              <w:jc w:val="center"/>
              <w:textAlignment w:val="center"/>
              <w:rPr>
                <w:rFonts w:hint="default" w:ascii="Times New Roman" w:hAnsi="Times New Roman" w:cs="Times New Roman"/>
                <w:b w:val="0"/>
                <w:bCs w:val="0"/>
                <w:color w:val="auto"/>
                <w:u w:val="single" w:color="auto"/>
                <w:lang w:val="en-GB"/>
              </w:rPr>
            </w:pPr>
            <w:r>
              <w:rPr>
                <w:rFonts w:hint="default" w:ascii="Times New Roman" w:hAnsi="Times New Roman" w:eastAsia="宋体" w:cs="Times New Roman"/>
                <w:i w:val="0"/>
                <w:iCs w:val="0"/>
                <w:color w:val="000000"/>
                <w:kern w:val="0"/>
                <w:sz w:val="21"/>
                <w:szCs w:val="21"/>
                <w:u w:val="single" w:color="auto"/>
                <w:lang w:val="en-US" w:eastAsia="zh-CN" w:bidi="ar"/>
              </w:rPr>
              <w:t>50</w:t>
            </w:r>
          </w:p>
        </w:tc>
        <w:tc>
          <w:tcPr>
            <w:tcW w:w="1270" w:type="dxa"/>
            <w:noWrap w:val="0"/>
            <w:tcMar>
              <w:left w:w="28" w:type="dxa"/>
              <w:right w:w="28" w:type="dxa"/>
            </w:tcMar>
            <w:vAlign w:val="center"/>
          </w:tcPr>
          <w:p w14:paraId="30B904F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20.492453633 </w:t>
            </w:r>
          </w:p>
        </w:tc>
        <w:tc>
          <w:tcPr>
            <w:tcW w:w="1270" w:type="dxa"/>
            <w:noWrap w:val="0"/>
            <w:tcMar>
              <w:left w:w="28" w:type="dxa"/>
              <w:right w:w="28" w:type="dxa"/>
            </w:tcMar>
            <w:vAlign w:val="center"/>
          </w:tcPr>
          <w:p w14:paraId="7C1CE3B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2.077445401 </w:t>
            </w:r>
          </w:p>
        </w:tc>
        <w:tc>
          <w:tcPr>
            <w:tcW w:w="1287" w:type="dxa"/>
            <w:noWrap w:val="0"/>
            <w:tcMar>
              <w:left w:w="28" w:type="dxa"/>
              <w:right w:w="28" w:type="dxa"/>
            </w:tcMar>
            <w:vAlign w:val="center"/>
          </w:tcPr>
          <w:p w14:paraId="33677F3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0.409538881 </w:t>
            </w:r>
          </w:p>
        </w:tc>
        <w:tc>
          <w:tcPr>
            <w:tcW w:w="1369" w:type="dxa"/>
            <w:noWrap w:val="0"/>
            <w:tcMar>
              <w:left w:w="28" w:type="dxa"/>
              <w:right w:w="28" w:type="dxa"/>
            </w:tcMar>
            <w:vAlign w:val="center"/>
          </w:tcPr>
          <w:p w14:paraId="4E86D31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646.250017780 </w:t>
            </w:r>
          </w:p>
        </w:tc>
        <w:tc>
          <w:tcPr>
            <w:tcW w:w="1272" w:type="dxa"/>
            <w:noWrap w:val="0"/>
            <w:tcMar>
              <w:left w:w="28" w:type="dxa"/>
              <w:right w:w="28" w:type="dxa"/>
            </w:tcMar>
            <w:vAlign w:val="center"/>
          </w:tcPr>
          <w:p w14:paraId="36F45E2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65.514318172 </w:t>
            </w:r>
          </w:p>
        </w:tc>
        <w:tc>
          <w:tcPr>
            <w:tcW w:w="1346" w:type="dxa"/>
            <w:noWrap w:val="0"/>
            <w:tcMar>
              <w:left w:w="28" w:type="dxa"/>
              <w:right w:w="28" w:type="dxa"/>
            </w:tcMar>
            <w:vAlign w:val="center"/>
          </w:tcPr>
          <w:p w14:paraId="4DA1E67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12.915218137 </w:t>
            </w:r>
          </w:p>
        </w:tc>
      </w:tr>
      <w:tr w14:paraId="39DEC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tcMar>
              <w:left w:w="28" w:type="dxa"/>
              <w:right w:w="28" w:type="dxa"/>
            </w:tcMar>
            <w:vAlign w:val="center"/>
          </w:tcPr>
          <w:p w14:paraId="0278B2D0">
            <w:pPr>
              <w:keepNext w:val="0"/>
              <w:keepLines w:val="0"/>
              <w:widowControl/>
              <w:suppressLineNumbers w:val="0"/>
              <w:jc w:val="center"/>
              <w:textAlignment w:val="center"/>
              <w:rPr>
                <w:rFonts w:hint="default" w:ascii="Times New Roman" w:hAnsi="Times New Roman" w:cs="Times New Roman"/>
                <w:b w:val="0"/>
                <w:bCs w:val="0"/>
                <w:color w:val="auto"/>
                <w:u w:val="single" w:color="auto"/>
                <w:lang w:val="en-US"/>
              </w:rPr>
            </w:pPr>
            <w:r>
              <w:rPr>
                <w:rFonts w:hint="default" w:ascii="Times New Roman" w:hAnsi="Times New Roman" w:eastAsia="宋体" w:cs="Times New Roman"/>
                <w:i w:val="0"/>
                <w:iCs w:val="0"/>
                <w:color w:val="000000"/>
                <w:kern w:val="0"/>
                <w:sz w:val="21"/>
                <w:szCs w:val="21"/>
                <w:u w:val="single" w:color="auto"/>
                <w:lang w:val="en-US" w:eastAsia="zh-CN" w:bidi="ar"/>
              </w:rPr>
              <w:t>200</w:t>
            </w:r>
          </w:p>
        </w:tc>
        <w:tc>
          <w:tcPr>
            <w:tcW w:w="1270" w:type="dxa"/>
            <w:noWrap w:val="0"/>
            <w:tcMar>
              <w:left w:w="28" w:type="dxa"/>
              <w:right w:w="28" w:type="dxa"/>
            </w:tcMar>
            <w:vAlign w:val="center"/>
          </w:tcPr>
          <w:p w14:paraId="7D8186D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20.556365715 </w:t>
            </w:r>
          </w:p>
        </w:tc>
        <w:tc>
          <w:tcPr>
            <w:tcW w:w="1270" w:type="dxa"/>
            <w:noWrap w:val="0"/>
            <w:tcMar>
              <w:left w:w="28" w:type="dxa"/>
              <w:right w:w="28" w:type="dxa"/>
            </w:tcMar>
            <w:vAlign w:val="center"/>
          </w:tcPr>
          <w:p w14:paraId="14A6CEB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2.078282635 </w:t>
            </w:r>
          </w:p>
        </w:tc>
        <w:tc>
          <w:tcPr>
            <w:tcW w:w="1287" w:type="dxa"/>
            <w:noWrap w:val="0"/>
            <w:tcMar>
              <w:left w:w="28" w:type="dxa"/>
              <w:right w:w="28" w:type="dxa"/>
            </w:tcMar>
            <w:vAlign w:val="center"/>
          </w:tcPr>
          <w:p w14:paraId="378BDB2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0.409621877 </w:t>
            </w:r>
          </w:p>
        </w:tc>
        <w:tc>
          <w:tcPr>
            <w:tcW w:w="1369" w:type="dxa"/>
            <w:noWrap w:val="0"/>
            <w:tcMar>
              <w:left w:w="28" w:type="dxa"/>
              <w:right w:w="28" w:type="dxa"/>
            </w:tcMar>
            <w:vAlign w:val="center"/>
          </w:tcPr>
          <w:p w14:paraId="45BB8F2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648.265549189 </w:t>
            </w:r>
          </w:p>
        </w:tc>
        <w:tc>
          <w:tcPr>
            <w:tcW w:w="1272" w:type="dxa"/>
            <w:noWrap w:val="0"/>
            <w:tcMar>
              <w:left w:w="28" w:type="dxa"/>
              <w:right w:w="28" w:type="dxa"/>
            </w:tcMar>
            <w:vAlign w:val="center"/>
          </w:tcPr>
          <w:p w14:paraId="4E10B22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65.540721188 </w:t>
            </w:r>
          </w:p>
        </w:tc>
        <w:tc>
          <w:tcPr>
            <w:tcW w:w="1346" w:type="dxa"/>
            <w:noWrap w:val="0"/>
            <w:tcMar>
              <w:left w:w="28" w:type="dxa"/>
              <w:right w:w="28" w:type="dxa"/>
            </w:tcMar>
            <w:vAlign w:val="center"/>
          </w:tcPr>
          <w:p w14:paraId="370D856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12.917835526 </w:t>
            </w:r>
          </w:p>
        </w:tc>
      </w:tr>
      <w:tr w14:paraId="036E7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tcMar>
              <w:left w:w="28" w:type="dxa"/>
              <w:right w:w="28" w:type="dxa"/>
            </w:tcMar>
            <w:vAlign w:val="center"/>
          </w:tcPr>
          <w:p w14:paraId="15CC7DF8">
            <w:pPr>
              <w:keepNext w:val="0"/>
              <w:keepLines w:val="0"/>
              <w:widowControl/>
              <w:suppressLineNumbers w:val="0"/>
              <w:jc w:val="center"/>
              <w:textAlignment w:val="center"/>
              <w:rPr>
                <w:rFonts w:hint="default" w:ascii="Times New Roman" w:hAnsi="Times New Roman" w:cs="Times New Roman"/>
                <w:b w:val="0"/>
                <w:bCs w:val="0"/>
                <w:color w:val="auto"/>
                <w:u w:val="single" w:color="auto"/>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257</w:t>
            </w:r>
          </w:p>
        </w:tc>
        <w:tc>
          <w:tcPr>
            <w:tcW w:w="1270" w:type="dxa"/>
            <w:noWrap w:val="0"/>
            <w:tcMar>
              <w:left w:w="28" w:type="dxa"/>
              <w:right w:w="28" w:type="dxa"/>
            </w:tcMar>
            <w:vAlign w:val="center"/>
          </w:tcPr>
          <w:p w14:paraId="0F9688D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20.580617415 </w:t>
            </w:r>
          </w:p>
        </w:tc>
        <w:tc>
          <w:tcPr>
            <w:tcW w:w="1270" w:type="dxa"/>
            <w:noWrap w:val="0"/>
            <w:tcMar>
              <w:left w:w="28" w:type="dxa"/>
              <w:right w:w="28" w:type="dxa"/>
            </w:tcMar>
            <w:vAlign w:val="center"/>
          </w:tcPr>
          <w:p w14:paraId="26066CC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2.078600403 </w:t>
            </w:r>
          </w:p>
        </w:tc>
        <w:tc>
          <w:tcPr>
            <w:tcW w:w="1287" w:type="dxa"/>
            <w:noWrap w:val="0"/>
            <w:tcMar>
              <w:left w:w="28" w:type="dxa"/>
              <w:right w:w="28" w:type="dxa"/>
            </w:tcMar>
            <w:vAlign w:val="center"/>
          </w:tcPr>
          <w:p w14:paraId="1C73282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0.409653399 </w:t>
            </w:r>
          </w:p>
        </w:tc>
        <w:tc>
          <w:tcPr>
            <w:tcW w:w="1369" w:type="dxa"/>
            <w:noWrap w:val="0"/>
            <w:tcMar>
              <w:left w:w="28" w:type="dxa"/>
              <w:right w:w="28" w:type="dxa"/>
            </w:tcMar>
            <w:vAlign w:val="center"/>
          </w:tcPr>
          <w:p w14:paraId="1E0BA56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649.030350813 </w:t>
            </w:r>
          </w:p>
        </w:tc>
        <w:tc>
          <w:tcPr>
            <w:tcW w:w="1272" w:type="dxa"/>
            <w:noWrap w:val="0"/>
            <w:tcMar>
              <w:left w:w="28" w:type="dxa"/>
              <w:right w:w="28" w:type="dxa"/>
            </w:tcMar>
            <w:vAlign w:val="center"/>
          </w:tcPr>
          <w:p w14:paraId="1BA9289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65.550742321 </w:t>
            </w:r>
          </w:p>
        </w:tc>
        <w:tc>
          <w:tcPr>
            <w:tcW w:w="1346" w:type="dxa"/>
            <w:noWrap w:val="0"/>
            <w:tcMar>
              <w:left w:w="28" w:type="dxa"/>
              <w:right w:w="28" w:type="dxa"/>
            </w:tcMar>
            <w:vAlign w:val="center"/>
          </w:tcPr>
          <w:p w14:paraId="67482DE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12.918829577 </w:t>
            </w:r>
          </w:p>
        </w:tc>
      </w:tr>
      <w:tr w14:paraId="1A9E7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tcMar>
              <w:left w:w="28" w:type="dxa"/>
              <w:right w:w="28" w:type="dxa"/>
            </w:tcMar>
            <w:vAlign w:val="center"/>
          </w:tcPr>
          <w:p w14:paraId="16BEA977">
            <w:pPr>
              <w:keepNext w:val="0"/>
              <w:keepLines w:val="0"/>
              <w:widowControl/>
              <w:suppressLineNumbers w:val="0"/>
              <w:jc w:val="center"/>
              <w:textAlignment w:val="center"/>
              <w:rPr>
                <w:rFonts w:hint="default" w:ascii="Times New Roman" w:hAnsi="Times New Roman" w:cs="Times New Roman"/>
                <w:b w:val="0"/>
                <w:bCs w:val="0"/>
                <w:color w:val="auto"/>
                <w:u w:val="single" w:color="auto"/>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300</w:t>
            </w:r>
          </w:p>
        </w:tc>
        <w:tc>
          <w:tcPr>
            <w:tcW w:w="1270" w:type="dxa"/>
            <w:noWrap w:val="0"/>
            <w:tcMar>
              <w:left w:w="28" w:type="dxa"/>
              <w:right w:w="28" w:type="dxa"/>
            </w:tcMar>
            <w:vAlign w:val="center"/>
          </w:tcPr>
          <w:p w14:paraId="2FDEF32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20.598899857 </w:t>
            </w:r>
          </w:p>
        </w:tc>
        <w:tc>
          <w:tcPr>
            <w:tcW w:w="1270" w:type="dxa"/>
            <w:noWrap w:val="0"/>
            <w:tcMar>
              <w:left w:w="28" w:type="dxa"/>
              <w:right w:w="28" w:type="dxa"/>
            </w:tcMar>
            <w:vAlign w:val="center"/>
          </w:tcPr>
          <w:p w14:paraId="2D9ED2E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2.078839984 </w:t>
            </w:r>
          </w:p>
        </w:tc>
        <w:tc>
          <w:tcPr>
            <w:tcW w:w="1287" w:type="dxa"/>
            <w:noWrap w:val="0"/>
            <w:tcMar>
              <w:left w:w="28" w:type="dxa"/>
              <w:right w:w="28" w:type="dxa"/>
            </w:tcMar>
            <w:vAlign w:val="center"/>
          </w:tcPr>
          <w:p w14:paraId="6576A1D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0.409677171 </w:t>
            </w:r>
          </w:p>
        </w:tc>
        <w:tc>
          <w:tcPr>
            <w:tcW w:w="1369" w:type="dxa"/>
            <w:noWrap w:val="0"/>
            <w:tcMar>
              <w:left w:w="28" w:type="dxa"/>
              <w:right w:w="28" w:type="dxa"/>
            </w:tcMar>
            <w:vAlign w:val="center"/>
          </w:tcPr>
          <w:p w14:paraId="08AFB4E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649.606905893 </w:t>
            </w:r>
          </w:p>
        </w:tc>
        <w:tc>
          <w:tcPr>
            <w:tcW w:w="1272" w:type="dxa"/>
            <w:noWrap w:val="0"/>
            <w:tcMar>
              <w:left w:w="28" w:type="dxa"/>
              <w:right w:w="28" w:type="dxa"/>
            </w:tcMar>
            <w:vAlign w:val="center"/>
          </w:tcPr>
          <w:p w14:paraId="2BB0131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65.558297750 </w:t>
            </w:r>
          </w:p>
        </w:tc>
        <w:tc>
          <w:tcPr>
            <w:tcW w:w="1346" w:type="dxa"/>
            <w:noWrap w:val="0"/>
            <w:tcMar>
              <w:left w:w="28" w:type="dxa"/>
              <w:right w:w="28" w:type="dxa"/>
            </w:tcMar>
            <w:vAlign w:val="center"/>
          </w:tcPr>
          <w:p w14:paraId="68C530B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12.919579274 </w:t>
            </w:r>
          </w:p>
        </w:tc>
      </w:tr>
      <w:tr w14:paraId="1A94A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tcMar>
              <w:left w:w="28" w:type="dxa"/>
              <w:right w:w="28" w:type="dxa"/>
            </w:tcMar>
            <w:vAlign w:val="center"/>
          </w:tcPr>
          <w:p w14:paraId="6DA30C86">
            <w:pPr>
              <w:keepNext w:val="0"/>
              <w:keepLines w:val="0"/>
              <w:widowControl/>
              <w:suppressLineNumbers w:val="0"/>
              <w:jc w:val="center"/>
              <w:textAlignment w:val="center"/>
              <w:rPr>
                <w:rFonts w:hint="default" w:ascii="Times New Roman" w:hAnsi="Times New Roman" w:cs="Times New Roman"/>
                <w:b w:val="0"/>
                <w:bCs w:val="0"/>
                <w:color w:val="auto"/>
                <w:u w:val="single" w:color="auto"/>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500</w:t>
            </w:r>
          </w:p>
        </w:tc>
        <w:tc>
          <w:tcPr>
            <w:tcW w:w="1270" w:type="dxa"/>
            <w:noWrap w:val="0"/>
            <w:tcMar>
              <w:left w:w="28" w:type="dxa"/>
              <w:right w:w="28" w:type="dxa"/>
            </w:tcMar>
            <w:vAlign w:val="center"/>
          </w:tcPr>
          <w:p w14:paraId="35C214F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20.683791121 </w:t>
            </w:r>
          </w:p>
        </w:tc>
        <w:tc>
          <w:tcPr>
            <w:tcW w:w="1270" w:type="dxa"/>
            <w:noWrap w:val="0"/>
            <w:tcMar>
              <w:left w:w="28" w:type="dxa"/>
              <w:right w:w="28" w:type="dxa"/>
            </w:tcMar>
            <w:vAlign w:val="center"/>
          </w:tcPr>
          <w:p w14:paraId="0261A45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2.079952749 </w:t>
            </w:r>
          </w:p>
        </w:tc>
        <w:tc>
          <w:tcPr>
            <w:tcW w:w="1287" w:type="dxa"/>
            <w:noWrap w:val="0"/>
            <w:tcMar>
              <w:left w:w="28" w:type="dxa"/>
              <w:right w:w="28" w:type="dxa"/>
            </w:tcMar>
            <w:vAlign w:val="center"/>
          </w:tcPr>
          <w:p w14:paraId="728F2E4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0.409787669 </w:t>
            </w:r>
          </w:p>
        </w:tc>
        <w:tc>
          <w:tcPr>
            <w:tcW w:w="1369" w:type="dxa"/>
            <w:noWrap w:val="0"/>
            <w:tcMar>
              <w:left w:w="28" w:type="dxa"/>
              <w:right w:w="28" w:type="dxa"/>
            </w:tcMar>
            <w:vAlign w:val="center"/>
          </w:tcPr>
          <w:p w14:paraId="76BDB7B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652.284036779 </w:t>
            </w:r>
          </w:p>
        </w:tc>
        <w:tc>
          <w:tcPr>
            <w:tcW w:w="1272" w:type="dxa"/>
            <w:noWrap w:val="0"/>
            <w:tcMar>
              <w:left w:w="28" w:type="dxa"/>
              <w:right w:w="28" w:type="dxa"/>
            </w:tcMar>
            <w:vAlign w:val="center"/>
          </w:tcPr>
          <w:p w14:paraId="1124E31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65.593389902 </w:t>
            </w:r>
          </w:p>
        </w:tc>
        <w:tc>
          <w:tcPr>
            <w:tcW w:w="1346" w:type="dxa"/>
            <w:noWrap w:val="0"/>
            <w:tcMar>
              <w:left w:w="28" w:type="dxa"/>
              <w:right w:w="28" w:type="dxa"/>
            </w:tcMar>
            <w:vAlign w:val="center"/>
          </w:tcPr>
          <w:p w14:paraId="24D9D2B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12.923063945 </w:t>
            </w:r>
          </w:p>
        </w:tc>
      </w:tr>
      <w:tr w14:paraId="04AC0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tcMar>
              <w:left w:w="28" w:type="dxa"/>
              <w:right w:w="28" w:type="dxa"/>
            </w:tcMar>
            <w:vAlign w:val="center"/>
          </w:tcPr>
          <w:p w14:paraId="266DB8B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default" w:ascii="Times New Roman" w:hAnsi="Times New Roman" w:eastAsia="宋体" w:cs="Times New Roman"/>
                <w:i w:val="0"/>
                <w:iCs w:val="0"/>
                <w:color w:val="000000"/>
                <w:kern w:val="0"/>
                <w:sz w:val="21"/>
                <w:szCs w:val="21"/>
                <w:u w:val="single" w:color="auto"/>
                <w:lang w:val="en-US" w:eastAsia="zh-CN" w:bidi="ar"/>
              </w:rPr>
              <w:t>1000</w:t>
            </w:r>
          </w:p>
        </w:tc>
        <w:tc>
          <w:tcPr>
            <w:tcW w:w="1270" w:type="dxa"/>
            <w:noWrap w:val="0"/>
            <w:tcMar>
              <w:left w:w="28" w:type="dxa"/>
              <w:right w:w="28" w:type="dxa"/>
            </w:tcMar>
            <w:vAlign w:val="center"/>
          </w:tcPr>
          <w:p w14:paraId="4C923BD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20.894990475 </w:t>
            </w:r>
          </w:p>
        </w:tc>
        <w:tc>
          <w:tcPr>
            <w:tcW w:w="1270" w:type="dxa"/>
            <w:noWrap w:val="0"/>
            <w:tcMar>
              <w:left w:w="28" w:type="dxa"/>
              <w:right w:w="28" w:type="dxa"/>
            </w:tcMar>
            <w:vAlign w:val="center"/>
          </w:tcPr>
          <w:p w14:paraId="168B0EC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2.082723418 </w:t>
            </w:r>
          </w:p>
        </w:tc>
        <w:tc>
          <w:tcPr>
            <w:tcW w:w="1287" w:type="dxa"/>
            <w:noWrap w:val="0"/>
            <w:tcMar>
              <w:left w:w="28" w:type="dxa"/>
              <w:right w:w="28" w:type="dxa"/>
            </w:tcMar>
            <w:vAlign w:val="center"/>
          </w:tcPr>
          <w:p w14:paraId="585700F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0.410063393 </w:t>
            </w:r>
          </w:p>
        </w:tc>
        <w:tc>
          <w:tcPr>
            <w:tcW w:w="1369" w:type="dxa"/>
            <w:noWrap w:val="0"/>
            <w:tcMar>
              <w:left w:w="28" w:type="dxa"/>
              <w:right w:w="28" w:type="dxa"/>
            </w:tcMar>
            <w:vAlign w:val="center"/>
          </w:tcPr>
          <w:p w14:paraId="792A13B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658.944419608 </w:t>
            </w:r>
          </w:p>
        </w:tc>
        <w:tc>
          <w:tcPr>
            <w:tcW w:w="1272" w:type="dxa"/>
            <w:noWrap w:val="0"/>
            <w:tcMar>
              <w:left w:w="28" w:type="dxa"/>
              <w:right w:w="28" w:type="dxa"/>
            </w:tcMar>
            <w:vAlign w:val="center"/>
          </w:tcPr>
          <w:p w14:paraId="6716117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65.680765716 </w:t>
            </w:r>
          </w:p>
        </w:tc>
        <w:tc>
          <w:tcPr>
            <w:tcW w:w="1346" w:type="dxa"/>
            <w:noWrap w:val="0"/>
            <w:tcMar>
              <w:left w:w="28" w:type="dxa"/>
              <w:right w:w="28" w:type="dxa"/>
            </w:tcMar>
            <w:vAlign w:val="center"/>
          </w:tcPr>
          <w:p w14:paraId="065DFCF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single" w:color="auto"/>
                <w:lang w:val="en-US" w:eastAsia="zh-CN" w:bidi="ar"/>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12.931759173 </w:t>
            </w:r>
          </w:p>
        </w:tc>
      </w:tr>
    </w:tbl>
    <w:p w14:paraId="497DCBEF">
      <w:pPr>
        <w:pStyle w:val="9"/>
        <w:keepNext w:val="0"/>
        <w:keepLines w:val="0"/>
        <w:pageBreakBefore w:val="0"/>
        <w:widowControl w:val="0"/>
        <w:tabs>
          <w:tab w:val="left" w:pos="-2486"/>
        </w:tabs>
        <w:kinsoku/>
        <w:wordWrap/>
        <w:overflowPunct/>
        <w:topLinePunct w:val="0"/>
        <w:autoSpaceDE w:val="0"/>
        <w:autoSpaceDN w:val="0"/>
        <w:bidi w:val="0"/>
        <w:adjustRightInd/>
        <w:snapToGrid w:val="0"/>
        <w:spacing w:before="0" w:after="0" w:line="360" w:lineRule="auto"/>
        <w:ind w:left="0" w:right="0" w:firstLine="480" w:firstLineChars="200"/>
        <w:jc w:val="both"/>
        <w:textAlignment w:val="auto"/>
        <w:rPr>
          <w:rFonts w:hint="default" w:ascii="Times New Roman" w:hAnsi="Times New Roman" w:eastAsia="宋体" w:cs="Times New Roman"/>
          <w:color w:val="auto"/>
          <w:spacing w:val="0"/>
          <w:sz w:val="24"/>
          <w:szCs w:val="24"/>
          <w:highlight w:val="none"/>
          <w:u w:val="single" w:color="auto"/>
          <w:lang w:val="zh-CN" w:eastAsia="zh-CN"/>
        </w:rPr>
      </w:pPr>
      <w:bookmarkStart w:id="179" w:name="_Toc14871"/>
      <w:bookmarkStart w:id="180" w:name="_Toc9153"/>
      <w:r>
        <w:rPr>
          <w:rFonts w:hint="default" w:ascii="Times New Roman" w:hAnsi="Times New Roman" w:eastAsia="宋体" w:cs="Times New Roman"/>
          <w:color w:val="auto"/>
          <w:spacing w:val="0"/>
          <w:sz w:val="24"/>
          <w:szCs w:val="24"/>
          <w:highlight w:val="none"/>
          <w:u w:val="single" w:color="auto"/>
          <w:lang w:val="zh-CN" w:eastAsia="zh-CN"/>
        </w:rPr>
        <w:t>根据</w:t>
      </w:r>
      <w:r>
        <w:rPr>
          <w:rFonts w:hint="eastAsia" w:ascii="Times New Roman" w:hAnsi="Times New Roman" w:eastAsia="宋体" w:cs="Times New Roman"/>
          <w:color w:val="auto"/>
          <w:spacing w:val="0"/>
          <w:sz w:val="24"/>
          <w:szCs w:val="24"/>
          <w:highlight w:val="none"/>
          <w:u w:val="single" w:color="auto"/>
          <w:lang w:val="en-US" w:eastAsia="zh-CN"/>
        </w:rPr>
        <w:t>青山河</w:t>
      </w:r>
      <w:r>
        <w:rPr>
          <w:rFonts w:hint="default" w:ascii="Times New Roman" w:hAnsi="Times New Roman" w:eastAsia="宋体" w:cs="Times New Roman"/>
          <w:color w:val="auto"/>
          <w:spacing w:val="0"/>
          <w:sz w:val="24"/>
          <w:szCs w:val="24"/>
          <w:highlight w:val="none"/>
          <w:u w:val="single" w:color="auto"/>
          <w:lang w:val="zh-CN" w:eastAsia="zh-CN"/>
        </w:rPr>
        <w:t>在枯水期纳污能力测算，水域纳污能力为COD</w:t>
      </w:r>
      <w:r>
        <w:rPr>
          <w:rFonts w:hint="default" w:ascii="Times New Roman" w:hAnsi="Times New Roman" w:eastAsia="宋体" w:cs="Times New Roman"/>
          <w:color w:val="auto"/>
          <w:spacing w:val="0"/>
          <w:sz w:val="24"/>
          <w:szCs w:val="24"/>
          <w:highlight w:val="none"/>
          <w:u w:val="single" w:color="auto"/>
          <w:vertAlign w:val="subscript"/>
          <w:lang w:val="zh-CN" w:eastAsia="zh-CN"/>
        </w:rPr>
        <w:t>cr</w:t>
      </w:r>
      <w:r>
        <w:rPr>
          <w:rFonts w:hint="eastAsia" w:ascii="Times New Roman" w:hAnsi="Times New Roman" w:eastAsia="宋体" w:cs="Times New Roman"/>
          <w:color w:val="auto"/>
          <w:spacing w:val="0"/>
          <w:sz w:val="24"/>
          <w:szCs w:val="24"/>
          <w:highlight w:val="none"/>
          <w:u w:val="single" w:color="auto"/>
          <w:lang w:val="en-US" w:eastAsia="zh-CN"/>
        </w:rPr>
        <w:t>645.712</w:t>
      </w:r>
      <w:r>
        <w:rPr>
          <w:rFonts w:hint="default" w:ascii="Times New Roman" w:hAnsi="Times New Roman" w:eastAsia="宋体" w:cs="Times New Roman"/>
          <w:color w:val="auto"/>
          <w:spacing w:val="0"/>
          <w:sz w:val="24"/>
          <w:szCs w:val="24"/>
          <w:highlight w:val="none"/>
          <w:u w:val="single" w:color="auto"/>
          <w:lang w:val="zh-CN" w:eastAsia="zh-CN"/>
        </w:rPr>
        <w:t>t/a，NH</w:t>
      </w:r>
      <w:r>
        <w:rPr>
          <w:rFonts w:hint="default" w:ascii="Times New Roman" w:hAnsi="Times New Roman" w:eastAsia="宋体" w:cs="Times New Roman"/>
          <w:color w:val="auto"/>
          <w:spacing w:val="0"/>
          <w:sz w:val="24"/>
          <w:szCs w:val="24"/>
          <w:highlight w:val="none"/>
          <w:u w:val="single" w:color="auto"/>
          <w:vertAlign w:val="subscript"/>
          <w:lang w:val="zh-CN" w:eastAsia="zh-CN"/>
        </w:rPr>
        <w:t>3</w:t>
      </w:r>
      <w:r>
        <w:rPr>
          <w:rFonts w:hint="default" w:ascii="Times New Roman" w:hAnsi="Times New Roman" w:eastAsia="宋体" w:cs="Times New Roman"/>
          <w:color w:val="auto"/>
          <w:spacing w:val="0"/>
          <w:sz w:val="24"/>
          <w:szCs w:val="24"/>
          <w:highlight w:val="none"/>
          <w:u w:val="single" w:color="auto"/>
          <w:lang w:val="zh-CN" w:eastAsia="zh-CN"/>
        </w:rPr>
        <w:t>-N</w:t>
      </w:r>
      <w:r>
        <w:rPr>
          <w:rFonts w:hint="eastAsia" w:ascii="Times New Roman" w:hAnsi="Times New Roman" w:eastAsia="宋体" w:cs="Times New Roman"/>
          <w:color w:val="auto"/>
          <w:spacing w:val="0"/>
          <w:sz w:val="24"/>
          <w:szCs w:val="24"/>
          <w:highlight w:val="none"/>
          <w:u w:val="single" w:color="auto"/>
          <w:lang w:val="en-US" w:eastAsia="zh-CN"/>
        </w:rPr>
        <w:t>65.507</w:t>
      </w:r>
      <w:r>
        <w:rPr>
          <w:rFonts w:hint="default" w:ascii="Times New Roman" w:hAnsi="Times New Roman" w:eastAsia="宋体" w:cs="Times New Roman"/>
          <w:color w:val="auto"/>
          <w:spacing w:val="0"/>
          <w:sz w:val="24"/>
          <w:szCs w:val="24"/>
          <w:highlight w:val="none"/>
          <w:u w:val="single" w:color="auto"/>
          <w:lang w:val="zh-CN" w:eastAsia="zh-CN"/>
        </w:rPr>
        <w:t>t/a</w:t>
      </w:r>
      <w:r>
        <w:rPr>
          <w:rFonts w:hint="eastAsia" w:ascii="Times New Roman" w:hAnsi="Times New Roman" w:eastAsia="宋体" w:cs="Times New Roman"/>
          <w:color w:val="auto"/>
          <w:spacing w:val="0"/>
          <w:sz w:val="24"/>
          <w:szCs w:val="24"/>
          <w:highlight w:val="none"/>
          <w:u w:val="single" w:color="auto"/>
          <w:lang w:val="zh-CN" w:eastAsia="zh-CN"/>
        </w:rPr>
        <w:t>，</w:t>
      </w:r>
      <w:r>
        <w:rPr>
          <w:rFonts w:hint="eastAsia" w:ascii="Times New Roman" w:hAnsi="Times New Roman" w:eastAsia="宋体" w:cs="Times New Roman"/>
          <w:color w:val="auto"/>
          <w:spacing w:val="0"/>
          <w:sz w:val="24"/>
          <w:szCs w:val="24"/>
          <w:highlight w:val="none"/>
          <w:u w:val="single" w:color="auto"/>
          <w:lang w:val="en-US" w:eastAsia="zh-CN"/>
        </w:rPr>
        <w:t>总磷12.914</w:t>
      </w:r>
      <w:r>
        <w:rPr>
          <w:rFonts w:hint="default" w:ascii="Times New Roman" w:hAnsi="Times New Roman" w:eastAsia="宋体" w:cs="Times New Roman"/>
          <w:color w:val="auto"/>
          <w:spacing w:val="0"/>
          <w:sz w:val="24"/>
          <w:szCs w:val="24"/>
          <w:highlight w:val="none"/>
          <w:u w:val="single" w:color="auto"/>
          <w:lang w:val="zh-CN" w:eastAsia="zh-CN"/>
        </w:rPr>
        <w:t>t/a。本项目污染物排放量COD</w:t>
      </w:r>
      <w:r>
        <w:rPr>
          <w:rFonts w:hint="default" w:ascii="Times New Roman" w:hAnsi="Times New Roman" w:eastAsia="宋体" w:cs="Times New Roman"/>
          <w:color w:val="auto"/>
          <w:spacing w:val="0"/>
          <w:sz w:val="24"/>
          <w:szCs w:val="24"/>
          <w:highlight w:val="none"/>
          <w:u w:val="single" w:color="auto"/>
          <w:vertAlign w:val="subscript"/>
          <w:lang w:val="zh-CN" w:eastAsia="zh-CN"/>
        </w:rPr>
        <w:t>cr</w:t>
      </w:r>
      <w:r>
        <w:rPr>
          <w:rFonts w:hint="eastAsia" w:ascii="Times New Roman" w:hAnsi="Times New Roman" w:eastAsia="宋体" w:cs="Times New Roman"/>
          <w:color w:val="auto"/>
          <w:spacing w:val="0"/>
          <w:sz w:val="24"/>
          <w:szCs w:val="24"/>
          <w:highlight w:val="none"/>
          <w:u w:val="single" w:color="auto"/>
          <w:lang w:val="en-US" w:eastAsia="zh-CN"/>
        </w:rPr>
        <w:t>0.277</w:t>
      </w:r>
      <w:r>
        <w:rPr>
          <w:rFonts w:hint="default" w:ascii="Times New Roman" w:hAnsi="Times New Roman" w:eastAsia="宋体" w:cs="Times New Roman"/>
          <w:color w:val="auto"/>
          <w:spacing w:val="0"/>
          <w:sz w:val="24"/>
          <w:szCs w:val="24"/>
          <w:highlight w:val="none"/>
          <w:u w:val="single" w:color="auto"/>
          <w:lang w:val="zh-CN" w:eastAsia="zh-CN"/>
        </w:rPr>
        <w:t>t/a，NH</w:t>
      </w:r>
      <w:r>
        <w:rPr>
          <w:rFonts w:hint="default" w:ascii="Times New Roman" w:hAnsi="Times New Roman" w:eastAsia="宋体" w:cs="Times New Roman"/>
          <w:color w:val="auto"/>
          <w:spacing w:val="0"/>
          <w:sz w:val="24"/>
          <w:szCs w:val="24"/>
          <w:highlight w:val="none"/>
          <w:u w:val="single" w:color="auto"/>
          <w:vertAlign w:val="subscript"/>
          <w:lang w:val="zh-CN" w:eastAsia="zh-CN"/>
        </w:rPr>
        <w:t>3</w:t>
      </w:r>
      <w:r>
        <w:rPr>
          <w:rFonts w:hint="default" w:ascii="Times New Roman" w:hAnsi="Times New Roman" w:eastAsia="宋体" w:cs="Times New Roman"/>
          <w:color w:val="auto"/>
          <w:spacing w:val="0"/>
          <w:sz w:val="24"/>
          <w:szCs w:val="24"/>
          <w:highlight w:val="none"/>
          <w:u w:val="single" w:color="auto"/>
          <w:lang w:val="zh-CN" w:eastAsia="zh-CN"/>
        </w:rPr>
        <w:t>-N</w:t>
      </w:r>
      <w:r>
        <w:rPr>
          <w:rFonts w:hint="eastAsia" w:ascii="Times New Roman" w:hAnsi="Times New Roman" w:eastAsia="宋体" w:cs="Times New Roman"/>
          <w:color w:val="auto"/>
          <w:spacing w:val="0"/>
          <w:sz w:val="24"/>
          <w:szCs w:val="24"/>
          <w:highlight w:val="none"/>
          <w:u w:val="single" w:color="auto"/>
          <w:lang w:val="en-US" w:eastAsia="zh-CN"/>
        </w:rPr>
        <w:t>0.042</w:t>
      </w:r>
      <w:r>
        <w:rPr>
          <w:rFonts w:hint="default" w:ascii="Times New Roman" w:hAnsi="Times New Roman" w:eastAsia="宋体" w:cs="Times New Roman"/>
          <w:color w:val="auto"/>
          <w:spacing w:val="0"/>
          <w:sz w:val="24"/>
          <w:szCs w:val="24"/>
          <w:highlight w:val="none"/>
          <w:u w:val="single" w:color="auto"/>
          <w:lang w:val="zh-CN" w:eastAsia="zh-CN"/>
        </w:rPr>
        <w:t>t/a</w:t>
      </w:r>
      <w:r>
        <w:rPr>
          <w:rFonts w:hint="eastAsia" w:ascii="Times New Roman" w:hAnsi="Times New Roman" w:eastAsia="宋体" w:cs="Times New Roman"/>
          <w:color w:val="auto"/>
          <w:spacing w:val="0"/>
          <w:sz w:val="24"/>
          <w:szCs w:val="24"/>
          <w:highlight w:val="none"/>
          <w:u w:val="single" w:color="auto"/>
          <w:lang w:val="zh-CN" w:eastAsia="zh-CN"/>
        </w:rPr>
        <w:t>、</w:t>
      </w:r>
      <w:r>
        <w:rPr>
          <w:rFonts w:hint="eastAsia" w:ascii="Times New Roman" w:hAnsi="Times New Roman" w:eastAsia="宋体" w:cs="Times New Roman"/>
          <w:color w:val="auto"/>
          <w:spacing w:val="0"/>
          <w:sz w:val="24"/>
          <w:szCs w:val="24"/>
          <w:highlight w:val="none"/>
          <w:u w:val="single" w:color="auto"/>
          <w:lang w:val="en-US" w:eastAsia="zh-CN"/>
        </w:rPr>
        <w:t>总磷0.003</w:t>
      </w:r>
      <w:r>
        <w:rPr>
          <w:rFonts w:hint="default" w:ascii="Times New Roman" w:hAnsi="Times New Roman" w:eastAsia="宋体" w:cs="Times New Roman"/>
          <w:color w:val="auto"/>
          <w:spacing w:val="0"/>
          <w:sz w:val="24"/>
          <w:szCs w:val="24"/>
          <w:highlight w:val="none"/>
          <w:u w:val="single" w:color="auto"/>
          <w:lang w:val="zh-CN" w:eastAsia="zh-CN"/>
        </w:rPr>
        <w:t>t/a，小于水域最低纳污能力，满足</w:t>
      </w:r>
      <w:r>
        <w:rPr>
          <w:rFonts w:hint="eastAsia" w:ascii="Times New Roman" w:hAnsi="Times New Roman" w:eastAsia="宋体" w:cs="Times New Roman"/>
          <w:color w:val="auto"/>
          <w:spacing w:val="0"/>
          <w:sz w:val="24"/>
          <w:szCs w:val="24"/>
          <w:highlight w:val="none"/>
          <w:u w:val="single" w:color="auto"/>
          <w:lang w:val="en-US" w:eastAsia="zh-CN"/>
        </w:rPr>
        <w:t>青山河</w:t>
      </w:r>
      <w:r>
        <w:rPr>
          <w:rFonts w:hint="default" w:ascii="Times New Roman" w:hAnsi="Times New Roman" w:eastAsia="宋体" w:cs="Times New Roman"/>
          <w:color w:val="auto"/>
          <w:spacing w:val="0"/>
          <w:sz w:val="24"/>
          <w:szCs w:val="24"/>
          <w:highlight w:val="none"/>
          <w:u w:val="single" w:color="auto"/>
          <w:lang w:val="zh-CN" w:eastAsia="zh-CN"/>
        </w:rPr>
        <w:t>枯水期纳污能力要求。</w:t>
      </w:r>
    </w:p>
    <w:p w14:paraId="3826128D">
      <w:pPr>
        <w:pStyle w:val="4"/>
        <w:pageBreakBefore w:val="0"/>
        <w:widowControl w:val="0"/>
        <w:tabs>
          <w:tab w:val="left" w:pos="360"/>
          <w:tab w:val="left" w:pos="432"/>
        </w:tabs>
        <w:kinsoku/>
        <w:wordWrap/>
        <w:overflowPunct/>
        <w:topLinePunct w:val="0"/>
        <w:autoSpaceDE/>
        <w:autoSpaceDN/>
        <w:bidi w:val="0"/>
        <w:adjustRightInd/>
        <w:snapToGrid/>
        <w:spacing w:before="0" w:after="0" w:line="360" w:lineRule="auto"/>
        <w:jc w:val="both"/>
        <w:textAlignment w:val="auto"/>
        <w:rPr>
          <w:rFonts w:ascii="Times New Roman" w:hAnsi="Times New Roman" w:eastAsia="宋体" w:cs="Times New Roman"/>
          <w:lang w:eastAsia="zh-CN"/>
        </w:rPr>
      </w:pPr>
      <w:r>
        <w:rPr>
          <w:rFonts w:ascii="Times New Roman" w:hAnsi="Times New Roman" w:eastAsia="宋体" w:cs="Times New Roman"/>
          <w:lang w:eastAsia="zh-CN"/>
        </w:rPr>
        <w:t>6.2.</w:t>
      </w:r>
      <w:r>
        <w:rPr>
          <w:rFonts w:hint="eastAsia" w:ascii="Times New Roman" w:hAnsi="Times New Roman" w:eastAsia="宋体" w:cs="Times New Roman"/>
          <w:lang w:eastAsia="zh-CN"/>
        </w:rPr>
        <w:t>5</w:t>
      </w:r>
      <w:r>
        <w:rPr>
          <w:rFonts w:ascii="Times New Roman" w:hAnsi="Times New Roman" w:eastAsia="宋体" w:cs="Times New Roman"/>
          <w:lang w:eastAsia="zh-CN"/>
        </w:rPr>
        <w:t>限制排放总量计算</w:t>
      </w:r>
      <w:bookmarkEnd w:id="179"/>
      <w:bookmarkEnd w:id="180"/>
    </w:p>
    <w:p w14:paraId="5AC4B309">
      <w:pPr>
        <w:pageBreakBefore w:val="0"/>
        <w:wordWrap/>
        <w:overflowPunct/>
        <w:topLinePunct w:val="0"/>
        <w:bidi w:val="0"/>
        <w:spacing w:line="360" w:lineRule="auto"/>
        <w:ind w:firstLine="480"/>
        <w:jc w:val="both"/>
        <w:rPr>
          <w:rFonts w:ascii="宋体" w:hAnsi="宋体" w:eastAsia="宋体" w:cs="宋体"/>
          <w:sz w:val="24"/>
          <w:szCs w:val="24"/>
          <w:lang w:eastAsia="zh-CN"/>
        </w:rPr>
      </w:pPr>
      <w:r>
        <w:rPr>
          <w:rFonts w:ascii="宋体" w:hAnsi="宋体" w:eastAsia="宋体" w:cs="宋体"/>
          <w:color w:val="auto"/>
          <w:spacing w:val="-3"/>
          <w:sz w:val="24"/>
          <w:szCs w:val="24"/>
          <w:lang w:eastAsia="zh-CN"/>
        </w:rPr>
        <w:t>按照《全国水资源综合规</w:t>
      </w:r>
      <w:r>
        <w:rPr>
          <w:rFonts w:ascii="宋体" w:hAnsi="宋体" w:eastAsia="宋体" w:cs="宋体"/>
          <w:spacing w:val="-3"/>
          <w:sz w:val="24"/>
          <w:szCs w:val="24"/>
          <w:lang w:eastAsia="zh-CN"/>
        </w:rPr>
        <w:t>划技术细则》中关于拟定水功能区水质目标的方法：</w:t>
      </w:r>
      <w:r>
        <w:rPr>
          <w:rFonts w:ascii="宋体" w:hAnsi="宋体" w:eastAsia="宋体" w:cs="宋体"/>
          <w:spacing w:val="3"/>
          <w:sz w:val="24"/>
          <w:szCs w:val="24"/>
          <w:lang w:eastAsia="zh-CN"/>
        </w:rPr>
        <w:t>当现状水质未满足水功能区水质类别时，在综合考虑上</w:t>
      </w:r>
      <w:r>
        <w:rPr>
          <w:rFonts w:ascii="宋体" w:hAnsi="宋体" w:eastAsia="宋体" w:cs="宋体"/>
          <w:spacing w:val="2"/>
          <w:sz w:val="24"/>
          <w:szCs w:val="24"/>
          <w:lang w:eastAsia="zh-CN"/>
        </w:rPr>
        <w:t>述因素后，应拟定水质保</w:t>
      </w:r>
      <w:r>
        <w:rPr>
          <w:rFonts w:ascii="宋体" w:hAnsi="宋体" w:eastAsia="宋体" w:cs="宋体"/>
          <w:spacing w:val="3"/>
          <w:sz w:val="24"/>
          <w:szCs w:val="24"/>
          <w:lang w:eastAsia="zh-CN"/>
        </w:rPr>
        <w:t>护目标，水质目标可分阶段达标；当现状水质已满足水</w:t>
      </w:r>
      <w:r>
        <w:rPr>
          <w:rFonts w:ascii="宋体" w:hAnsi="宋体" w:eastAsia="宋体" w:cs="宋体"/>
          <w:spacing w:val="2"/>
          <w:sz w:val="24"/>
          <w:szCs w:val="24"/>
          <w:lang w:eastAsia="zh-CN"/>
        </w:rPr>
        <w:t>功能区水质类别时，应按</w:t>
      </w:r>
      <w:r>
        <w:rPr>
          <w:rFonts w:ascii="宋体" w:hAnsi="宋体" w:eastAsia="宋体" w:cs="宋体"/>
          <w:spacing w:val="3"/>
          <w:sz w:val="24"/>
          <w:szCs w:val="24"/>
          <w:lang w:eastAsia="zh-CN"/>
        </w:rPr>
        <w:t>照水体污染负荷控制不增加的原则，拟定水质保护目标</w:t>
      </w:r>
      <w:r>
        <w:rPr>
          <w:rFonts w:ascii="宋体" w:hAnsi="宋体" w:eastAsia="宋体" w:cs="宋体"/>
          <w:spacing w:val="2"/>
          <w:sz w:val="24"/>
          <w:szCs w:val="24"/>
          <w:lang w:eastAsia="zh-CN"/>
        </w:rPr>
        <w:t>。本报告根据水域纳污能</w:t>
      </w:r>
      <w:r>
        <w:rPr>
          <w:rFonts w:ascii="宋体" w:hAnsi="宋体" w:eastAsia="宋体" w:cs="宋体"/>
          <w:spacing w:val="3"/>
          <w:sz w:val="24"/>
          <w:szCs w:val="24"/>
          <w:lang w:eastAsia="zh-CN"/>
        </w:rPr>
        <w:t>力和现状污染物入河量调查成果，依据限制排污总量控</w:t>
      </w:r>
      <w:r>
        <w:rPr>
          <w:rFonts w:ascii="宋体" w:hAnsi="宋体" w:eastAsia="宋体" w:cs="宋体"/>
          <w:spacing w:val="2"/>
          <w:sz w:val="24"/>
          <w:szCs w:val="24"/>
          <w:lang w:eastAsia="zh-CN"/>
        </w:rPr>
        <w:t>制方法，水功能区限制纳</w:t>
      </w:r>
      <w:r>
        <w:rPr>
          <w:rFonts w:ascii="宋体" w:hAnsi="宋体" w:eastAsia="宋体" w:cs="宋体"/>
          <w:spacing w:val="-1"/>
          <w:sz w:val="24"/>
          <w:szCs w:val="24"/>
          <w:lang w:eastAsia="zh-CN"/>
        </w:rPr>
        <w:t>污量不允许超过纳污能力。</w:t>
      </w:r>
    </w:p>
    <w:p w14:paraId="1C117A89">
      <w:pPr>
        <w:keepNext w:val="0"/>
        <w:keepLines w:val="0"/>
        <w:pageBreakBefore w:val="0"/>
        <w:widowControl/>
        <w:wordWrap/>
        <w:overflowPunct/>
        <w:topLinePunct w:val="0"/>
        <w:autoSpaceDE w:val="0"/>
        <w:autoSpaceDN w:val="0"/>
        <w:bidi w:val="0"/>
        <w:adjustRightInd w:val="0"/>
        <w:snapToGrid w:val="0"/>
        <w:spacing w:line="360" w:lineRule="auto"/>
        <w:ind w:left="0"/>
        <w:jc w:val="both"/>
        <w:textAlignment w:val="baseline"/>
        <w:outlineLvl w:val="1"/>
        <w:rPr>
          <w:rFonts w:ascii="Times New Roman" w:hAnsi="Times New Roman" w:eastAsia="Times New Roman" w:cs="Times New Roman"/>
          <w:b/>
          <w:bCs/>
          <w:spacing w:val="-3"/>
          <w:sz w:val="28"/>
          <w:szCs w:val="28"/>
          <w:lang w:eastAsia="zh-CN"/>
        </w:rPr>
        <w:sectPr>
          <w:footerReference r:id="rId10" w:type="default"/>
          <w:pgSz w:w="11905" w:h="16838"/>
          <w:pgMar w:top="1440" w:right="1803" w:bottom="1440" w:left="1803" w:header="828" w:footer="794" w:gutter="0"/>
          <w:pgNumType w:fmt="decimal"/>
          <w:cols w:space="0" w:num="1"/>
          <w:rtlGutter w:val="0"/>
          <w:docGrid w:linePitch="0" w:charSpace="0"/>
        </w:sectPr>
      </w:pPr>
      <w:bookmarkStart w:id="181" w:name="_Toc9576"/>
      <w:bookmarkStart w:id="182" w:name="_Toc30876"/>
    </w:p>
    <w:p w14:paraId="3B41A77E">
      <w:pPr>
        <w:keepNext w:val="0"/>
        <w:keepLines w:val="0"/>
        <w:pageBreakBefore w:val="0"/>
        <w:widowControl/>
        <w:wordWrap/>
        <w:overflowPunct/>
        <w:topLinePunct w:val="0"/>
        <w:autoSpaceDE w:val="0"/>
        <w:autoSpaceDN w:val="0"/>
        <w:bidi w:val="0"/>
        <w:adjustRightInd w:val="0"/>
        <w:snapToGrid w:val="0"/>
        <w:spacing w:line="360" w:lineRule="auto"/>
        <w:ind w:left="0"/>
        <w:jc w:val="both"/>
        <w:textAlignment w:val="baseline"/>
        <w:outlineLvl w:val="1"/>
        <w:rPr>
          <w:rFonts w:ascii="宋体" w:hAnsi="宋体" w:eastAsia="宋体" w:cs="宋体"/>
          <w:sz w:val="28"/>
          <w:szCs w:val="28"/>
          <w:u w:val="single" w:color="auto"/>
          <w:lang w:eastAsia="zh-CN"/>
        </w:rPr>
      </w:pPr>
      <w:r>
        <w:rPr>
          <w:rFonts w:ascii="Times New Roman" w:hAnsi="Times New Roman" w:eastAsia="Times New Roman" w:cs="Times New Roman"/>
          <w:b/>
          <w:bCs/>
          <w:spacing w:val="-3"/>
          <w:sz w:val="28"/>
          <w:szCs w:val="28"/>
          <w:u w:val="single" w:color="auto"/>
          <w:lang w:eastAsia="zh-CN"/>
        </w:rPr>
        <w:t>6.3</w:t>
      </w:r>
      <w:r>
        <w:rPr>
          <w:rFonts w:ascii="宋体" w:hAnsi="宋体" w:eastAsia="宋体" w:cs="宋体"/>
          <w:b/>
          <w:bCs/>
          <w:spacing w:val="-3"/>
          <w:sz w:val="28"/>
          <w:szCs w:val="28"/>
          <w:u w:val="single" w:color="auto"/>
          <w:lang w:eastAsia="zh-CN"/>
        </w:rPr>
        <w:t>入河排污口影响范围</w:t>
      </w:r>
      <w:bookmarkEnd w:id="181"/>
      <w:bookmarkEnd w:id="182"/>
    </w:p>
    <w:p w14:paraId="3FD85B8A">
      <w:pPr>
        <w:pStyle w:val="30"/>
        <w:keepNext w:val="0"/>
        <w:keepLines w:val="0"/>
        <w:pageBreakBefore w:val="0"/>
        <w:widowControl/>
        <w:wordWrap/>
        <w:overflowPunct/>
        <w:topLinePunct w:val="0"/>
        <w:autoSpaceDE w:val="0"/>
        <w:autoSpaceDN w:val="0"/>
        <w:bidi w:val="0"/>
        <w:adjustRightInd w:val="0"/>
        <w:snapToGrid w:val="0"/>
        <w:spacing w:line="360" w:lineRule="auto"/>
        <w:ind w:left="0" w:firstLine="480"/>
        <w:jc w:val="both"/>
        <w:textAlignment w:val="baseline"/>
        <w:rPr>
          <w:rFonts w:ascii="Times New Roman" w:hAnsi="Times New Roman" w:eastAsia="宋体" w:cs="Times New Roman"/>
          <w:szCs w:val="24"/>
          <w:u w:val="single" w:color="auto"/>
          <w:lang w:eastAsia="zh-CN"/>
        </w:rPr>
      </w:pPr>
      <w:r>
        <w:rPr>
          <w:rFonts w:ascii="Times New Roman" w:hAnsi="Times New Roman" w:eastAsia="宋体" w:cs="Times New Roman"/>
          <w:szCs w:val="24"/>
          <w:u w:val="single" w:color="auto"/>
          <w:lang w:eastAsia="zh-CN"/>
        </w:rPr>
        <w:t>本项目受纳水体为</w:t>
      </w:r>
      <w:r>
        <w:rPr>
          <w:rFonts w:hint="eastAsia" w:ascii="Times New Roman" w:hAnsi="Times New Roman" w:eastAsia="宋体" w:cs="Times New Roman"/>
          <w:szCs w:val="24"/>
          <w:u w:val="single" w:color="auto"/>
          <w:lang w:val="en-US" w:eastAsia="zh-CN"/>
        </w:rPr>
        <w:t>青山河</w:t>
      </w:r>
      <w:r>
        <w:rPr>
          <w:rFonts w:ascii="Times New Roman" w:hAnsi="Times New Roman" w:eastAsia="宋体" w:cs="Times New Roman"/>
          <w:szCs w:val="24"/>
          <w:u w:val="single" w:color="auto"/>
          <w:lang w:eastAsia="zh-CN"/>
        </w:rPr>
        <w:t>，根据《</w:t>
      </w:r>
      <w:r>
        <w:rPr>
          <w:rFonts w:hint="eastAsia" w:ascii="Times New Roman" w:hAnsi="Times New Roman" w:eastAsia="宋体" w:cs="Times New Roman"/>
          <w:szCs w:val="24"/>
          <w:u w:val="single" w:color="auto"/>
          <w:lang w:val="en-US" w:eastAsia="zh-CN"/>
        </w:rPr>
        <w:t>湘潭县水功能区划</w:t>
      </w:r>
      <w:r>
        <w:rPr>
          <w:rFonts w:ascii="Times New Roman" w:hAnsi="Times New Roman" w:eastAsia="宋体" w:cs="Times New Roman"/>
          <w:szCs w:val="24"/>
          <w:u w:val="single" w:color="auto"/>
          <w:lang w:eastAsia="zh-CN"/>
        </w:rPr>
        <w:t>》，</w:t>
      </w:r>
      <w:r>
        <w:rPr>
          <w:rFonts w:hint="eastAsia" w:ascii="Times New Roman" w:hAnsi="Times New Roman" w:eastAsia="宋体" w:cs="Times New Roman"/>
          <w:szCs w:val="24"/>
          <w:u w:val="single" w:color="auto"/>
          <w:lang w:val="en-US" w:eastAsia="zh-CN"/>
        </w:rPr>
        <w:t>青山河保留区</w:t>
      </w:r>
      <w:r>
        <w:rPr>
          <w:rFonts w:hint="eastAsia" w:ascii="Times New Roman" w:hAnsi="Times New Roman" w:cs="Times New Roman"/>
          <w:b w:val="0"/>
          <w:bCs/>
          <w:color w:val="auto"/>
          <w:sz w:val="24"/>
          <w:szCs w:val="24"/>
          <w:u w:val="single" w:color="auto"/>
          <w:lang w:val="en-US" w:eastAsia="zh-CN"/>
        </w:rPr>
        <w:t>起于湘潭县石鼓镇大桥村，止于青山桥镇晓南村，全长19.5km</w:t>
      </w:r>
      <w:r>
        <w:rPr>
          <w:rFonts w:ascii="Times New Roman" w:hAnsi="Times New Roman" w:eastAsia="宋体" w:cs="Times New Roman"/>
          <w:szCs w:val="24"/>
          <w:u w:val="single" w:color="auto"/>
          <w:lang w:eastAsia="zh-CN"/>
        </w:rPr>
        <w:t>。</w:t>
      </w:r>
    </w:p>
    <w:p w14:paraId="1D5E82D3">
      <w:pPr>
        <w:pStyle w:val="30"/>
        <w:keepNext w:val="0"/>
        <w:keepLines w:val="0"/>
        <w:pageBreakBefore w:val="0"/>
        <w:widowControl/>
        <w:wordWrap/>
        <w:overflowPunct/>
        <w:topLinePunct w:val="0"/>
        <w:autoSpaceDE w:val="0"/>
        <w:autoSpaceDN w:val="0"/>
        <w:bidi w:val="0"/>
        <w:adjustRightInd w:val="0"/>
        <w:snapToGrid w:val="0"/>
        <w:spacing w:line="360" w:lineRule="auto"/>
        <w:ind w:left="0" w:firstLine="480"/>
        <w:jc w:val="both"/>
        <w:textAlignment w:val="baseline"/>
        <w:rPr>
          <w:rFonts w:hint="default" w:ascii="Times New Roman" w:hAnsi="Times New Roman" w:eastAsia="宋体" w:cs="Times New Roman"/>
          <w:sz w:val="24"/>
          <w:szCs w:val="24"/>
          <w:u w:val="single" w:color="auto"/>
          <w:lang w:val="en-US" w:eastAsia="zh-CN"/>
        </w:rPr>
      </w:pPr>
      <w:r>
        <w:rPr>
          <w:rFonts w:hint="eastAsia" w:ascii="Times New Roman" w:hAnsi="Times New Roman" w:eastAsia="宋体" w:cs="Times New Roman"/>
          <w:color w:val="auto"/>
          <w:sz w:val="24"/>
          <w:szCs w:val="24"/>
          <w:u w:val="single" w:color="auto"/>
          <w:lang w:val="en-US" w:eastAsia="zh-CN"/>
        </w:rPr>
        <w:t>本次论证范围为排污口与青山河交汇处上游200m至交汇处下游16.423km，合计16.623km。</w:t>
      </w:r>
    </w:p>
    <w:p w14:paraId="788C7BFC">
      <w:pPr>
        <w:keepNext w:val="0"/>
        <w:keepLines w:val="0"/>
        <w:pageBreakBefore w:val="0"/>
        <w:widowControl/>
        <w:wordWrap/>
        <w:topLinePunct w:val="0"/>
        <w:autoSpaceDE w:val="0"/>
        <w:autoSpaceDN w:val="0"/>
        <w:bidi w:val="0"/>
        <w:adjustRightInd w:val="0"/>
        <w:snapToGrid w:val="0"/>
        <w:spacing w:line="360" w:lineRule="auto"/>
        <w:ind w:left="0"/>
        <w:jc w:val="both"/>
        <w:textAlignment w:val="baseline"/>
        <w:outlineLvl w:val="2"/>
        <w:rPr>
          <w:rFonts w:ascii="宋体" w:hAnsi="宋体" w:eastAsia="宋体" w:cs="宋体"/>
          <w:sz w:val="24"/>
          <w:szCs w:val="24"/>
          <w:u w:val="single" w:color="auto"/>
          <w:lang w:eastAsia="zh-CN"/>
        </w:rPr>
      </w:pPr>
      <w:bookmarkStart w:id="183" w:name="_Toc28544"/>
      <w:bookmarkStart w:id="184" w:name="_Toc3401"/>
      <w:r>
        <w:rPr>
          <w:rFonts w:ascii="Times New Roman" w:hAnsi="Times New Roman" w:eastAsia="Times New Roman" w:cs="Times New Roman"/>
          <w:b/>
          <w:bCs/>
          <w:spacing w:val="-2"/>
          <w:sz w:val="24"/>
          <w:szCs w:val="24"/>
          <w:u w:val="single" w:color="auto"/>
          <w:lang w:eastAsia="zh-CN"/>
        </w:rPr>
        <w:t>6.3.1</w:t>
      </w:r>
      <w:r>
        <w:rPr>
          <w:rFonts w:ascii="宋体" w:hAnsi="宋体" w:eastAsia="宋体" w:cs="宋体"/>
          <w:b/>
          <w:bCs/>
          <w:spacing w:val="-2"/>
          <w:sz w:val="24"/>
          <w:szCs w:val="24"/>
          <w:u w:val="single" w:color="auto"/>
          <w:lang w:eastAsia="zh-CN"/>
        </w:rPr>
        <w:t>预测内容</w:t>
      </w:r>
      <w:bookmarkEnd w:id="183"/>
      <w:bookmarkEnd w:id="184"/>
    </w:p>
    <w:p w14:paraId="1A0438D1">
      <w:pPr>
        <w:keepNext w:val="0"/>
        <w:keepLines w:val="0"/>
        <w:pageBreakBefore w:val="0"/>
        <w:widowControl/>
        <w:wordWrap/>
        <w:topLinePunct w:val="0"/>
        <w:autoSpaceDE w:val="0"/>
        <w:autoSpaceDN w:val="0"/>
        <w:bidi w:val="0"/>
        <w:adjustRightInd w:val="0"/>
        <w:snapToGrid w:val="0"/>
        <w:spacing w:line="360" w:lineRule="auto"/>
        <w:ind w:left="0" w:firstLine="480" w:firstLineChars="200"/>
        <w:jc w:val="both"/>
        <w:textAlignment w:val="baseline"/>
        <w:rPr>
          <w:rFonts w:ascii="宋体" w:hAnsi="宋体" w:eastAsia="宋体" w:cs="宋体"/>
          <w:sz w:val="24"/>
          <w:szCs w:val="24"/>
          <w:u w:val="single" w:color="auto"/>
          <w:lang w:eastAsia="zh-CN"/>
        </w:rPr>
      </w:pPr>
      <w:r>
        <w:rPr>
          <w:rFonts w:ascii="Times New Roman" w:hAnsi="Times New Roman" w:eastAsia="宋体" w:cs="Times New Roman"/>
          <w:sz w:val="24"/>
          <w:szCs w:val="24"/>
          <w:u w:val="single" w:color="auto"/>
          <w:lang w:eastAsia="zh-CN"/>
        </w:rPr>
        <w:t>本项目排污预测内容为</w:t>
      </w:r>
      <w:r>
        <w:rPr>
          <w:rFonts w:hint="eastAsia" w:ascii="Times New Roman" w:hAnsi="Times New Roman" w:eastAsia="宋体" w:cs="Times New Roman"/>
          <w:sz w:val="24"/>
          <w:szCs w:val="24"/>
          <w:u w:val="single" w:color="auto"/>
          <w:lang w:val="en-US" w:eastAsia="zh-CN"/>
        </w:rPr>
        <w:t>青山河</w:t>
      </w:r>
      <w:r>
        <w:rPr>
          <w:rFonts w:ascii="Times New Roman" w:hAnsi="Times New Roman" w:eastAsia="宋体" w:cs="Times New Roman"/>
          <w:sz w:val="24"/>
          <w:szCs w:val="24"/>
          <w:u w:val="single" w:color="auto"/>
          <w:lang w:eastAsia="zh-CN"/>
        </w:rPr>
        <w:t>枯水期，项目入河排污口正常排放和事故排放情况下，对</w:t>
      </w:r>
      <w:r>
        <w:rPr>
          <w:rFonts w:hint="eastAsia" w:ascii="Times New Roman" w:hAnsi="Times New Roman" w:eastAsia="宋体" w:cs="Times New Roman"/>
          <w:sz w:val="24"/>
          <w:szCs w:val="24"/>
          <w:u w:val="single" w:color="auto"/>
          <w:lang w:val="en-US" w:eastAsia="zh-CN"/>
        </w:rPr>
        <w:t>青山河</w:t>
      </w:r>
      <w:r>
        <w:rPr>
          <w:rFonts w:ascii="Times New Roman" w:hAnsi="Times New Roman" w:eastAsia="宋体" w:cs="Times New Roman"/>
          <w:sz w:val="24"/>
          <w:szCs w:val="24"/>
          <w:u w:val="single" w:color="auto"/>
          <w:lang w:eastAsia="zh-CN"/>
        </w:rPr>
        <w:t>的水质影响</w:t>
      </w:r>
      <w:r>
        <w:rPr>
          <w:rFonts w:ascii="宋体" w:hAnsi="宋体" w:eastAsia="宋体" w:cs="宋体"/>
          <w:spacing w:val="-3"/>
          <w:sz w:val="24"/>
          <w:szCs w:val="24"/>
          <w:u w:val="single" w:color="auto"/>
          <w:lang w:eastAsia="zh-CN"/>
        </w:rPr>
        <w:t>。</w:t>
      </w:r>
    </w:p>
    <w:p w14:paraId="0407F4B0">
      <w:pPr>
        <w:keepNext w:val="0"/>
        <w:keepLines w:val="0"/>
        <w:pageBreakBefore w:val="0"/>
        <w:widowControl/>
        <w:wordWrap/>
        <w:topLinePunct w:val="0"/>
        <w:autoSpaceDE w:val="0"/>
        <w:autoSpaceDN w:val="0"/>
        <w:bidi w:val="0"/>
        <w:adjustRightInd w:val="0"/>
        <w:snapToGrid w:val="0"/>
        <w:spacing w:line="360" w:lineRule="auto"/>
        <w:ind w:left="0"/>
        <w:jc w:val="both"/>
        <w:textAlignment w:val="baseline"/>
        <w:outlineLvl w:val="2"/>
        <w:rPr>
          <w:rFonts w:ascii="宋体" w:hAnsi="宋体" w:eastAsia="宋体" w:cs="宋体"/>
          <w:sz w:val="24"/>
          <w:szCs w:val="24"/>
          <w:u w:val="single" w:color="auto"/>
          <w:lang w:eastAsia="zh-CN"/>
        </w:rPr>
      </w:pPr>
      <w:bookmarkStart w:id="185" w:name="_Toc23645"/>
      <w:bookmarkStart w:id="186" w:name="_Toc6022"/>
      <w:r>
        <w:rPr>
          <w:rFonts w:ascii="Times New Roman" w:hAnsi="Times New Roman" w:eastAsia="Times New Roman" w:cs="Times New Roman"/>
          <w:b/>
          <w:bCs/>
          <w:spacing w:val="-2"/>
          <w:sz w:val="24"/>
          <w:szCs w:val="24"/>
          <w:u w:val="single" w:color="auto"/>
          <w:lang w:eastAsia="zh-CN"/>
        </w:rPr>
        <w:t>6.3.2</w:t>
      </w:r>
      <w:r>
        <w:rPr>
          <w:rFonts w:ascii="宋体" w:hAnsi="宋体" w:eastAsia="宋体" w:cs="宋体"/>
          <w:b/>
          <w:bCs/>
          <w:spacing w:val="-2"/>
          <w:sz w:val="24"/>
          <w:szCs w:val="24"/>
          <w:u w:val="single" w:color="auto"/>
          <w:lang w:eastAsia="zh-CN"/>
        </w:rPr>
        <w:t>预测因子</w:t>
      </w:r>
      <w:bookmarkEnd w:id="185"/>
      <w:bookmarkEnd w:id="186"/>
    </w:p>
    <w:p w14:paraId="22FE30CB">
      <w:pPr>
        <w:keepNext w:val="0"/>
        <w:keepLines w:val="0"/>
        <w:pageBreakBefore w:val="0"/>
        <w:widowControl/>
        <w:wordWrap/>
        <w:topLinePunct w:val="0"/>
        <w:autoSpaceDE w:val="0"/>
        <w:autoSpaceDN w:val="0"/>
        <w:bidi w:val="0"/>
        <w:adjustRightInd w:val="0"/>
        <w:snapToGrid w:val="0"/>
        <w:spacing w:line="360" w:lineRule="auto"/>
        <w:ind w:left="0" w:firstLine="472" w:firstLineChars="200"/>
        <w:jc w:val="both"/>
        <w:textAlignment w:val="baseline"/>
        <w:rPr>
          <w:rFonts w:ascii="宋体" w:hAnsi="宋体" w:eastAsia="宋体" w:cs="宋体"/>
          <w:sz w:val="24"/>
          <w:szCs w:val="24"/>
          <w:u w:val="single" w:color="auto"/>
          <w:lang w:eastAsia="zh-CN"/>
        </w:rPr>
      </w:pPr>
      <w:r>
        <w:rPr>
          <w:rFonts w:ascii="宋体" w:hAnsi="宋体" w:eastAsia="宋体" w:cs="宋体"/>
          <w:spacing w:val="-2"/>
          <w:sz w:val="24"/>
          <w:szCs w:val="24"/>
          <w:u w:val="single" w:color="auto"/>
          <w:lang w:eastAsia="zh-CN"/>
        </w:rPr>
        <w:t>根据项目排污特征，本次评价选取污染因子</w:t>
      </w:r>
      <w:r>
        <w:rPr>
          <w:rFonts w:ascii="Times New Roman" w:hAnsi="Times New Roman" w:eastAsia="Times New Roman" w:cs="Times New Roman"/>
          <w:spacing w:val="-2"/>
          <w:sz w:val="24"/>
          <w:szCs w:val="24"/>
          <w:u w:val="single" w:color="auto"/>
          <w:lang w:eastAsia="zh-CN"/>
        </w:rPr>
        <w:t>COD</w:t>
      </w:r>
      <w:r>
        <w:rPr>
          <w:rFonts w:ascii="宋体" w:hAnsi="宋体" w:eastAsia="宋体" w:cs="宋体"/>
          <w:spacing w:val="-2"/>
          <w:sz w:val="24"/>
          <w:szCs w:val="24"/>
          <w:u w:val="single" w:color="auto"/>
          <w:lang w:eastAsia="zh-CN"/>
        </w:rPr>
        <w:t>、氨氮</w:t>
      </w:r>
      <w:r>
        <w:rPr>
          <w:rFonts w:hint="eastAsia" w:ascii="宋体" w:hAnsi="宋体" w:eastAsia="宋体" w:cs="宋体"/>
          <w:spacing w:val="-2"/>
          <w:sz w:val="24"/>
          <w:szCs w:val="24"/>
          <w:u w:val="single" w:color="auto"/>
          <w:lang w:eastAsia="zh-CN"/>
        </w:rPr>
        <w:t>、总磷</w:t>
      </w:r>
      <w:r>
        <w:rPr>
          <w:rFonts w:ascii="宋体" w:hAnsi="宋体" w:eastAsia="宋体" w:cs="宋体"/>
          <w:spacing w:val="-2"/>
          <w:sz w:val="24"/>
          <w:szCs w:val="24"/>
          <w:u w:val="single" w:color="auto"/>
          <w:lang w:eastAsia="zh-CN"/>
        </w:rPr>
        <w:t>作为预测因子。</w:t>
      </w:r>
    </w:p>
    <w:p w14:paraId="0106B8D1">
      <w:pPr>
        <w:keepNext w:val="0"/>
        <w:keepLines w:val="0"/>
        <w:pageBreakBefore w:val="0"/>
        <w:widowControl/>
        <w:wordWrap/>
        <w:topLinePunct w:val="0"/>
        <w:autoSpaceDE w:val="0"/>
        <w:autoSpaceDN w:val="0"/>
        <w:bidi w:val="0"/>
        <w:adjustRightInd w:val="0"/>
        <w:snapToGrid w:val="0"/>
        <w:spacing w:line="360" w:lineRule="auto"/>
        <w:ind w:left="0"/>
        <w:jc w:val="both"/>
        <w:textAlignment w:val="baseline"/>
        <w:outlineLvl w:val="2"/>
        <w:rPr>
          <w:rFonts w:ascii="宋体" w:hAnsi="宋体" w:eastAsia="宋体" w:cs="宋体"/>
          <w:sz w:val="24"/>
          <w:szCs w:val="24"/>
          <w:u w:val="single" w:color="auto"/>
          <w:lang w:eastAsia="zh-CN"/>
        </w:rPr>
      </w:pPr>
      <w:bookmarkStart w:id="187" w:name="_Toc25922"/>
      <w:bookmarkStart w:id="188" w:name="_Toc3694"/>
      <w:r>
        <w:rPr>
          <w:rFonts w:ascii="Times New Roman" w:hAnsi="Times New Roman" w:eastAsia="Times New Roman" w:cs="Times New Roman"/>
          <w:b/>
          <w:bCs/>
          <w:spacing w:val="-2"/>
          <w:sz w:val="24"/>
          <w:szCs w:val="24"/>
          <w:u w:val="single" w:color="auto"/>
          <w:lang w:eastAsia="zh-CN"/>
        </w:rPr>
        <w:t>6.3.3</w:t>
      </w:r>
      <w:r>
        <w:rPr>
          <w:rFonts w:ascii="宋体" w:hAnsi="宋体" w:eastAsia="宋体" w:cs="宋体"/>
          <w:b/>
          <w:bCs/>
          <w:spacing w:val="-2"/>
          <w:sz w:val="24"/>
          <w:szCs w:val="24"/>
          <w:u w:val="single" w:color="auto"/>
          <w:lang w:eastAsia="zh-CN"/>
        </w:rPr>
        <w:t>预测模型</w:t>
      </w:r>
      <w:bookmarkEnd w:id="187"/>
      <w:bookmarkEnd w:id="188"/>
    </w:p>
    <w:p w14:paraId="0E08CDD8">
      <w:pPr>
        <w:keepNext w:val="0"/>
        <w:keepLines w:val="0"/>
        <w:pageBreakBefore w:val="0"/>
        <w:widowControl/>
        <w:wordWrap/>
        <w:topLinePunct w:val="0"/>
        <w:autoSpaceDE w:val="0"/>
        <w:autoSpaceDN w:val="0"/>
        <w:bidi w:val="0"/>
        <w:adjustRightInd w:val="0"/>
        <w:snapToGrid w:val="0"/>
        <w:spacing w:line="360" w:lineRule="auto"/>
        <w:ind w:left="0" w:firstLine="472" w:firstLineChars="200"/>
        <w:jc w:val="both"/>
        <w:textAlignment w:val="baseline"/>
        <w:rPr>
          <w:rFonts w:hint="default" w:ascii="宋体" w:hAnsi="宋体" w:eastAsia="宋体" w:cs="宋体"/>
          <w:spacing w:val="-2"/>
          <w:sz w:val="24"/>
          <w:szCs w:val="24"/>
          <w:u w:val="single" w:color="auto"/>
          <w:lang w:val="en-US" w:eastAsia="zh-CN"/>
        </w:rPr>
      </w:pPr>
      <w:r>
        <w:rPr>
          <w:rFonts w:hint="default" w:ascii="Times New Roman" w:hAnsi="Times New Roman" w:eastAsia="宋体" w:cs="Times New Roman"/>
          <w:spacing w:val="-2"/>
          <w:sz w:val="24"/>
          <w:szCs w:val="24"/>
          <w:u w:val="single" w:color="auto"/>
          <w:lang w:val="en-US" w:eastAsia="zh-CN"/>
        </w:rPr>
        <w:t>根据《环境影响评价技术导则-地表水环境》（HJ2.3-2018），采用零维数学模型预测污染物进入青山河的初始浓度，采用纵向一维数学模型中的解析方法——连续稳定排放模型对废水污染物进入青山河后的衰减情况进行预测。</w:t>
      </w:r>
    </w:p>
    <w:p w14:paraId="4C912655">
      <w:pPr>
        <w:keepNext w:val="0"/>
        <w:keepLines w:val="0"/>
        <w:pageBreakBefore w:val="0"/>
        <w:wordWrap/>
        <w:overflowPunct/>
        <w:topLinePunct w:val="0"/>
        <w:bidi w:val="0"/>
        <w:spacing w:line="360" w:lineRule="auto"/>
        <w:outlineLvl w:val="2"/>
        <w:rPr>
          <w:rFonts w:ascii="宋体" w:hAnsi="宋体" w:eastAsia="宋体" w:cs="宋体"/>
          <w:color w:val="auto"/>
          <w:sz w:val="24"/>
          <w:szCs w:val="24"/>
          <w:u w:val="single" w:color="auto"/>
          <w:lang w:eastAsia="zh-CN"/>
        </w:rPr>
      </w:pPr>
      <w:bookmarkStart w:id="189" w:name="_Toc16386"/>
      <w:bookmarkStart w:id="190" w:name="_Toc6490"/>
      <w:r>
        <w:rPr>
          <w:rFonts w:ascii="Times New Roman" w:hAnsi="Times New Roman" w:eastAsia="Times New Roman" w:cs="Times New Roman"/>
          <w:b/>
          <w:bCs/>
          <w:color w:val="auto"/>
          <w:spacing w:val="-2"/>
          <w:sz w:val="24"/>
          <w:szCs w:val="24"/>
          <w:u w:val="single" w:color="auto"/>
          <w:lang w:eastAsia="zh-CN"/>
        </w:rPr>
        <w:t>6.3.4</w:t>
      </w:r>
      <w:r>
        <w:rPr>
          <w:rFonts w:ascii="宋体" w:hAnsi="宋体" w:eastAsia="宋体" w:cs="宋体"/>
          <w:b/>
          <w:bCs/>
          <w:color w:val="auto"/>
          <w:spacing w:val="-2"/>
          <w:sz w:val="24"/>
          <w:szCs w:val="24"/>
          <w:u w:val="single" w:color="auto"/>
          <w:lang w:eastAsia="zh-CN"/>
        </w:rPr>
        <w:t>预测参数</w:t>
      </w:r>
      <w:bookmarkEnd w:id="189"/>
      <w:bookmarkEnd w:id="190"/>
    </w:p>
    <w:p w14:paraId="7CFC2D9D">
      <w:pPr>
        <w:keepNext w:val="0"/>
        <w:keepLines w:val="0"/>
        <w:pageBreakBefore w:val="0"/>
        <w:widowControl w:val="0"/>
        <w:numPr>
          <w:ilvl w:val="0"/>
          <w:numId w:val="0"/>
        </w:numPr>
        <w:kinsoku/>
        <w:wordWrap/>
        <w:overflowPunct/>
        <w:topLinePunct w:val="0"/>
        <w:autoSpaceDE w:val="0"/>
        <w:autoSpaceDN w:val="0"/>
        <w:bidi w:val="0"/>
        <w:adjustRightInd/>
        <w:snapToGrid/>
        <w:spacing w:afterAutospacing="0" w:line="360" w:lineRule="auto"/>
        <w:ind w:leftChars="0" w:right="0" w:rightChars="0" w:firstLine="480" w:firstLineChars="200"/>
        <w:jc w:val="both"/>
        <w:textAlignment w:val="auto"/>
        <w:outlineLvl w:val="9"/>
        <w:rPr>
          <w:rFonts w:hint="default" w:ascii="Times New Roman" w:hAnsi="Times New Roman" w:eastAsia="宋体" w:cs="Times New Roman"/>
          <w:color w:val="auto"/>
          <w:sz w:val="24"/>
          <w:u w:val="single" w:color="auto"/>
          <w:lang w:val="en-US" w:eastAsia="zh-CN"/>
        </w:rPr>
      </w:pPr>
      <w:r>
        <w:rPr>
          <w:rFonts w:hint="eastAsia" w:ascii="Times New Roman" w:hAnsi="Times New Roman" w:eastAsia="宋体" w:cs="Times New Roman"/>
          <w:color w:val="auto"/>
          <w:spacing w:val="0"/>
          <w:sz w:val="24"/>
          <w:szCs w:val="24"/>
          <w:highlight w:val="none"/>
          <w:u w:val="single" w:color="auto"/>
          <w:lang w:val="en-US" w:eastAsia="zh-CN"/>
        </w:rPr>
        <w:t>本次青山河水文参数来源于《湘潭县青山桥镇污水处理工程建设项目环境影响报告表》及现场实测</w:t>
      </w:r>
      <w:r>
        <w:rPr>
          <w:rFonts w:hint="eastAsia" w:ascii="Times New Roman" w:hAnsi="Times New Roman" w:eastAsia="宋体" w:cs="Times New Roman"/>
          <w:color w:val="auto"/>
          <w:sz w:val="24"/>
          <w:u w:val="single" w:color="auto"/>
          <w:lang w:val="en-US" w:eastAsia="zh-CN"/>
        </w:rPr>
        <w:t>，详见下表</w:t>
      </w:r>
      <w:r>
        <w:rPr>
          <w:rFonts w:hint="default" w:ascii="Times New Roman" w:hAnsi="Times New Roman" w:eastAsia="宋体" w:cs="Times New Roman"/>
          <w:color w:val="auto"/>
          <w:sz w:val="24"/>
          <w:u w:val="single" w:color="auto"/>
          <w:lang w:val="en-US" w:eastAsia="zh-CN"/>
        </w:rPr>
        <w:t>。</w:t>
      </w:r>
    </w:p>
    <w:p w14:paraId="7129F576">
      <w:pPr>
        <w:spacing w:line="240" w:lineRule="auto"/>
        <w:jc w:val="center"/>
        <w:rPr>
          <w:rFonts w:hint="default" w:ascii="Times New Roman" w:hAnsi="Times New Roman" w:eastAsia="宋体" w:cs="Times New Roman"/>
          <w:b/>
          <w:bCs/>
          <w:i w:val="0"/>
          <w:iCs w:val="0"/>
          <w:color w:val="auto"/>
          <w:sz w:val="21"/>
          <w:szCs w:val="21"/>
          <w:u w:val="single" w:color="auto"/>
          <w:lang w:val="en-US" w:eastAsia="zh-CN"/>
        </w:rPr>
      </w:pPr>
      <w:r>
        <w:rPr>
          <w:rFonts w:hint="default" w:ascii="Times New Roman" w:hAnsi="Times New Roman" w:eastAsia="宋体" w:cs="Times New Roman"/>
          <w:b/>
          <w:bCs/>
          <w:i w:val="0"/>
          <w:iCs w:val="0"/>
          <w:color w:val="auto"/>
          <w:sz w:val="21"/>
          <w:szCs w:val="21"/>
          <w:u w:val="single" w:color="auto"/>
          <w:lang w:val="en-US" w:eastAsia="zh-CN"/>
        </w:rPr>
        <w:t>表</w:t>
      </w:r>
      <w:r>
        <w:rPr>
          <w:rFonts w:hint="eastAsia" w:ascii="Times New Roman" w:hAnsi="Times New Roman" w:eastAsia="宋体" w:cs="Times New Roman"/>
          <w:b/>
          <w:bCs/>
          <w:i w:val="0"/>
          <w:iCs w:val="0"/>
          <w:color w:val="auto"/>
          <w:sz w:val="21"/>
          <w:szCs w:val="21"/>
          <w:u w:val="single" w:color="auto"/>
          <w:lang w:val="en-US" w:eastAsia="zh-CN"/>
        </w:rPr>
        <w:t>6</w:t>
      </w:r>
      <w:r>
        <w:rPr>
          <w:rFonts w:hint="default" w:ascii="Times New Roman" w:hAnsi="Times New Roman" w:eastAsia="宋体" w:cs="Times New Roman"/>
          <w:b/>
          <w:bCs/>
          <w:i w:val="0"/>
          <w:iCs w:val="0"/>
          <w:color w:val="auto"/>
          <w:sz w:val="21"/>
          <w:szCs w:val="21"/>
          <w:u w:val="single" w:color="auto"/>
          <w:lang w:val="en-US" w:eastAsia="zh-CN"/>
        </w:rPr>
        <w:t>.</w:t>
      </w:r>
      <w:r>
        <w:rPr>
          <w:rFonts w:hint="eastAsia" w:ascii="Times New Roman" w:hAnsi="Times New Roman" w:eastAsia="宋体" w:cs="Times New Roman"/>
          <w:b/>
          <w:bCs/>
          <w:i w:val="0"/>
          <w:iCs w:val="0"/>
          <w:color w:val="auto"/>
          <w:sz w:val="21"/>
          <w:szCs w:val="21"/>
          <w:u w:val="single" w:color="auto"/>
          <w:lang w:val="en-US" w:eastAsia="zh-CN"/>
        </w:rPr>
        <w:t>3</w:t>
      </w:r>
      <w:r>
        <w:rPr>
          <w:rFonts w:hint="default" w:ascii="Times New Roman" w:hAnsi="Times New Roman" w:eastAsia="宋体" w:cs="Times New Roman"/>
          <w:b/>
          <w:bCs/>
          <w:i w:val="0"/>
          <w:iCs w:val="0"/>
          <w:color w:val="auto"/>
          <w:sz w:val="21"/>
          <w:szCs w:val="21"/>
          <w:u w:val="single" w:color="auto"/>
          <w:lang w:val="en-US" w:eastAsia="zh-CN"/>
        </w:rPr>
        <w:t>-</w:t>
      </w:r>
      <w:r>
        <w:rPr>
          <w:rFonts w:hint="eastAsia" w:ascii="Times New Roman" w:hAnsi="Times New Roman" w:eastAsia="宋体" w:cs="Times New Roman"/>
          <w:b/>
          <w:bCs/>
          <w:i w:val="0"/>
          <w:iCs w:val="0"/>
          <w:color w:val="auto"/>
          <w:sz w:val="21"/>
          <w:szCs w:val="21"/>
          <w:u w:val="single" w:color="auto"/>
          <w:lang w:val="en-US" w:eastAsia="zh-CN"/>
        </w:rPr>
        <w:t>1</w:t>
      </w:r>
      <w:r>
        <w:rPr>
          <w:rFonts w:hint="default" w:ascii="Times New Roman" w:hAnsi="Times New Roman" w:eastAsia="宋体" w:cs="Times New Roman"/>
          <w:b/>
          <w:bCs/>
          <w:i w:val="0"/>
          <w:iCs w:val="0"/>
          <w:color w:val="auto"/>
          <w:sz w:val="21"/>
          <w:szCs w:val="21"/>
          <w:u w:val="single" w:color="auto"/>
          <w:lang w:val="en-US" w:eastAsia="zh-CN"/>
        </w:rPr>
        <w:t xml:space="preserve">  水文参数</w:t>
      </w:r>
    </w:p>
    <w:tbl>
      <w:tblPr>
        <w:tblStyle w:val="2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897"/>
        <w:gridCol w:w="961"/>
        <w:gridCol w:w="762"/>
        <w:gridCol w:w="848"/>
        <w:gridCol w:w="849"/>
        <w:gridCol w:w="1103"/>
        <w:gridCol w:w="1147"/>
        <w:gridCol w:w="1150"/>
      </w:tblGrid>
      <w:tr w14:paraId="30722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468" w:type="pct"/>
            <w:noWrap w:val="0"/>
            <w:vAlign w:val="center"/>
          </w:tcPr>
          <w:p w14:paraId="424CC949">
            <w:pPr>
              <w:pStyle w:val="60"/>
              <w:spacing w:line="240" w:lineRule="auto"/>
              <w:jc w:val="center"/>
              <w:rPr>
                <w:rFonts w:hint="default" w:ascii="Times New Roman" w:hAnsi="Times New Roman" w:eastAsia="宋体" w:cs="Times New Roman"/>
                <w:b/>
                <w:bCs/>
                <w:i w:val="0"/>
                <w:iCs w:val="0"/>
                <w:color w:val="auto"/>
                <w:sz w:val="21"/>
                <w:szCs w:val="21"/>
                <w:u w:val="single" w:color="auto"/>
                <w:lang w:val="en-US" w:eastAsia="zh-CN"/>
              </w:rPr>
            </w:pPr>
            <w:r>
              <w:rPr>
                <w:rFonts w:hint="default" w:ascii="Times New Roman" w:hAnsi="Times New Roman" w:eastAsia="宋体" w:cs="Times New Roman"/>
                <w:b/>
                <w:bCs/>
                <w:i w:val="0"/>
                <w:iCs w:val="0"/>
                <w:color w:val="auto"/>
                <w:sz w:val="21"/>
                <w:szCs w:val="21"/>
                <w:u w:val="single" w:color="auto"/>
                <w:lang w:val="en-US" w:eastAsia="zh-CN"/>
              </w:rPr>
              <w:t>时段</w:t>
            </w:r>
          </w:p>
        </w:tc>
        <w:tc>
          <w:tcPr>
            <w:tcW w:w="530" w:type="pct"/>
            <w:noWrap w:val="0"/>
            <w:vAlign w:val="center"/>
          </w:tcPr>
          <w:p w14:paraId="663B0815">
            <w:pPr>
              <w:pStyle w:val="60"/>
              <w:spacing w:line="240" w:lineRule="auto"/>
              <w:jc w:val="center"/>
              <w:rPr>
                <w:rFonts w:hint="default" w:ascii="Times New Roman" w:hAnsi="Times New Roman" w:eastAsia="宋体" w:cs="Times New Roman"/>
                <w:b/>
                <w:bCs/>
                <w:i w:val="0"/>
                <w:iCs w:val="0"/>
                <w:color w:val="auto"/>
                <w:sz w:val="21"/>
                <w:szCs w:val="21"/>
                <w:u w:val="single" w:color="auto"/>
                <w:lang w:val="en-US" w:eastAsia="zh-CN"/>
              </w:rPr>
            </w:pPr>
            <w:r>
              <w:rPr>
                <w:rFonts w:hint="default" w:ascii="Times New Roman" w:hAnsi="Times New Roman" w:eastAsia="宋体" w:cs="Times New Roman"/>
                <w:b/>
                <w:bCs/>
                <w:i w:val="0"/>
                <w:iCs w:val="0"/>
                <w:color w:val="auto"/>
                <w:sz w:val="21"/>
                <w:szCs w:val="21"/>
                <w:u w:val="single" w:color="auto"/>
                <w:lang w:val="en-US" w:eastAsia="zh-CN"/>
              </w:rPr>
              <w:t>流速u</w:t>
            </w:r>
          </w:p>
          <w:p w14:paraId="6B957C0F">
            <w:pPr>
              <w:pStyle w:val="60"/>
              <w:spacing w:line="240" w:lineRule="auto"/>
              <w:jc w:val="center"/>
              <w:rPr>
                <w:rFonts w:hint="default" w:ascii="Times New Roman" w:hAnsi="Times New Roman" w:eastAsia="宋体" w:cs="Times New Roman"/>
                <w:b/>
                <w:bCs/>
                <w:i w:val="0"/>
                <w:iCs w:val="0"/>
                <w:color w:val="auto"/>
                <w:sz w:val="21"/>
                <w:szCs w:val="21"/>
                <w:u w:val="single" w:color="auto"/>
                <w:lang w:val="en-US" w:eastAsia="zh-CN"/>
              </w:rPr>
            </w:pPr>
            <w:r>
              <w:rPr>
                <w:rFonts w:hint="default" w:ascii="Times New Roman" w:hAnsi="Times New Roman" w:eastAsia="宋体" w:cs="Times New Roman"/>
                <w:b/>
                <w:bCs/>
                <w:i w:val="0"/>
                <w:iCs w:val="0"/>
                <w:color w:val="auto"/>
                <w:sz w:val="21"/>
                <w:szCs w:val="21"/>
                <w:u w:val="single" w:color="auto"/>
                <w:lang w:val="en-US" w:eastAsia="zh-CN"/>
              </w:rPr>
              <w:t>(m/s)</w:t>
            </w:r>
          </w:p>
        </w:tc>
        <w:tc>
          <w:tcPr>
            <w:tcW w:w="568" w:type="pct"/>
            <w:noWrap w:val="0"/>
            <w:vAlign w:val="center"/>
          </w:tcPr>
          <w:p w14:paraId="381B4CA6">
            <w:pPr>
              <w:pStyle w:val="60"/>
              <w:spacing w:line="240" w:lineRule="auto"/>
              <w:jc w:val="center"/>
              <w:rPr>
                <w:rFonts w:hint="default" w:ascii="Times New Roman" w:hAnsi="Times New Roman" w:eastAsia="宋体" w:cs="Times New Roman"/>
                <w:b/>
                <w:bCs/>
                <w:i w:val="0"/>
                <w:iCs w:val="0"/>
                <w:color w:val="auto"/>
                <w:sz w:val="21"/>
                <w:szCs w:val="21"/>
                <w:u w:val="single" w:color="auto"/>
                <w:lang w:val="en-US" w:eastAsia="zh-CN"/>
              </w:rPr>
            </w:pPr>
            <w:r>
              <w:rPr>
                <w:rFonts w:hint="default" w:ascii="Times New Roman" w:hAnsi="Times New Roman" w:eastAsia="宋体" w:cs="Times New Roman"/>
                <w:b/>
                <w:bCs/>
                <w:i w:val="0"/>
                <w:iCs w:val="0"/>
                <w:color w:val="auto"/>
                <w:sz w:val="21"/>
                <w:szCs w:val="21"/>
                <w:u w:val="single" w:color="auto"/>
                <w:lang w:val="en-US" w:eastAsia="zh-CN"/>
              </w:rPr>
              <w:t>流量Qh</w:t>
            </w:r>
          </w:p>
          <w:p w14:paraId="40FF1CE0">
            <w:pPr>
              <w:pStyle w:val="60"/>
              <w:spacing w:line="240" w:lineRule="auto"/>
              <w:jc w:val="center"/>
              <w:rPr>
                <w:rFonts w:hint="default" w:ascii="Times New Roman" w:hAnsi="Times New Roman" w:eastAsia="宋体" w:cs="Times New Roman"/>
                <w:b/>
                <w:bCs/>
                <w:i w:val="0"/>
                <w:iCs w:val="0"/>
                <w:color w:val="auto"/>
                <w:sz w:val="21"/>
                <w:szCs w:val="21"/>
                <w:u w:val="single" w:color="auto"/>
                <w:lang w:val="en-US" w:eastAsia="zh-CN"/>
              </w:rPr>
            </w:pPr>
            <w:r>
              <w:rPr>
                <w:rFonts w:hint="default" w:ascii="Times New Roman" w:hAnsi="Times New Roman" w:eastAsia="宋体" w:cs="Times New Roman"/>
                <w:b/>
                <w:bCs/>
                <w:i w:val="0"/>
                <w:iCs w:val="0"/>
                <w:color w:val="auto"/>
                <w:sz w:val="21"/>
                <w:szCs w:val="21"/>
                <w:u w:val="single" w:color="auto"/>
                <w:lang w:val="en-US" w:eastAsia="zh-CN"/>
              </w:rPr>
              <w:t>(m</w:t>
            </w:r>
            <w:r>
              <w:rPr>
                <w:rFonts w:hint="default" w:ascii="Times New Roman" w:hAnsi="Times New Roman" w:eastAsia="宋体" w:cs="Times New Roman"/>
                <w:b/>
                <w:bCs/>
                <w:i w:val="0"/>
                <w:iCs w:val="0"/>
                <w:color w:val="auto"/>
                <w:sz w:val="21"/>
                <w:szCs w:val="21"/>
                <w:u w:val="single" w:color="auto"/>
                <w:vertAlign w:val="superscript"/>
                <w:lang w:val="en-US" w:eastAsia="zh-CN"/>
              </w:rPr>
              <w:t>3</w:t>
            </w:r>
            <w:r>
              <w:rPr>
                <w:rFonts w:hint="default" w:ascii="Times New Roman" w:hAnsi="Times New Roman" w:eastAsia="宋体" w:cs="Times New Roman"/>
                <w:b/>
                <w:bCs/>
                <w:i w:val="0"/>
                <w:iCs w:val="0"/>
                <w:color w:val="auto"/>
                <w:sz w:val="21"/>
                <w:szCs w:val="21"/>
                <w:u w:val="single" w:color="auto"/>
                <w:lang w:val="en-US" w:eastAsia="zh-CN"/>
              </w:rPr>
              <w:t>/s)</w:t>
            </w:r>
          </w:p>
        </w:tc>
        <w:tc>
          <w:tcPr>
            <w:tcW w:w="451" w:type="pct"/>
            <w:noWrap w:val="0"/>
            <w:vAlign w:val="center"/>
          </w:tcPr>
          <w:p w14:paraId="1AE1C117">
            <w:pPr>
              <w:pStyle w:val="60"/>
              <w:spacing w:line="240" w:lineRule="auto"/>
              <w:jc w:val="center"/>
              <w:rPr>
                <w:rFonts w:hint="default" w:ascii="Times New Roman" w:hAnsi="Times New Roman" w:eastAsia="宋体" w:cs="Times New Roman"/>
                <w:b/>
                <w:bCs/>
                <w:i w:val="0"/>
                <w:iCs w:val="0"/>
                <w:color w:val="auto"/>
                <w:sz w:val="21"/>
                <w:szCs w:val="21"/>
                <w:u w:val="single" w:color="auto"/>
                <w:lang w:val="en-US" w:eastAsia="zh-CN"/>
              </w:rPr>
            </w:pPr>
            <w:r>
              <w:rPr>
                <w:rFonts w:hint="default" w:ascii="Times New Roman" w:hAnsi="Times New Roman" w:eastAsia="宋体" w:cs="Times New Roman"/>
                <w:b/>
                <w:bCs/>
                <w:i w:val="0"/>
                <w:iCs w:val="0"/>
                <w:color w:val="auto"/>
                <w:sz w:val="21"/>
                <w:szCs w:val="21"/>
                <w:u w:val="single" w:color="auto"/>
                <w:lang w:val="en-US" w:eastAsia="zh-CN"/>
              </w:rPr>
              <w:t>河宽B</w:t>
            </w:r>
          </w:p>
          <w:p w14:paraId="29AC03DA">
            <w:pPr>
              <w:pStyle w:val="60"/>
              <w:spacing w:line="240" w:lineRule="auto"/>
              <w:jc w:val="center"/>
              <w:rPr>
                <w:rFonts w:hint="default" w:ascii="Times New Roman" w:hAnsi="Times New Roman" w:eastAsia="宋体" w:cs="Times New Roman"/>
                <w:b/>
                <w:bCs/>
                <w:i w:val="0"/>
                <w:iCs w:val="0"/>
                <w:color w:val="auto"/>
                <w:sz w:val="21"/>
                <w:szCs w:val="21"/>
                <w:u w:val="single" w:color="auto"/>
                <w:lang w:val="en-US" w:eastAsia="zh-CN"/>
              </w:rPr>
            </w:pPr>
            <w:r>
              <w:rPr>
                <w:rFonts w:hint="default" w:ascii="Times New Roman" w:hAnsi="Times New Roman" w:eastAsia="宋体" w:cs="Times New Roman"/>
                <w:b/>
                <w:bCs/>
                <w:i w:val="0"/>
                <w:iCs w:val="0"/>
                <w:color w:val="auto"/>
                <w:sz w:val="21"/>
                <w:szCs w:val="21"/>
                <w:u w:val="single" w:color="auto"/>
                <w:lang w:val="en-US" w:eastAsia="zh-CN"/>
              </w:rPr>
              <w:t>(m)</w:t>
            </w:r>
          </w:p>
        </w:tc>
        <w:tc>
          <w:tcPr>
            <w:tcW w:w="471" w:type="pct"/>
            <w:noWrap w:val="0"/>
            <w:vAlign w:val="center"/>
          </w:tcPr>
          <w:p w14:paraId="3B1D01C7">
            <w:pPr>
              <w:pStyle w:val="60"/>
              <w:spacing w:line="240" w:lineRule="auto"/>
              <w:jc w:val="center"/>
              <w:rPr>
                <w:rFonts w:hint="default" w:ascii="Times New Roman" w:hAnsi="Times New Roman" w:eastAsia="宋体" w:cs="Times New Roman"/>
                <w:b/>
                <w:bCs/>
                <w:i w:val="0"/>
                <w:iCs w:val="0"/>
                <w:color w:val="auto"/>
                <w:sz w:val="21"/>
                <w:szCs w:val="21"/>
                <w:u w:val="single" w:color="auto"/>
                <w:lang w:val="en-US" w:eastAsia="zh-CN"/>
              </w:rPr>
            </w:pPr>
            <w:r>
              <w:rPr>
                <w:rFonts w:hint="default" w:ascii="Times New Roman" w:hAnsi="Times New Roman" w:eastAsia="宋体" w:cs="Times New Roman"/>
                <w:b/>
                <w:bCs/>
                <w:i w:val="0"/>
                <w:iCs w:val="0"/>
                <w:color w:val="auto"/>
                <w:sz w:val="21"/>
                <w:szCs w:val="21"/>
                <w:u w:val="single" w:color="auto"/>
                <w:lang w:val="en-US" w:eastAsia="zh-CN"/>
              </w:rPr>
              <w:t>水力坡降I（‰）</w:t>
            </w:r>
          </w:p>
        </w:tc>
        <w:tc>
          <w:tcPr>
            <w:tcW w:w="502" w:type="pct"/>
            <w:noWrap w:val="0"/>
            <w:vAlign w:val="center"/>
          </w:tcPr>
          <w:p w14:paraId="06B7C386">
            <w:pPr>
              <w:pStyle w:val="60"/>
              <w:spacing w:line="240" w:lineRule="auto"/>
              <w:jc w:val="center"/>
              <w:rPr>
                <w:rFonts w:hint="default" w:ascii="Times New Roman" w:hAnsi="Times New Roman" w:eastAsia="宋体" w:cs="Times New Roman"/>
                <w:b/>
                <w:bCs/>
                <w:i w:val="0"/>
                <w:iCs w:val="0"/>
                <w:color w:val="auto"/>
                <w:sz w:val="21"/>
                <w:szCs w:val="21"/>
                <w:u w:val="single" w:color="auto"/>
                <w:lang w:val="en-US" w:eastAsia="zh-CN"/>
              </w:rPr>
            </w:pPr>
            <w:r>
              <w:rPr>
                <w:rFonts w:hint="default" w:ascii="Times New Roman" w:hAnsi="Times New Roman" w:eastAsia="宋体" w:cs="Times New Roman"/>
                <w:b/>
                <w:bCs/>
                <w:i w:val="0"/>
                <w:iCs w:val="0"/>
                <w:color w:val="auto"/>
                <w:sz w:val="21"/>
                <w:szCs w:val="21"/>
                <w:u w:val="single" w:color="auto"/>
                <w:lang w:val="en-US" w:eastAsia="zh-CN"/>
              </w:rPr>
              <w:t>河流水深H</w:t>
            </w:r>
          </w:p>
          <w:p w14:paraId="6DAC4E25">
            <w:pPr>
              <w:pStyle w:val="60"/>
              <w:spacing w:line="240" w:lineRule="auto"/>
              <w:jc w:val="center"/>
              <w:rPr>
                <w:rFonts w:hint="default" w:ascii="Times New Roman" w:hAnsi="Times New Roman" w:eastAsia="宋体" w:cs="Times New Roman"/>
                <w:b/>
                <w:bCs/>
                <w:i w:val="0"/>
                <w:iCs w:val="0"/>
                <w:color w:val="auto"/>
                <w:sz w:val="21"/>
                <w:szCs w:val="21"/>
                <w:u w:val="single" w:color="auto"/>
                <w:lang w:val="en-US" w:eastAsia="zh-CN"/>
              </w:rPr>
            </w:pPr>
            <w:r>
              <w:rPr>
                <w:rFonts w:hint="default" w:ascii="Times New Roman" w:hAnsi="Times New Roman" w:eastAsia="宋体" w:cs="Times New Roman"/>
                <w:b/>
                <w:bCs/>
                <w:i w:val="0"/>
                <w:iCs w:val="0"/>
                <w:color w:val="auto"/>
                <w:sz w:val="21"/>
                <w:szCs w:val="21"/>
                <w:u w:val="single" w:color="auto"/>
                <w:lang w:val="en-US" w:eastAsia="zh-CN"/>
              </w:rPr>
              <w:t>（m）</w:t>
            </w:r>
          </w:p>
        </w:tc>
        <w:tc>
          <w:tcPr>
            <w:tcW w:w="650" w:type="pct"/>
            <w:noWrap w:val="0"/>
            <w:vAlign w:val="center"/>
          </w:tcPr>
          <w:p w14:paraId="3F8AAF03">
            <w:pPr>
              <w:pStyle w:val="60"/>
              <w:spacing w:line="240" w:lineRule="auto"/>
              <w:jc w:val="center"/>
              <w:rPr>
                <w:rFonts w:hint="default" w:ascii="Times New Roman" w:hAnsi="Times New Roman" w:eastAsia="宋体" w:cs="Times New Roman"/>
                <w:b/>
                <w:bCs/>
                <w:i w:val="0"/>
                <w:iCs w:val="0"/>
                <w:color w:val="000000" w:themeColor="text1"/>
                <w:sz w:val="21"/>
                <w:szCs w:val="21"/>
                <w:u w:val="single" w:color="auto"/>
                <w:lang w:val="en-US" w:eastAsia="zh-CN"/>
                <w14:textFill>
                  <w14:solidFill>
                    <w14:schemeClr w14:val="tx1"/>
                  </w14:solidFill>
                </w14:textFill>
              </w:rPr>
            </w:pPr>
            <w:r>
              <w:rPr>
                <w:rFonts w:hint="default" w:ascii="Times New Roman" w:hAnsi="Times New Roman" w:eastAsia="宋体" w:cs="Times New Roman"/>
                <w:b/>
                <w:bCs/>
                <w:i w:val="0"/>
                <w:iCs w:val="0"/>
                <w:color w:val="000000" w:themeColor="text1"/>
                <w:sz w:val="21"/>
                <w:szCs w:val="21"/>
                <w:u w:val="single" w:color="auto"/>
                <w:lang w:val="en-US" w:eastAsia="zh-CN"/>
                <w14:textFill>
                  <w14:solidFill>
                    <w14:schemeClr w14:val="tx1"/>
                  </w14:solidFill>
                </w14:textFill>
              </w:rPr>
              <w:t>COD背</w:t>
            </w:r>
          </w:p>
          <w:p w14:paraId="543A8D39">
            <w:pPr>
              <w:pStyle w:val="60"/>
              <w:spacing w:line="240" w:lineRule="auto"/>
              <w:jc w:val="center"/>
              <w:rPr>
                <w:rFonts w:hint="default" w:ascii="Times New Roman" w:hAnsi="Times New Roman" w:eastAsia="宋体" w:cs="Times New Roman"/>
                <w:b/>
                <w:bCs/>
                <w:i w:val="0"/>
                <w:iCs w:val="0"/>
                <w:color w:val="000000" w:themeColor="text1"/>
                <w:sz w:val="21"/>
                <w:szCs w:val="21"/>
                <w:u w:val="single" w:color="auto"/>
                <w:lang w:val="en-US" w:eastAsia="zh-CN"/>
                <w14:textFill>
                  <w14:solidFill>
                    <w14:schemeClr w14:val="tx1"/>
                  </w14:solidFill>
                </w14:textFill>
              </w:rPr>
            </w:pPr>
            <w:r>
              <w:rPr>
                <w:rFonts w:hint="default" w:ascii="Times New Roman" w:hAnsi="Times New Roman" w:eastAsia="宋体" w:cs="Times New Roman"/>
                <w:b/>
                <w:bCs/>
                <w:i w:val="0"/>
                <w:iCs w:val="0"/>
                <w:color w:val="000000" w:themeColor="text1"/>
                <w:sz w:val="21"/>
                <w:szCs w:val="21"/>
                <w:u w:val="single" w:color="auto"/>
                <w:lang w:val="en-US" w:eastAsia="zh-CN"/>
                <w14:textFill>
                  <w14:solidFill>
                    <w14:schemeClr w14:val="tx1"/>
                  </w14:solidFill>
                </w14:textFill>
              </w:rPr>
              <w:t>景值Cp(mg/L)</w:t>
            </w:r>
          </w:p>
        </w:tc>
        <w:tc>
          <w:tcPr>
            <w:tcW w:w="678" w:type="pct"/>
            <w:noWrap w:val="0"/>
            <w:vAlign w:val="center"/>
          </w:tcPr>
          <w:p w14:paraId="5668DD44">
            <w:pPr>
              <w:pStyle w:val="60"/>
              <w:spacing w:line="240" w:lineRule="auto"/>
              <w:jc w:val="center"/>
              <w:rPr>
                <w:rFonts w:hint="default" w:ascii="Times New Roman" w:hAnsi="Times New Roman" w:eastAsia="宋体" w:cs="Times New Roman"/>
                <w:b/>
                <w:bCs/>
                <w:i w:val="0"/>
                <w:iCs w:val="0"/>
                <w:color w:val="000000" w:themeColor="text1"/>
                <w:sz w:val="21"/>
                <w:szCs w:val="21"/>
                <w:u w:val="single" w:color="auto"/>
                <w:lang w:val="en-US" w:eastAsia="zh-CN"/>
                <w14:textFill>
                  <w14:solidFill>
                    <w14:schemeClr w14:val="tx1"/>
                  </w14:solidFill>
                </w14:textFill>
              </w:rPr>
            </w:pPr>
            <w:r>
              <w:rPr>
                <w:rFonts w:hint="default" w:ascii="Times New Roman" w:hAnsi="Times New Roman" w:eastAsia="宋体" w:cs="Times New Roman"/>
                <w:b/>
                <w:bCs/>
                <w:i w:val="0"/>
                <w:iCs w:val="0"/>
                <w:color w:val="000000" w:themeColor="text1"/>
                <w:sz w:val="21"/>
                <w:szCs w:val="21"/>
                <w:u w:val="single" w:color="auto"/>
                <w:lang w:val="en-US" w:eastAsia="zh-CN"/>
                <w14:textFill>
                  <w14:solidFill>
                    <w14:schemeClr w14:val="tx1"/>
                  </w14:solidFill>
                </w14:textFill>
              </w:rPr>
              <w:t>NH</w:t>
            </w:r>
            <w:r>
              <w:rPr>
                <w:rFonts w:hint="default" w:ascii="Times New Roman" w:hAnsi="Times New Roman" w:eastAsia="宋体" w:cs="Times New Roman"/>
                <w:b/>
                <w:bCs/>
                <w:i w:val="0"/>
                <w:iCs w:val="0"/>
                <w:color w:val="000000" w:themeColor="text1"/>
                <w:sz w:val="21"/>
                <w:szCs w:val="21"/>
                <w:u w:val="single" w:color="auto"/>
                <w:vertAlign w:val="subscript"/>
                <w:lang w:val="en-US" w:eastAsia="zh-CN"/>
                <w14:textFill>
                  <w14:solidFill>
                    <w14:schemeClr w14:val="tx1"/>
                  </w14:solidFill>
                </w14:textFill>
              </w:rPr>
              <w:t>3</w:t>
            </w:r>
            <w:r>
              <w:rPr>
                <w:rFonts w:hint="default" w:ascii="Times New Roman" w:hAnsi="Times New Roman" w:eastAsia="宋体" w:cs="Times New Roman"/>
                <w:b/>
                <w:bCs/>
                <w:i w:val="0"/>
                <w:iCs w:val="0"/>
                <w:color w:val="000000" w:themeColor="text1"/>
                <w:sz w:val="21"/>
                <w:szCs w:val="21"/>
                <w:u w:val="single" w:color="auto"/>
                <w:lang w:val="en-US" w:eastAsia="zh-CN"/>
                <w14:textFill>
                  <w14:solidFill>
                    <w14:schemeClr w14:val="tx1"/>
                  </w14:solidFill>
                </w14:textFill>
              </w:rPr>
              <w:t>-N</w:t>
            </w:r>
          </w:p>
          <w:p w14:paraId="5299CD84">
            <w:pPr>
              <w:pStyle w:val="60"/>
              <w:spacing w:line="240" w:lineRule="auto"/>
              <w:jc w:val="center"/>
              <w:rPr>
                <w:rFonts w:hint="default" w:ascii="Times New Roman" w:hAnsi="Times New Roman" w:eastAsia="宋体" w:cs="Times New Roman"/>
                <w:b/>
                <w:bCs/>
                <w:i w:val="0"/>
                <w:iCs w:val="0"/>
                <w:color w:val="000000" w:themeColor="text1"/>
                <w:sz w:val="21"/>
                <w:szCs w:val="21"/>
                <w:u w:val="single" w:color="auto"/>
                <w:lang w:val="en-US" w:eastAsia="zh-CN"/>
                <w14:textFill>
                  <w14:solidFill>
                    <w14:schemeClr w14:val="tx1"/>
                  </w14:solidFill>
                </w14:textFill>
              </w:rPr>
            </w:pPr>
            <w:r>
              <w:rPr>
                <w:rFonts w:hint="default" w:ascii="Times New Roman" w:hAnsi="Times New Roman" w:eastAsia="宋体" w:cs="Times New Roman"/>
                <w:b/>
                <w:bCs/>
                <w:i w:val="0"/>
                <w:iCs w:val="0"/>
                <w:color w:val="000000" w:themeColor="text1"/>
                <w:sz w:val="21"/>
                <w:szCs w:val="21"/>
                <w:u w:val="single" w:color="auto"/>
                <w:lang w:val="en-US" w:eastAsia="zh-CN"/>
                <w14:textFill>
                  <w14:solidFill>
                    <w14:schemeClr w14:val="tx1"/>
                  </w14:solidFill>
                </w14:textFill>
              </w:rPr>
              <w:t>背景值Cp(mg/L)</w:t>
            </w:r>
          </w:p>
        </w:tc>
        <w:tc>
          <w:tcPr>
            <w:tcW w:w="678" w:type="pct"/>
            <w:noWrap w:val="0"/>
            <w:vAlign w:val="center"/>
          </w:tcPr>
          <w:p w14:paraId="71914A43">
            <w:pPr>
              <w:pStyle w:val="60"/>
              <w:spacing w:line="240" w:lineRule="auto"/>
              <w:jc w:val="center"/>
              <w:rPr>
                <w:rFonts w:hint="default" w:ascii="Times New Roman" w:hAnsi="Times New Roman" w:eastAsia="宋体" w:cs="Times New Roman"/>
                <w:b/>
                <w:bCs/>
                <w:i w:val="0"/>
                <w:iCs w:val="0"/>
                <w:color w:val="000000" w:themeColor="text1"/>
                <w:sz w:val="21"/>
                <w:szCs w:val="21"/>
                <w:u w:val="single" w:color="auto"/>
                <w:lang w:val="en-US" w:eastAsia="zh-CN"/>
                <w14:textFill>
                  <w14:solidFill>
                    <w14:schemeClr w14:val="tx1"/>
                  </w14:solidFill>
                </w14:textFill>
              </w:rPr>
            </w:pPr>
            <w:r>
              <w:rPr>
                <w:rFonts w:hint="default" w:ascii="Times New Roman" w:hAnsi="Times New Roman" w:eastAsia="宋体" w:cs="Times New Roman"/>
                <w:b/>
                <w:bCs/>
                <w:i w:val="0"/>
                <w:iCs w:val="0"/>
                <w:color w:val="000000" w:themeColor="text1"/>
                <w:sz w:val="21"/>
                <w:szCs w:val="21"/>
                <w:u w:val="single" w:color="auto"/>
                <w:lang w:val="en-US" w:eastAsia="zh-CN"/>
                <w14:textFill>
                  <w14:solidFill>
                    <w14:schemeClr w14:val="tx1"/>
                  </w14:solidFill>
                </w14:textFill>
              </w:rPr>
              <w:t>总磷</w:t>
            </w:r>
          </w:p>
          <w:p w14:paraId="02E1BD9E">
            <w:pPr>
              <w:pStyle w:val="60"/>
              <w:spacing w:line="240" w:lineRule="auto"/>
              <w:jc w:val="center"/>
              <w:rPr>
                <w:rFonts w:hint="default" w:ascii="Times New Roman" w:hAnsi="Times New Roman" w:eastAsia="宋体" w:cs="Times New Roman"/>
                <w:b/>
                <w:bCs/>
                <w:i w:val="0"/>
                <w:iCs w:val="0"/>
                <w:color w:val="000000" w:themeColor="text1"/>
                <w:sz w:val="21"/>
                <w:szCs w:val="21"/>
                <w:u w:val="single" w:color="auto"/>
                <w:lang w:val="en-US" w:eastAsia="zh-CN"/>
                <w14:textFill>
                  <w14:solidFill>
                    <w14:schemeClr w14:val="tx1"/>
                  </w14:solidFill>
                </w14:textFill>
              </w:rPr>
            </w:pPr>
            <w:r>
              <w:rPr>
                <w:rFonts w:hint="default" w:ascii="Times New Roman" w:hAnsi="Times New Roman" w:eastAsia="宋体" w:cs="Times New Roman"/>
                <w:b/>
                <w:bCs/>
                <w:i w:val="0"/>
                <w:iCs w:val="0"/>
                <w:color w:val="000000" w:themeColor="text1"/>
                <w:sz w:val="21"/>
                <w:szCs w:val="21"/>
                <w:u w:val="single" w:color="auto"/>
                <w:lang w:val="en-US" w:eastAsia="zh-CN"/>
                <w14:textFill>
                  <w14:solidFill>
                    <w14:schemeClr w14:val="tx1"/>
                  </w14:solidFill>
                </w14:textFill>
              </w:rPr>
              <w:t>背景值Cp(mg/L)</w:t>
            </w:r>
          </w:p>
        </w:tc>
      </w:tr>
      <w:tr w14:paraId="1A65B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68" w:type="pct"/>
            <w:noWrap w:val="0"/>
            <w:vAlign w:val="center"/>
          </w:tcPr>
          <w:p w14:paraId="2D380933">
            <w:pPr>
              <w:pStyle w:val="60"/>
              <w:spacing w:line="240" w:lineRule="auto"/>
              <w:jc w:val="center"/>
              <w:rPr>
                <w:rFonts w:hint="default" w:ascii="Times New Roman" w:hAnsi="Times New Roman" w:eastAsia="宋体" w:cs="Times New Roman"/>
                <w:i w:val="0"/>
                <w:iCs w:val="0"/>
                <w:color w:val="auto"/>
                <w:sz w:val="21"/>
                <w:szCs w:val="21"/>
                <w:u w:val="single" w:color="auto"/>
                <w:lang w:val="en-US" w:eastAsia="zh-CN"/>
              </w:rPr>
            </w:pPr>
            <w:r>
              <w:rPr>
                <w:rFonts w:hint="default" w:ascii="Times New Roman" w:hAnsi="Times New Roman" w:eastAsia="宋体" w:cs="Times New Roman"/>
                <w:i w:val="0"/>
                <w:iCs w:val="0"/>
                <w:color w:val="auto"/>
                <w:sz w:val="21"/>
                <w:szCs w:val="21"/>
                <w:u w:val="single" w:color="auto"/>
                <w:lang w:val="en-US" w:eastAsia="zh-CN"/>
              </w:rPr>
              <w:t>枯水期</w:t>
            </w:r>
          </w:p>
        </w:tc>
        <w:tc>
          <w:tcPr>
            <w:tcW w:w="530" w:type="pct"/>
            <w:noWrap w:val="0"/>
            <w:vAlign w:val="center"/>
          </w:tcPr>
          <w:p w14:paraId="36669DC1">
            <w:pPr>
              <w:pStyle w:val="60"/>
              <w:spacing w:line="240" w:lineRule="auto"/>
              <w:jc w:val="center"/>
              <w:rPr>
                <w:rFonts w:hint="default" w:ascii="Times New Roman" w:hAnsi="Times New Roman" w:eastAsia="宋体" w:cs="Times New Roman"/>
                <w:i w:val="0"/>
                <w:iCs w:val="0"/>
                <w:color w:val="auto"/>
                <w:sz w:val="21"/>
                <w:szCs w:val="21"/>
                <w:u w:val="single" w:color="auto"/>
                <w:lang w:val="en-US" w:eastAsia="zh-CN"/>
              </w:rPr>
            </w:pPr>
            <w:r>
              <w:rPr>
                <w:rFonts w:hint="default" w:ascii="Times New Roman" w:hAnsi="Times New Roman" w:eastAsia="宋体" w:cs="Times New Roman"/>
                <w:i w:val="0"/>
                <w:iCs w:val="0"/>
                <w:color w:val="auto"/>
                <w:sz w:val="21"/>
                <w:szCs w:val="21"/>
                <w:u w:val="single" w:color="auto"/>
                <w:lang w:val="en-US" w:eastAsia="zh-CN"/>
              </w:rPr>
              <w:t>0.15</w:t>
            </w:r>
          </w:p>
        </w:tc>
        <w:tc>
          <w:tcPr>
            <w:tcW w:w="568" w:type="pct"/>
            <w:noWrap w:val="0"/>
            <w:vAlign w:val="center"/>
          </w:tcPr>
          <w:p w14:paraId="57870DD5">
            <w:pPr>
              <w:pStyle w:val="60"/>
              <w:spacing w:line="240" w:lineRule="auto"/>
              <w:jc w:val="center"/>
              <w:rPr>
                <w:rFonts w:hint="default" w:ascii="Times New Roman" w:hAnsi="Times New Roman" w:eastAsia="宋体" w:cs="Times New Roman"/>
                <w:i w:val="0"/>
                <w:iCs w:val="0"/>
                <w:color w:val="auto"/>
                <w:sz w:val="21"/>
                <w:szCs w:val="21"/>
                <w:u w:val="single" w:color="auto"/>
                <w:lang w:val="en-US" w:eastAsia="zh-CN"/>
              </w:rPr>
            </w:pPr>
            <w:r>
              <w:rPr>
                <w:rFonts w:hint="default" w:ascii="Times New Roman" w:hAnsi="Times New Roman" w:eastAsia="宋体" w:cs="Times New Roman"/>
                <w:i w:val="0"/>
                <w:iCs w:val="0"/>
                <w:color w:val="auto"/>
                <w:sz w:val="21"/>
                <w:szCs w:val="21"/>
                <w:u w:val="single" w:color="auto"/>
                <w:lang w:val="en-US" w:eastAsia="zh-CN"/>
              </w:rPr>
              <w:t>2.56</w:t>
            </w:r>
          </w:p>
        </w:tc>
        <w:tc>
          <w:tcPr>
            <w:tcW w:w="451" w:type="pct"/>
            <w:noWrap w:val="0"/>
            <w:vAlign w:val="center"/>
          </w:tcPr>
          <w:p w14:paraId="1B518A4F">
            <w:pPr>
              <w:pStyle w:val="60"/>
              <w:spacing w:line="240" w:lineRule="auto"/>
              <w:jc w:val="center"/>
              <w:rPr>
                <w:rFonts w:hint="default" w:ascii="Times New Roman" w:hAnsi="Times New Roman" w:eastAsia="宋体" w:cs="Times New Roman"/>
                <w:i w:val="0"/>
                <w:iCs w:val="0"/>
                <w:color w:val="auto"/>
                <w:sz w:val="21"/>
                <w:szCs w:val="21"/>
                <w:u w:val="single" w:color="auto"/>
                <w:lang w:val="en-US" w:eastAsia="zh-CN"/>
              </w:rPr>
            </w:pPr>
            <w:r>
              <w:rPr>
                <w:rFonts w:hint="default" w:ascii="Times New Roman" w:hAnsi="Times New Roman" w:eastAsia="宋体" w:cs="Times New Roman"/>
                <w:i w:val="0"/>
                <w:iCs w:val="0"/>
                <w:color w:val="auto"/>
                <w:sz w:val="21"/>
                <w:szCs w:val="21"/>
                <w:u w:val="single" w:color="auto"/>
                <w:lang w:val="en-US" w:eastAsia="zh-CN"/>
              </w:rPr>
              <w:t>20.3</w:t>
            </w:r>
          </w:p>
        </w:tc>
        <w:tc>
          <w:tcPr>
            <w:tcW w:w="471" w:type="pct"/>
            <w:noWrap w:val="0"/>
            <w:vAlign w:val="center"/>
          </w:tcPr>
          <w:p w14:paraId="5E41A251">
            <w:pPr>
              <w:pStyle w:val="60"/>
              <w:spacing w:line="240" w:lineRule="auto"/>
              <w:jc w:val="center"/>
              <w:rPr>
                <w:rFonts w:hint="default" w:ascii="Times New Roman" w:hAnsi="Times New Roman" w:eastAsia="宋体" w:cs="Times New Roman"/>
                <w:i w:val="0"/>
                <w:iCs w:val="0"/>
                <w:color w:val="auto"/>
                <w:sz w:val="21"/>
                <w:szCs w:val="21"/>
                <w:u w:val="single" w:color="auto"/>
                <w:lang w:val="en-US" w:eastAsia="zh-CN"/>
              </w:rPr>
            </w:pPr>
            <w:r>
              <w:rPr>
                <w:rFonts w:hint="default" w:ascii="Times New Roman" w:hAnsi="Times New Roman" w:eastAsia="宋体" w:cs="Times New Roman"/>
                <w:i w:val="0"/>
                <w:iCs w:val="0"/>
                <w:color w:val="auto"/>
                <w:sz w:val="21"/>
                <w:szCs w:val="21"/>
                <w:u w:val="single" w:color="auto"/>
                <w:lang w:val="en-US" w:eastAsia="zh-CN"/>
              </w:rPr>
              <w:t>0.042</w:t>
            </w:r>
          </w:p>
        </w:tc>
        <w:tc>
          <w:tcPr>
            <w:tcW w:w="502" w:type="pct"/>
            <w:noWrap w:val="0"/>
            <w:vAlign w:val="center"/>
          </w:tcPr>
          <w:p w14:paraId="4657419B">
            <w:pPr>
              <w:pStyle w:val="60"/>
              <w:spacing w:line="240" w:lineRule="auto"/>
              <w:jc w:val="center"/>
              <w:rPr>
                <w:rFonts w:hint="default" w:ascii="Times New Roman" w:hAnsi="Times New Roman" w:eastAsia="宋体" w:cs="Times New Roman"/>
                <w:i w:val="0"/>
                <w:iCs w:val="0"/>
                <w:color w:val="auto"/>
                <w:sz w:val="21"/>
                <w:szCs w:val="21"/>
                <w:u w:val="single" w:color="auto"/>
                <w:lang w:val="en-US" w:eastAsia="zh-CN"/>
              </w:rPr>
            </w:pPr>
            <w:r>
              <w:rPr>
                <w:rFonts w:hint="default" w:ascii="Times New Roman" w:hAnsi="Times New Roman" w:eastAsia="宋体" w:cs="Times New Roman"/>
                <w:i w:val="0"/>
                <w:iCs w:val="0"/>
                <w:color w:val="auto"/>
                <w:sz w:val="21"/>
                <w:szCs w:val="21"/>
                <w:u w:val="single" w:color="auto"/>
                <w:lang w:val="en-US" w:eastAsia="zh-CN"/>
              </w:rPr>
              <w:t>0.84</w:t>
            </w:r>
          </w:p>
        </w:tc>
        <w:tc>
          <w:tcPr>
            <w:tcW w:w="650" w:type="pct"/>
            <w:noWrap w:val="0"/>
            <w:vAlign w:val="center"/>
          </w:tcPr>
          <w:p w14:paraId="6E7D2867">
            <w:pPr>
              <w:pStyle w:val="60"/>
              <w:spacing w:line="240" w:lineRule="auto"/>
              <w:jc w:val="center"/>
              <w:rPr>
                <w:rFonts w:hint="default" w:ascii="Times New Roman" w:hAnsi="Times New Roman" w:eastAsia="宋体" w:cs="Times New Roman"/>
                <w:i w:val="0"/>
                <w:iCs w:val="0"/>
                <w:color w:val="FF0000"/>
                <w:sz w:val="21"/>
                <w:szCs w:val="21"/>
                <w:u w:val="single" w:color="auto"/>
                <w:lang w:val="en-US" w:eastAsia="zh-CN"/>
              </w:rPr>
            </w:pPr>
            <w:r>
              <w:rPr>
                <w:rFonts w:hint="default" w:ascii="Times New Roman" w:hAnsi="Times New Roman" w:eastAsia="宋体" w:cs="Times New Roman"/>
                <w:i w:val="0"/>
                <w:iCs w:val="0"/>
                <w:color w:val="000000" w:themeColor="text1"/>
                <w:sz w:val="21"/>
                <w:szCs w:val="21"/>
                <w:u w:val="single" w:color="auto"/>
                <w:lang w:val="en-US" w:eastAsia="zh-CN"/>
                <w14:textFill>
                  <w14:solidFill>
                    <w14:schemeClr w14:val="tx1"/>
                  </w14:solidFill>
                </w14:textFill>
              </w:rPr>
              <w:t>12</w:t>
            </w:r>
          </w:p>
        </w:tc>
        <w:tc>
          <w:tcPr>
            <w:tcW w:w="678" w:type="pct"/>
            <w:noWrap w:val="0"/>
            <w:vAlign w:val="center"/>
          </w:tcPr>
          <w:p w14:paraId="1020B344">
            <w:pPr>
              <w:pStyle w:val="60"/>
              <w:spacing w:line="240" w:lineRule="auto"/>
              <w:jc w:val="center"/>
              <w:rPr>
                <w:rFonts w:hint="default" w:ascii="Times New Roman" w:hAnsi="Times New Roman" w:eastAsia="宋体" w:cs="Times New Roman"/>
                <w:i w:val="0"/>
                <w:iCs w:val="0"/>
                <w:color w:val="000000" w:themeColor="text1"/>
                <w:sz w:val="21"/>
                <w:szCs w:val="21"/>
                <w:u w:val="singl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single" w:color="auto"/>
                <w:lang w:val="en-US" w:eastAsia="zh-CN"/>
                <w14:textFill>
                  <w14:solidFill>
                    <w14:schemeClr w14:val="tx1"/>
                  </w14:solidFill>
                </w14:textFill>
              </w:rPr>
              <w:t>0.188</w:t>
            </w:r>
          </w:p>
        </w:tc>
        <w:tc>
          <w:tcPr>
            <w:tcW w:w="678" w:type="pct"/>
            <w:noWrap w:val="0"/>
            <w:vAlign w:val="center"/>
          </w:tcPr>
          <w:p w14:paraId="45D58CBC">
            <w:pPr>
              <w:pStyle w:val="60"/>
              <w:spacing w:line="240" w:lineRule="auto"/>
              <w:jc w:val="center"/>
              <w:rPr>
                <w:rFonts w:hint="default" w:ascii="Times New Roman" w:hAnsi="Times New Roman" w:eastAsia="宋体" w:cs="Times New Roman"/>
                <w:i w:val="0"/>
                <w:iCs w:val="0"/>
                <w:color w:val="000000" w:themeColor="text1"/>
                <w:sz w:val="21"/>
                <w:szCs w:val="21"/>
                <w:u w:val="single" w:color="auto"/>
                <w:lang w:val="en-US" w:eastAsia="zh-CN"/>
                <w14:textFill>
                  <w14:solidFill>
                    <w14:schemeClr w14:val="tx1"/>
                  </w14:solidFill>
                </w14:textFill>
              </w:rPr>
            </w:pPr>
            <w:r>
              <w:rPr>
                <w:rFonts w:hint="default" w:ascii="Times New Roman" w:hAnsi="Times New Roman" w:eastAsia="宋体" w:cs="Times New Roman"/>
                <w:i w:val="0"/>
                <w:iCs w:val="0"/>
                <w:color w:val="000000" w:themeColor="text1"/>
                <w:sz w:val="21"/>
                <w:szCs w:val="21"/>
                <w:u w:val="single" w:color="auto"/>
                <w:lang w:val="en-US" w:eastAsia="zh-CN"/>
                <w14:textFill>
                  <w14:solidFill>
                    <w14:schemeClr w14:val="tx1"/>
                  </w14:solidFill>
                </w14:textFill>
              </w:rPr>
              <w:t>0.04</w:t>
            </w:r>
          </w:p>
        </w:tc>
      </w:tr>
    </w:tbl>
    <w:p w14:paraId="3BBE4C58">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240" w:lineRule="auto"/>
        <w:ind w:right="0" w:rightChars="0"/>
        <w:jc w:val="both"/>
        <w:textAlignment w:val="auto"/>
        <w:outlineLvl w:val="9"/>
        <w:rPr>
          <w:rFonts w:hint="default" w:ascii="Times New Roman" w:hAnsi="Times New Roman" w:eastAsia="宋体" w:cs="Times New Roman"/>
          <w:b w:val="0"/>
          <w:bCs w:val="0"/>
          <w:i w:val="0"/>
          <w:iCs w:val="0"/>
          <w:color w:val="auto"/>
          <w:sz w:val="21"/>
          <w:szCs w:val="21"/>
          <w:u w:val="single" w:color="auto"/>
          <w:lang w:val="en-US" w:eastAsia="zh-CN"/>
        </w:rPr>
      </w:pPr>
      <w:r>
        <w:rPr>
          <w:rFonts w:hint="eastAsia" w:ascii="Times New Roman" w:hAnsi="Times New Roman" w:eastAsia="宋体" w:cs="Times New Roman"/>
          <w:b w:val="0"/>
          <w:bCs w:val="0"/>
          <w:i w:val="0"/>
          <w:iCs w:val="0"/>
          <w:color w:val="auto"/>
          <w:sz w:val="21"/>
          <w:szCs w:val="21"/>
          <w:u w:val="single" w:color="auto"/>
          <w:lang w:val="en-US" w:eastAsia="zh-CN"/>
        </w:rPr>
        <w:t>注：背景浓度值取浓度最大值计算</w:t>
      </w:r>
    </w:p>
    <w:p w14:paraId="7C8AF254">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left"/>
        <w:textAlignment w:val="auto"/>
        <w:outlineLvl w:val="9"/>
        <w:rPr>
          <w:rFonts w:hint="default" w:ascii="Times New Roman" w:hAnsi="Times New Roman" w:eastAsia="宋体" w:cs="Times New Roman"/>
          <w:color w:val="auto"/>
          <w:spacing w:val="0"/>
          <w:sz w:val="24"/>
          <w:szCs w:val="24"/>
          <w:highlight w:val="none"/>
          <w:u w:val="single" w:color="auto"/>
          <w:lang w:val="en-US" w:eastAsia="zh-CN"/>
        </w:rPr>
      </w:pPr>
      <w:r>
        <w:rPr>
          <w:rFonts w:hint="default" w:ascii="Times New Roman" w:hAnsi="Times New Roman" w:eastAsia="宋体" w:cs="Times New Roman"/>
          <w:color w:val="auto"/>
          <w:spacing w:val="0"/>
          <w:sz w:val="24"/>
          <w:szCs w:val="24"/>
          <w:highlight w:val="none"/>
          <w:u w:val="single" w:color="auto"/>
          <w:lang w:val="en-US" w:eastAsia="zh-CN"/>
        </w:rPr>
        <w:t>根据两点法计算，参照中国环境规划院发布的《全国地表水水环境容量核定技术复核要点》，根据</w:t>
      </w:r>
      <w:r>
        <w:rPr>
          <w:rFonts w:hint="eastAsia" w:ascii="Times New Roman" w:hAnsi="Times New Roman" w:eastAsia="宋体" w:cs="Times New Roman"/>
          <w:color w:val="auto"/>
          <w:spacing w:val="0"/>
          <w:sz w:val="24"/>
          <w:szCs w:val="24"/>
          <w:highlight w:val="none"/>
          <w:u w:val="single" w:color="auto"/>
          <w:lang w:val="en-US" w:eastAsia="zh-CN"/>
        </w:rPr>
        <w:t>青山河</w:t>
      </w:r>
      <w:r>
        <w:rPr>
          <w:rFonts w:hint="default" w:ascii="Times New Roman" w:hAnsi="Times New Roman" w:eastAsia="宋体" w:cs="Times New Roman"/>
          <w:color w:val="auto"/>
          <w:spacing w:val="0"/>
          <w:sz w:val="24"/>
          <w:szCs w:val="24"/>
          <w:highlight w:val="none"/>
          <w:u w:val="single" w:color="auto"/>
          <w:lang w:val="en-US" w:eastAsia="zh-CN"/>
        </w:rPr>
        <w:t>纳污河段水功能区划、现状水质、河宽和流量确定水质降解系数参考值， CODcr、NH</w:t>
      </w:r>
      <w:r>
        <w:rPr>
          <w:rFonts w:hint="default" w:ascii="Times New Roman" w:hAnsi="Times New Roman" w:eastAsia="宋体" w:cs="Times New Roman"/>
          <w:color w:val="auto"/>
          <w:spacing w:val="0"/>
          <w:sz w:val="24"/>
          <w:szCs w:val="24"/>
          <w:highlight w:val="none"/>
          <w:u w:val="single" w:color="auto"/>
          <w:vertAlign w:val="subscript"/>
          <w:lang w:val="en-US" w:eastAsia="zh-CN"/>
        </w:rPr>
        <w:t>3</w:t>
      </w:r>
      <w:r>
        <w:rPr>
          <w:rFonts w:hint="default" w:ascii="Times New Roman" w:hAnsi="Times New Roman" w:eastAsia="宋体" w:cs="Times New Roman"/>
          <w:color w:val="auto"/>
          <w:spacing w:val="0"/>
          <w:sz w:val="24"/>
          <w:szCs w:val="24"/>
          <w:highlight w:val="none"/>
          <w:u w:val="single" w:color="auto"/>
          <w:lang w:val="en-US" w:eastAsia="zh-CN"/>
        </w:rPr>
        <w:t>-N和总磷降解系数分别为</w:t>
      </w:r>
      <w:r>
        <w:rPr>
          <w:rFonts w:hint="eastAsia" w:ascii="Times New Roman" w:hAnsi="Times New Roman" w:eastAsia="宋体" w:cs="Times New Roman"/>
          <w:color w:val="auto"/>
          <w:spacing w:val="0"/>
          <w:sz w:val="24"/>
          <w:szCs w:val="24"/>
          <w:highlight w:val="none"/>
          <w:u w:val="single" w:color="auto"/>
          <w:lang w:val="en-US" w:eastAsia="zh-CN"/>
        </w:rPr>
        <w:t>0.18/d、0.15/d、0.07</w:t>
      </w:r>
      <w:r>
        <w:rPr>
          <w:rFonts w:hint="default" w:ascii="Times New Roman" w:hAnsi="Times New Roman" w:eastAsia="宋体" w:cs="Times New Roman"/>
          <w:color w:val="auto"/>
          <w:spacing w:val="0"/>
          <w:sz w:val="24"/>
          <w:szCs w:val="24"/>
          <w:highlight w:val="none"/>
          <w:u w:val="single" w:color="auto"/>
          <w:lang w:val="en-US" w:eastAsia="zh-CN"/>
        </w:rPr>
        <w:t>/</w:t>
      </w:r>
      <w:r>
        <w:rPr>
          <w:rFonts w:hint="eastAsia" w:ascii="Times New Roman" w:hAnsi="Times New Roman" w:eastAsia="宋体" w:cs="Times New Roman"/>
          <w:color w:val="auto"/>
          <w:spacing w:val="0"/>
          <w:sz w:val="24"/>
          <w:szCs w:val="24"/>
          <w:highlight w:val="none"/>
          <w:u w:val="single" w:color="auto"/>
          <w:lang w:val="en-US" w:eastAsia="zh-CN"/>
        </w:rPr>
        <w:t>d</w:t>
      </w:r>
      <w:r>
        <w:rPr>
          <w:rFonts w:hint="default" w:ascii="Times New Roman" w:hAnsi="Times New Roman" w:eastAsia="宋体" w:cs="Times New Roman"/>
          <w:color w:val="auto"/>
          <w:spacing w:val="0"/>
          <w:sz w:val="24"/>
          <w:szCs w:val="24"/>
          <w:highlight w:val="none"/>
          <w:u w:val="single" w:color="auto"/>
          <w:lang w:val="en-US" w:eastAsia="zh-CN"/>
        </w:rPr>
        <w:t>。</w:t>
      </w:r>
    </w:p>
    <w:p w14:paraId="73554404">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left"/>
        <w:textAlignment w:val="auto"/>
        <w:outlineLvl w:val="9"/>
        <w:rPr>
          <w:rFonts w:hint="default" w:ascii="Times New Roman" w:hAnsi="Times New Roman" w:eastAsia="宋体" w:cs="Times New Roman"/>
          <w:b/>
          <w:bCs/>
          <w:i w:val="0"/>
          <w:iCs w:val="0"/>
          <w:color w:val="auto"/>
          <w:sz w:val="21"/>
          <w:szCs w:val="21"/>
          <w:u w:val="single" w:color="auto"/>
          <w:lang w:val="en-US" w:eastAsia="zh-CN"/>
        </w:rPr>
      </w:pPr>
      <w:r>
        <w:rPr>
          <w:rFonts w:hint="default" w:ascii="Times New Roman" w:hAnsi="Times New Roman" w:eastAsia="宋体" w:cs="Times New Roman"/>
          <w:color w:val="auto"/>
          <w:sz w:val="24"/>
          <w:u w:val="single" w:color="auto"/>
          <w:lang w:val="en-US" w:eastAsia="zh-CN"/>
        </w:rPr>
        <w:t>污染物排放源强见下表，分为正常排放、风险排放两种情形。</w:t>
      </w:r>
    </w:p>
    <w:p w14:paraId="2C9ABAE3">
      <w:pPr>
        <w:spacing w:line="240" w:lineRule="auto"/>
        <w:jc w:val="center"/>
        <w:rPr>
          <w:rFonts w:hint="default" w:ascii="Times New Roman" w:hAnsi="Times New Roman" w:eastAsia="宋体" w:cs="Times New Roman"/>
          <w:b/>
          <w:bCs/>
          <w:i w:val="0"/>
          <w:iCs w:val="0"/>
          <w:color w:val="auto"/>
          <w:sz w:val="21"/>
          <w:szCs w:val="21"/>
          <w:u w:val="single" w:color="auto"/>
          <w:lang w:val="en-US" w:eastAsia="zh-CN"/>
        </w:rPr>
      </w:pPr>
      <w:r>
        <w:rPr>
          <w:rFonts w:hint="default" w:ascii="Times New Roman" w:hAnsi="Times New Roman" w:eastAsia="宋体" w:cs="Times New Roman"/>
          <w:b/>
          <w:bCs/>
          <w:i w:val="0"/>
          <w:iCs w:val="0"/>
          <w:color w:val="auto"/>
          <w:sz w:val="21"/>
          <w:szCs w:val="21"/>
          <w:u w:val="single" w:color="auto"/>
          <w:lang w:val="en-US" w:eastAsia="zh-CN"/>
        </w:rPr>
        <w:t>表</w:t>
      </w:r>
      <w:r>
        <w:rPr>
          <w:rFonts w:hint="eastAsia" w:ascii="Times New Roman" w:hAnsi="Times New Roman" w:eastAsia="宋体" w:cs="Times New Roman"/>
          <w:b/>
          <w:bCs/>
          <w:i w:val="0"/>
          <w:iCs w:val="0"/>
          <w:color w:val="auto"/>
          <w:sz w:val="21"/>
          <w:szCs w:val="21"/>
          <w:u w:val="single" w:color="auto"/>
          <w:lang w:val="en-US" w:eastAsia="zh-CN"/>
        </w:rPr>
        <w:t>6.3</w:t>
      </w:r>
      <w:r>
        <w:rPr>
          <w:rFonts w:hint="default" w:ascii="Times New Roman" w:hAnsi="Times New Roman" w:eastAsia="宋体" w:cs="Times New Roman"/>
          <w:b/>
          <w:bCs/>
          <w:i w:val="0"/>
          <w:iCs w:val="0"/>
          <w:color w:val="auto"/>
          <w:sz w:val="21"/>
          <w:szCs w:val="21"/>
          <w:u w:val="single" w:color="auto"/>
          <w:lang w:val="en-US" w:eastAsia="zh-CN"/>
        </w:rPr>
        <w:t>-</w:t>
      </w:r>
      <w:r>
        <w:rPr>
          <w:rFonts w:hint="eastAsia" w:ascii="Times New Roman" w:hAnsi="Times New Roman" w:eastAsia="宋体" w:cs="Times New Roman"/>
          <w:b/>
          <w:bCs/>
          <w:i w:val="0"/>
          <w:iCs w:val="0"/>
          <w:color w:val="auto"/>
          <w:sz w:val="21"/>
          <w:szCs w:val="21"/>
          <w:u w:val="single" w:color="auto"/>
          <w:lang w:val="en-US" w:eastAsia="zh-CN"/>
        </w:rPr>
        <w:t>2</w:t>
      </w:r>
      <w:r>
        <w:rPr>
          <w:rFonts w:hint="default" w:ascii="Times New Roman" w:hAnsi="Times New Roman" w:eastAsia="宋体" w:cs="Times New Roman"/>
          <w:b/>
          <w:bCs/>
          <w:i w:val="0"/>
          <w:iCs w:val="0"/>
          <w:color w:val="auto"/>
          <w:sz w:val="21"/>
          <w:szCs w:val="21"/>
          <w:u w:val="single" w:color="auto"/>
          <w:lang w:val="en-US" w:eastAsia="zh-CN"/>
        </w:rPr>
        <w:t xml:space="preserve"> 污染物排放源强</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395"/>
        <w:gridCol w:w="1395"/>
        <w:gridCol w:w="2738"/>
        <w:gridCol w:w="2984"/>
      </w:tblGrid>
      <w:tr w14:paraId="133162E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638" w:type="pct"/>
            <w:gridSpan w:val="2"/>
            <w:noWrap w:val="0"/>
            <w:vAlign w:val="center"/>
          </w:tcPr>
          <w:p w14:paraId="312620DE">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r>
              <w:rPr>
                <w:rFonts w:hint="default" w:ascii="Times New Roman" w:hAnsi="Times New Roman" w:eastAsia="宋体" w:cs="Times New Roman"/>
                <w:b w:val="0"/>
                <w:bCs w:val="0"/>
                <w:i w:val="0"/>
                <w:iCs w:val="0"/>
                <w:color w:val="auto"/>
                <w:sz w:val="21"/>
                <w:szCs w:val="21"/>
                <w:u w:val="single" w:color="auto"/>
                <w:lang w:val="en-US" w:eastAsia="zh-CN"/>
              </w:rPr>
              <w:t>项目</w:t>
            </w:r>
          </w:p>
        </w:tc>
        <w:tc>
          <w:tcPr>
            <w:tcW w:w="1608" w:type="pct"/>
            <w:noWrap w:val="0"/>
            <w:vAlign w:val="center"/>
          </w:tcPr>
          <w:p w14:paraId="759F5818">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r>
              <w:rPr>
                <w:rFonts w:hint="default" w:ascii="Times New Roman" w:hAnsi="Times New Roman" w:eastAsia="宋体" w:cs="Times New Roman"/>
                <w:b w:val="0"/>
                <w:bCs w:val="0"/>
                <w:i w:val="0"/>
                <w:iCs w:val="0"/>
                <w:color w:val="auto"/>
                <w:sz w:val="21"/>
                <w:szCs w:val="21"/>
                <w:u w:val="single" w:color="auto"/>
                <w:lang w:val="en-US" w:eastAsia="zh-CN"/>
              </w:rPr>
              <w:t>正常排放</w:t>
            </w:r>
          </w:p>
        </w:tc>
        <w:tc>
          <w:tcPr>
            <w:tcW w:w="1752" w:type="pct"/>
            <w:noWrap w:val="0"/>
            <w:vAlign w:val="center"/>
          </w:tcPr>
          <w:p w14:paraId="05DEDB27">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r>
              <w:rPr>
                <w:rFonts w:hint="default" w:ascii="Times New Roman" w:hAnsi="Times New Roman" w:eastAsia="宋体" w:cs="Times New Roman"/>
                <w:b w:val="0"/>
                <w:bCs w:val="0"/>
                <w:i w:val="0"/>
                <w:iCs w:val="0"/>
                <w:color w:val="auto"/>
                <w:sz w:val="21"/>
                <w:szCs w:val="21"/>
                <w:u w:val="single" w:color="auto"/>
                <w:lang w:val="en-US" w:eastAsia="zh-CN"/>
              </w:rPr>
              <w:t>非正常排放</w:t>
            </w:r>
          </w:p>
        </w:tc>
      </w:tr>
      <w:tr w14:paraId="281A9D6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1638" w:type="pct"/>
            <w:gridSpan w:val="2"/>
            <w:noWrap w:val="0"/>
            <w:vAlign w:val="center"/>
          </w:tcPr>
          <w:p w14:paraId="6C6E87A4">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r>
              <w:rPr>
                <w:rFonts w:hint="default" w:ascii="Times New Roman" w:hAnsi="Times New Roman" w:eastAsia="宋体" w:cs="Times New Roman"/>
                <w:b w:val="0"/>
                <w:bCs w:val="0"/>
                <w:i w:val="0"/>
                <w:iCs w:val="0"/>
                <w:color w:val="auto"/>
                <w:sz w:val="21"/>
                <w:szCs w:val="21"/>
                <w:u w:val="single" w:color="auto"/>
                <w:lang w:val="en-US" w:eastAsia="zh-CN"/>
              </w:rPr>
              <w:t>流量（m</w:t>
            </w:r>
            <w:r>
              <w:rPr>
                <w:rFonts w:hint="default" w:ascii="Times New Roman" w:hAnsi="Times New Roman" w:eastAsia="宋体" w:cs="Times New Roman"/>
                <w:b w:val="0"/>
                <w:bCs w:val="0"/>
                <w:i w:val="0"/>
                <w:iCs w:val="0"/>
                <w:color w:val="auto"/>
                <w:sz w:val="21"/>
                <w:szCs w:val="21"/>
                <w:u w:val="single" w:color="auto"/>
                <w:vertAlign w:val="superscript"/>
                <w:lang w:val="en-US" w:eastAsia="zh-CN"/>
              </w:rPr>
              <w:t>3</w:t>
            </w:r>
            <w:r>
              <w:rPr>
                <w:rFonts w:hint="default" w:ascii="Times New Roman" w:hAnsi="Times New Roman" w:eastAsia="宋体" w:cs="Times New Roman"/>
                <w:b w:val="0"/>
                <w:bCs w:val="0"/>
                <w:i w:val="0"/>
                <w:iCs w:val="0"/>
                <w:color w:val="auto"/>
                <w:sz w:val="21"/>
                <w:szCs w:val="21"/>
                <w:u w:val="single" w:color="auto"/>
                <w:lang w:val="en-US" w:eastAsia="zh-CN"/>
              </w:rPr>
              <w:t>/s）</w:t>
            </w:r>
          </w:p>
        </w:tc>
        <w:tc>
          <w:tcPr>
            <w:tcW w:w="2738" w:type="dxa"/>
            <w:noWrap w:val="0"/>
            <w:vAlign w:val="center"/>
          </w:tcPr>
          <w:p w14:paraId="54944D22">
            <w:pPr>
              <w:pStyle w:val="60"/>
              <w:spacing w:line="240" w:lineRule="auto"/>
              <w:jc w:val="center"/>
              <w:rPr>
                <w:rFonts w:hint="default" w:ascii="Times New Roman" w:hAnsi="Times New Roman" w:eastAsia="宋体" w:cs="Times New Roman"/>
                <w:b w:val="0"/>
                <w:bCs w:val="0"/>
                <w:i w:val="0"/>
                <w:iCs w:val="0"/>
                <w:color w:val="000000"/>
                <w:sz w:val="21"/>
                <w:szCs w:val="21"/>
                <w:u w:val="single" w:color="auto"/>
                <w:lang w:val="en-US" w:eastAsia="zh-CN"/>
              </w:rPr>
            </w:pPr>
            <w:r>
              <w:rPr>
                <w:rFonts w:hint="default" w:ascii="Times New Roman" w:hAnsi="Times New Roman" w:cs="Times New Roman"/>
                <w:i w:val="0"/>
                <w:iCs w:val="0"/>
                <w:color w:val="auto"/>
                <w:sz w:val="21"/>
                <w:szCs w:val="21"/>
                <w:u w:val="single" w:color="auto"/>
                <w:lang w:val="en-US" w:eastAsia="zh-CN"/>
              </w:rPr>
              <w:t>0.00011</w:t>
            </w:r>
          </w:p>
        </w:tc>
        <w:tc>
          <w:tcPr>
            <w:tcW w:w="2984" w:type="dxa"/>
            <w:noWrap w:val="0"/>
            <w:vAlign w:val="center"/>
          </w:tcPr>
          <w:p w14:paraId="31BF10DA">
            <w:pPr>
              <w:pStyle w:val="60"/>
              <w:spacing w:line="240" w:lineRule="auto"/>
              <w:jc w:val="center"/>
              <w:rPr>
                <w:rFonts w:hint="default" w:ascii="Times New Roman" w:hAnsi="Times New Roman" w:eastAsia="宋体" w:cs="Times New Roman"/>
                <w:b w:val="0"/>
                <w:bCs w:val="0"/>
                <w:i w:val="0"/>
                <w:iCs w:val="0"/>
                <w:color w:val="000000"/>
                <w:sz w:val="21"/>
                <w:szCs w:val="21"/>
                <w:u w:val="single" w:color="auto"/>
                <w:lang w:val="en-US" w:eastAsia="zh-CN"/>
              </w:rPr>
            </w:pPr>
            <w:r>
              <w:rPr>
                <w:rFonts w:hint="default" w:ascii="Times New Roman" w:hAnsi="Times New Roman" w:cs="Times New Roman"/>
                <w:i w:val="0"/>
                <w:iCs w:val="0"/>
                <w:color w:val="auto"/>
                <w:sz w:val="21"/>
                <w:szCs w:val="21"/>
                <w:u w:val="single" w:color="auto"/>
                <w:lang w:val="en-US" w:eastAsia="zh-CN"/>
              </w:rPr>
              <w:t>0.00011</w:t>
            </w:r>
          </w:p>
        </w:tc>
      </w:tr>
      <w:tr w14:paraId="4561081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819" w:type="pct"/>
            <w:vMerge w:val="restart"/>
            <w:noWrap w:val="0"/>
            <w:vAlign w:val="center"/>
          </w:tcPr>
          <w:p w14:paraId="4F37AA4F">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r>
              <w:rPr>
                <w:rFonts w:hint="default" w:ascii="Times New Roman" w:hAnsi="Times New Roman" w:eastAsia="宋体" w:cs="Times New Roman"/>
                <w:b w:val="0"/>
                <w:bCs w:val="0"/>
                <w:i w:val="0"/>
                <w:iCs w:val="0"/>
                <w:color w:val="auto"/>
                <w:sz w:val="21"/>
                <w:szCs w:val="21"/>
                <w:u w:val="single" w:color="auto"/>
                <w:lang w:val="en-US" w:eastAsia="zh-CN"/>
              </w:rPr>
              <w:t>浓度</w:t>
            </w:r>
          </w:p>
          <w:p w14:paraId="5A860E70">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r>
              <w:rPr>
                <w:rFonts w:hint="eastAsia" w:ascii="Times New Roman" w:hAnsi="Times New Roman" w:eastAsia="宋体" w:cs="Times New Roman"/>
                <w:b w:val="0"/>
                <w:bCs w:val="0"/>
                <w:i w:val="0"/>
                <w:iCs w:val="0"/>
                <w:color w:val="auto"/>
                <w:sz w:val="21"/>
                <w:szCs w:val="21"/>
                <w:u w:val="single" w:color="auto"/>
                <w:lang w:val="en-US" w:eastAsia="zh-CN"/>
              </w:rPr>
              <w:t>(</w:t>
            </w:r>
            <w:r>
              <w:rPr>
                <w:rFonts w:hint="default" w:ascii="Times New Roman" w:hAnsi="Times New Roman" w:eastAsia="宋体" w:cs="Times New Roman"/>
                <w:b w:val="0"/>
                <w:bCs w:val="0"/>
                <w:i w:val="0"/>
                <w:iCs w:val="0"/>
                <w:color w:val="auto"/>
                <w:sz w:val="21"/>
                <w:szCs w:val="21"/>
                <w:u w:val="single" w:color="auto"/>
                <w:lang w:val="en-US" w:eastAsia="zh-CN"/>
              </w:rPr>
              <w:t>mg/L</w:t>
            </w:r>
            <w:r>
              <w:rPr>
                <w:rFonts w:hint="eastAsia" w:ascii="Times New Roman" w:hAnsi="Times New Roman" w:eastAsia="宋体" w:cs="Times New Roman"/>
                <w:b w:val="0"/>
                <w:bCs w:val="0"/>
                <w:i w:val="0"/>
                <w:iCs w:val="0"/>
                <w:color w:val="auto"/>
                <w:sz w:val="21"/>
                <w:szCs w:val="21"/>
                <w:u w:val="single" w:color="auto"/>
                <w:lang w:val="en-US" w:eastAsia="zh-CN"/>
              </w:rPr>
              <w:t>)</w:t>
            </w:r>
          </w:p>
        </w:tc>
        <w:tc>
          <w:tcPr>
            <w:tcW w:w="819" w:type="pct"/>
            <w:noWrap w:val="0"/>
            <w:vAlign w:val="center"/>
          </w:tcPr>
          <w:p w14:paraId="6E2697CA">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r>
              <w:rPr>
                <w:rFonts w:hint="default" w:ascii="Times New Roman" w:hAnsi="Times New Roman" w:eastAsia="宋体" w:cs="Times New Roman"/>
                <w:b w:val="0"/>
                <w:bCs w:val="0"/>
                <w:i w:val="0"/>
                <w:iCs w:val="0"/>
                <w:color w:val="auto"/>
                <w:sz w:val="21"/>
                <w:szCs w:val="21"/>
                <w:u w:val="single" w:color="auto"/>
                <w:lang w:val="en-US" w:eastAsia="zh-CN"/>
              </w:rPr>
              <w:t>CODcr</w:t>
            </w:r>
          </w:p>
        </w:tc>
        <w:tc>
          <w:tcPr>
            <w:tcW w:w="2738" w:type="dxa"/>
            <w:noWrap w:val="0"/>
            <w:vAlign w:val="center"/>
          </w:tcPr>
          <w:p w14:paraId="02FC4B69">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r>
              <w:rPr>
                <w:rFonts w:hint="default" w:ascii="Times New Roman" w:hAnsi="Times New Roman" w:eastAsia="宋体" w:cs="Times New Roman"/>
                <w:i w:val="0"/>
                <w:iCs w:val="0"/>
                <w:color w:val="auto"/>
                <w:sz w:val="21"/>
                <w:szCs w:val="21"/>
                <w:u w:val="single" w:color="auto"/>
                <w:lang w:val="en-US" w:eastAsia="zh-CN"/>
              </w:rPr>
              <w:t>100</w:t>
            </w:r>
          </w:p>
        </w:tc>
        <w:tc>
          <w:tcPr>
            <w:tcW w:w="2984" w:type="dxa"/>
            <w:noWrap w:val="0"/>
            <w:vAlign w:val="center"/>
          </w:tcPr>
          <w:p w14:paraId="677B8A8B">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r>
              <w:rPr>
                <w:rFonts w:hint="default" w:ascii="Times New Roman" w:hAnsi="Times New Roman" w:cs="Times New Roman"/>
                <w:i w:val="0"/>
                <w:iCs w:val="0"/>
                <w:color w:val="auto"/>
                <w:sz w:val="21"/>
                <w:szCs w:val="21"/>
                <w:u w:val="single" w:color="auto"/>
                <w:lang w:val="en-US" w:eastAsia="zh-CN"/>
              </w:rPr>
              <w:t>1342</w:t>
            </w:r>
          </w:p>
        </w:tc>
      </w:tr>
      <w:tr w14:paraId="5E9A4FE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819" w:type="pct"/>
            <w:vMerge w:val="continue"/>
            <w:noWrap w:val="0"/>
            <w:vAlign w:val="center"/>
          </w:tcPr>
          <w:p w14:paraId="0E389141">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p>
        </w:tc>
        <w:tc>
          <w:tcPr>
            <w:tcW w:w="819" w:type="pct"/>
            <w:noWrap w:val="0"/>
            <w:vAlign w:val="center"/>
          </w:tcPr>
          <w:p w14:paraId="25414320">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r>
              <w:rPr>
                <w:rFonts w:hint="default" w:ascii="Times New Roman" w:hAnsi="Times New Roman" w:eastAsia="宋体" w:cs="Times New Roman"/>
                <w:b w:val="0"/>
                <w:bCs w:val="0"/>
                <w:i w:val="0"/>
                <w:iCs w:val="0"/>
                <w:color w:val="auto"/>
                <w:sz w:val="21"/>
                <w:szCs w:val="21"/>
                <w:u w:val="single" w:color="auto"/>
                <w:lang w:val="en-US" w:eastAsia="zh-CN"/>
              </w:rPr>
              <w:t>NH</w:t>
            </w:r>
            <w:r>
              <w:rPr>
                <w:rFonts w:hint="default" w:ascii="Times New Roman" w:hAnsi="Times New Roman" w:eastAsia="宋体" w:cs="Times New Roman"/>
                <w:b w:val="0"/>
                <w:bCs w:val="0"/>
                <w:i w:val="0"/>
                <w:iCs w:val="0"/>
                <w:color w:val="auto"/>
                <w:sz w:val="21"/>
                <w:szCs w:val="21"/>
                <w:u w:val="single" w:color="auto"/>
                <w:vertAlign w:val="subscript"/>
                <w:lang w:val="en-US" w:eastAsia="zh-CN"/>
              </w:rPr>
              <w:t>3</w:t>
            </w:r>
            <w:r>
              <w:rPr>
                <w:rFonts w:hint="default" w:ascii="Times New Roman" w:hAnsi="Times New Roman" w:eastAsia="宋体" w:cs="Times New Roman"/>
                <w:b w:val="0"/>
                <w:bCs w:val="0"/>
                <w:i w:val="0"/>
                <w:iCs w:val="0"/>
                <w:color w:val="auto"/>
                <w:sz w:val="21"/>
                <w:szCs w:val="21"/>
                <w:u w:val="single" w:color="auto"/>
                <w:lang w:val="en-US" w:eastAsia="zh-CN"/>
              </w:rPr>
              <w:t>-N</w:t>
            </w:r>
          </w:p>
        </w:tc>
        <w:tc>
          <w:tcPr>
            <w:tcW w:w="2738" w:type="dxa"/>
            <w:noWrap w:val="0"/>
            <w:vAlign w:val="center"/>
          </w:tcPr>
          <w:p w14:paraId="2A321CF4">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r>
              <w:rPr>
                <w:rFonts w:hint="default" w:ascii="Times New Roman" w:hAnsi="Times New Roman" w:eastAsia="宋体" w:cs="Times New Roman"/>
                <w:i w:val="0"/>
                <w:iCs w:val="0"/>
                <w:color w:val="auto"/>
                <w:sz w:val="21"/>
                <w:szCs w:val="21"/>
                <w:u w:val="single" w:color="auto"/>
                <w:lang w:val="en-US" w:eastAsia="zh-CN"/>
              </w:rPr>
              <w:t>15</w:t>
            </w:r>
          </w:p>
        </w:tc>
        <w:tc>
          <w:tcPr>
            <w:tcW w:w="2984" w:type="dxa"/>
            <w:noWrap w:val="0"/>
            <w:vAlign w:val="center"/>
          </w:tcPr>
          <w:p w14:paraId="32123649">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r>
              <w:rPr>
                <w:rFonts w:hint="default" w:ascii="Times New Roman" w:hAnsi="Times New Roman" w:cs="Times New Roman"/>
                <w:i w:val="0"/>
                <w:iCs w:val="0"/>
                <w:color w:val="auto"/>
                <w:sz w:val="21"/>
                <w:szCs w:val="21"/>
                <w:u w:val="single" w:color="auto"/>
                <w:lang w:val="en-US" w:eastAsia="zh-CN"/>
              </w:rPr>
              <w:t>39.9</w:t>
            </w:r>
          </w:p>
        </w:tc>
      </w:tr>
      <w:tr w14:paraId="25EB8E7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819" w:type="pct"/>
            <w:vMerge w:val="continue"/>
            <w:noWrap w:val="0"/>
            <w:vAlign w:val="center"/>
          </w:tcPr>
          <w:p w14:paraId="6E5C9CB3">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p>
        </w:tc>
        <w:tc>
          <w:tcPr>
            <w:tcW w:w="819" w:type="pct"/>
            <w:noWrap w:val="0"/>
            <w:vAlign w:val="center"/>
          </w:tcPr>
          <w:p w14:paraId="7BA5AF00">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r>
              <w:rPr>
                <w:rFonts w:hint="eastAsia" w:ascii="Times New Roman" w:hAnsi="Times New Roman" w:eastAsia="宋体" w:cs="Times New Roman"/>
                <w:b w:val="0"/>
                <w:bCs w:val="0"/>
                <w:i w:val="0"/>
                <w:iCs w:val="0"/>
                <w:color w:val="auto"/>
                <w:sz w:val="21"/>
                <w:szCs w:val="21"/>
                <w:u w:val="single" w:color="auto"/>
                <w:lang w:val="en-US" w:eastAsia="zh-CN"/>
              </w:rPr>
              <w:t>总磷</w:t>
            </w:r>
          </w:p>
        </w:tc>
        <w:tc>
          <w:tcPr>
            <w:tcW w:w="2738" w:type="dxa"/>
            <w:noWrap w:val="0"/>
            <w:vAlign w:val="center"/>
          </w:tcPr>
          <w:p w14:paraId="1F7ACB75">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r>
              <w:rPr>
                <w:rFonts w:hint="eastAsia" w:ascii="Times New Roman" w:hAnsi="Times New Roman" w:cs="Times New Roman"/>
                <w:i w:val="0"/>
                <w:iCs w:val="0"/>
                <w:color w:val="auto"/>
                <w:sz w:val="21"/>
                <w:szCs w:val="21"/>
                <w:u w:val="single" w:color="auto"/>
                <w:lang w:val="en-US" w:eastAsia="zh-CN"/>
              </w:rPr>
              <w:t>1</w:t>
            </w:r>
          </w:p>
        </w:tc>
        <w:tc>
          <w:tcPr>
            <w:tcW w:w="2984" w:type="dxa"/>
            <w:noWrap w:val="0"/>
            <w:vAlign w:val="center"/>
          </w:tcPr>
          <w:p w14:paraId="2C68CE4F">
            <w:pPr>
              <w:pStyle w:val="60"/>
              <w:spacing w:line="240" w:lineRule="auto"/>
              <w:jc w:val="center"/>
              <w:rPr>
                <w:rFonts w:hint="default" w:ascii="Times New Roman" w:hAnsi="Times New Roman" w:eastAsia="宋体" w:cs="Times New Roman"/>
                <w:b w:val="0"/>
                <w:bCs w:val="0"/>
                <w:i w:val="0"/>
                <w:iCs w:val="0"/>
                <w:color w:val="auto"/>
                <w:sz w:val="21"/>
                <w:szCs w:val="21"/>
                <w:u w:val="single" w:color="auto"/>
                <w:lang w:val="en-US" w:eastAsia="zh-CN"/>
              </w:rPr>
            </w:pPr>
            <w:r>
              <w:rPr>
                <w:rFonts w:hint="default" w:ascii="Times New Roman" w:hAnsi="Times New Roman" w:cs="Times New Roman"/>
                <w:i w:val="0"/>
                <w:iCs w:val="0"/>
                <w:color w:val="auto"/>
                <w:sz w:val="21"/>
                <w:szCs w:val="21"/>
                <w:u w:val="single" w:color="auto"/>
                <w:lang w:val="en-US" w:eastAsia="zh-CN"/>
              </w:rPr>
              <w:t>3.68</w:t>
            </w:r>
          </w:p>
        </w:tc>
      </w:tr>
    </w:tbl>
    <w:p w14:paraId="3DB7C4CE">
      <w:pPr>
        <w:keepNext w:val="0"/>
        <w:keepLines w:val="0"/>
        <w:pageBreakBefore w:val="0"/>
        <w:wordWrap/>
        <w:overflowPunct/>
        <w:topLinePunct w:val="0"/>
        <w:bidi w:val="0"/>
        <w:spacing w:line="240" w:lineRule="auto"/>
        <w:outlineLvl w:val="2"/>
        <w:rPr>
          <w:rFonts w:hint="default" w:ascii="Times New Roman" w:hAnsi="Times New Roman" w:eastAsia="宋体" w:cs="Times New Roman"/>
          <w:i w:val="0"/>
          <w:iCs w:val="0"/>
          <w:color w:val="auto"/>
          <w:sz w:val="21"/>
          <w:szCs w:val="21"/>
          <w:u w:val="single" w:color="auto"/>
          <w:lang w:val="en-US" w:eastAsia="zh-CN"/>
        </w:rPr>
      </w:pPr>
      <w:bookmarkStart w:id="191" w:name="_Toc8928"/>
      <w:bookmarkStart w:id="192" w:name="_Toc6429"/>
      <w:r>
        <w:rPr>
          <w:rFonts w:hint="default" w:ascii="Times New Roman" w:hAnsi="Times New Roman" w:eastAsia="宋体" w:cs="Times New Roman"/>
          <w:i w:val="0"/>
          <w:iCs w:val="0"/>
          <w:color w:val="auto"/>
          <w:sz w:val="21"/>
          <w:szCs w:val="21"/>
          <w:u w:val="single" w:color="auto"/>
          <w:lang w:val="en-US" w:eastAsia="zh-CN"/>
        </w:rPr>
        <w:t>注：污水正常排放按《食品加工制造业水污染物排放标准》（GB46817-2025）中</w:t>
      </w:r>
      <w:r>
        <w:rPr>
          <w:rFonts w:hint="eastAsia" w:ascii="Times New Roman" w:hAnsi="Times New Roman" w:eastAsia="宋体" w:cs="Times New Roman"/>
          <w:i w:val="0"/>
          <w:iCs w:val="0"/>
          <w:color w:val="auto"/>
          <w:sz w:val="21"/>
          <w:szCs w:val="21"/>
          <w:u w:val="single" w:color="auto"/>
          <w:lang w:val="en-US" w:eastAsia="zh-CN"/>
        </w:rPr>
        <w:t>表1直接排放标准</w:t>
      </w:r>
      <w:r>
        <w:rPr>
          <w:rFonts w:hint="default" w:ascii="Times New Roman" w:hAnsi="Times New Roman" w:eastAsia="宋体" w:cs="Times New Roman"/>
          <w:i w:val="0"/>
          <w:iCs w:val="0"/>
          <w:color w:val="auto"/>
          <w:sz w:val="21"/>
          <w:szCs w:val="21"/>
          <w:u w:val="single" w:color="auto"/>
          <w:lang w:val="en-US" w:eastAsia="zh-CN"/>
        </w:rPr>
        <w:t>计算，</w:t>
      </w:r>
      <w:r>
        <w:rPr>
          <w:rFonts w:hint="eastAsia" w:ascii="Times New Roman" w:hAnsi="Times New Roman" w:eastAsia="宋体" w:cs="Times New Roman"/>
          <w:i w:val="0"/>
          <w:iCs w:val="0"/>
          <w:color w:val="auto"/>
          <w:sz w:val="21"/>
          <w:szCs w:val="21"/>
          <w:u w:val="single" w:color="auto"/>
          <w:lang w:val="en-US" w:eastAsia="zh-CN"/>
        </w:rPr>
        <w:t>非正常排放浓度</w:t>
      </w:r>
      <w:r>
        <w:rPr>
          <w:rFonts w:hint="default" w:ascii="Times New Roman" w:hAnsi="Times New Roman" w:eastAsia="宋体" w:cs="Times New Roman"/>
          <w:i w:val="0"/>
          <w:iCs w:val="0"/>
          <w:color w:val="auto"/>
          <w:sz w:val="21"/>
          <w:szCs w:val="21"/>
          <w:u w:val="single" w:color="auto"/>
          <w:lang w:val="en-US" w:eastAsia="zh-CN"/>
        </w:rPr>
        <w:t>排放浓度按产生浓度取值，COD：1342mg/L，NH</w:t>
      </w:r>
      <w:r>
        <w:rPr>
          <w:rFonts w:hint="default" w:ascii="Times New Roman" w:hAnsi="Times New Roman" w:eastAsia="宋体" w:cs="Times New Roman"/>
          <w:i w:val="0"/>
          <w:iCs w:val="0"/>
          <w:color w:val="auto"/>
          <w:sz w:val="21"/>
          <w:szCs w:val="21"/>
          <w:u w:val="single" w:color="auto"/>
          <w:vertAlign w:val="subscript"/>
          <w:lang w:val="en-US" w:eastAsia="zh-CN"/>
        </w:rPr>
        <w:t>3</w:t>
      </w:r>
      <w:r>
        <w:rPr>
          <w:rFonts w:hint="default" w:ascii="Times New Roman" w:hAnsi="Times New Roman" w:eastAsia="宋体" w:cs="Times New Roman"/>
          <w:i w:val="0"/>
          <w:iCs w:val="0"/>
          <w:color w:val="auto"/>
          <w:sz w:val="21"/>
          <w:szCs w:val="21"/>
          <w:u w:val="single" w:color="auto"/>
          <w:lang w:val="en-US" w:eastAsia="zh-CN"/>
        </w:rPr>
        <w:t>-N：37.2mg/L，总磷3.68mg/L。</w:t>
      </w:r>
    </w:p>
    <w:p w14:paraId="2C4C279F">
      <w:pPr>
        <w:keepNext w:val="0"/>
        <w:keepLines w:val="0"/>
        <w:pageBreakBefore w:val="0"/>
        <w:wordWrap/>
        <w:overflowPunct/>
        <w:topLinePunct w:val="0"/>
        <w:bidi w:val="0"/>
        <w:spacing w:line="240" w:lineRule="auto"/>
        <w:outlineLvl w:val="2"/>
        <w:rPr>
          <w:rFonts w:hint="default" w:ascii="宋体" w:hAnsi="宋体" w:eastAsia="宋体" w:cs="宋体"/>
          <w:color w:val="auto"/>
          <w:sz w:val="24"/>
          <w:szCs w:val="24"/>
          <w:u w:val="single" w:color="auto"/>
          <w:lang w:val="en-US" w:eastAsia="zh-CN"/>
        </w:rPr>
      </w:pPr>
      <w:r>
        <w:rPr>
          <w:rFonts w:ascii="Times New Roman" w:hAnsi="Times New Roman" w:eastAsia="Times New Roman" w:cs="Times New Roman"/>
          <w:b/>
          <w:bCs/>
          <w:color w:val="auto"/>
          <w:spacing w:val="-2"/>
          <w:sz w:val="24"/>
          <w:szCs w:val="24"/>
          <w:u w:val="single" w:color="auto"/>
          <w:lang w:eastAsia="zh-CN"/>
        </w:rPr>
        <w:t>6.3.</w:t>
      </w:r>
      <w:r>
        <w:rPr>
          <w:rFonts w:hint="eastAsia" w:ascii="Times New Roman" w:hAnsi="Times New Roman" w:eastAsia="Times New Roman" w:cs="Times New Roman"/>
          <w:b/>
          <w:bCs/>
          <w:color w:val="auto"/>
          <w:spacing w:val="-2"/>
          <w:sz w:val="24"/>
          <w:szCs w:val="24"/>
          <w:u w:val="single" w:color="auto"/>
          <w:lang w:val="en-US" w:eastAsia="zh-CN"/>
        </w:rPr>
        <w:t>5</w:t>
      </w:r>
      <w:r>
        <w:rPr>
          <w:rFonts w:ascii="宋体" w:hAnsi="宋体" w:eastAsia="宋体" w:cs="宋体"/>
          <w:b/>
          <w:bCs/>
          <w:color w:val="auto"/>
          <w:spacing w:val="-2"/>
          <w:sz w:val="24"/>
          <w:szCs w:val="24"/>
          <w:u w:val="single" w:color="auto"/>
          <w:lang w:eastAsia="zh-CN"/>
        </w:rPr>
        <w:t>预测</w:t>
      </w:r>
      <w:r>
        <w:rPr>
          <w:rFonts w:hint="eastAsia" w:ascii="宋体" w:hAnsi="宋体" w:eastAsia="宋体" w:cs="宋体"/>
          <w:b/>
          <w:bCs/>
          <w:color w:val="auto"/>
          <w:spacing w:val="-2"/>
          <w:sz w:val="24"/>
          <w:szCs w:val="24"/>
          <w:u w:val="single" w:color="auto"/>
          <w:lang w:val="en-US" w:eastAsia="zh-CN"/>
        </w:rPr>
        <w:t>结果</w:t>
      </w:r>
      <w:bookmarkEnd w:id="191"/>
      <w:bookmarkEnd w:id="192"/>
    </w:p>
    <w:p w14:paraId="213E69D5">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right="0" w:rightChars="0" w:firstLine="482" w:firstLineChars="200"/>
        <w:jc w:val="left"/>
        <w:textAlignment w:val="auto"/>
        <w:outlineLvl w:val="9"/>
        <w:rPr>
          <w:rFonts w:hint="default" w:ascii="Times New Roman" w:hAnsi="Times New Roman" w:eastAsia="宋体" w:cs="Times New Roman"/>
          <w:color w:val="auto"/>
          <w:sz w:val="24"/>
          <w:u w:val="single" w:color="auto"/>
          <w:lang w:val="en-US" w:eastAsia="zh-CN"/>
        </w:rPr>
      </w:pPr>
      <w:r>
        <w:rPr>
          <w:rFonts w:hint="eastAsia" w:ascii="Times New Roman" w:hAnsi="Times New Roman" w:eastAsia="宋体" w:cs="Times New Roman"/>
          <w:b/>
          <w:bCs/>
          <w:color w:val="auto"/>
          <w:sz w:val="24"/>
          <w:u w:val="single" w:color="auto"/>
          <w:lang w:val="en-US" w:eastAsia="zh-CN"/>
        </w:rPr>
        <w:t>（1）</w:t>
      </w:r>
      <w:r>
        <w:rPr>
          <w:rFonts w:hint="default" w:ascii="Times New Roman" w:hAnsi="Times New Roman" w:eastAsia="宋体" w:cs="Times New Roman"/>
          <w:b/>
          <w:bCs/>
          <w:color w:val="auto"/>
          <w:sz w:val="24"/>
          <w:u w:val="single" w:color="auto"/>
          <w:lang w:val="en-US" w:eastAsia="zh-CN"/>
        </w:rPr>
        <w:t>混合过程段长度估算公式：</w:t>
      </w:r>
    </w:p>
    <w:p w14:paraId="780F52A6">
      <w:pPr>
        <w:spacing w:line="360" w:lineRule="auto"/>
        <w:ind w:firstLine="482"/>
        <w:jc w:val="center"/>
        <w:rPr>
          <w:rFonts w:hint="default"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rPr>
        <w:drawing>
          <wp:inline distT="0" distB="0" distL="114300" distR="114300">
            <wp:extent cx="2974340" cy="471170"/>
            <wp:effectExtent l="0" t="0" r="16510" b="5080"/>
            <wp:docPr id="15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1"/>
                    <pic:cNvPicPr>
                      <a:picLocks noChangeAspect="1"/>
                    </pic:cNvPicPr>
                  </pic:nvPicPr>
                  <pic:blipFill>
                    <a:blip r:embed="rId26"/>
                    <a:stretch>
                      <a:fillRect/>
                    </a:stretch>
                  </pic:blipFill>
                  <pic:spPr>
                    <a:xfrm>
                      <a:off x="0" y="0"/>
                      <a:ext cx="2974340" cy="471170"/>
                    </a:xfrm>
                    <a:prstGeom prst="rect">
                      <a:avLst/>
                    </a:prstGeom>
                    <a:noFill/>
                    <a:ln>
                      <a:noFill/>
                    </a:ln>
                  </pic:spPr>
                </pic:pic>
              </a:graphicData>
            </a:graphic>
          </wp:inline>
        </w:drawing>
      </w:r>
    </w:p>
    <w:p w14:paraId="053F1024">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left"/>
        <w:textAlignment w:val="auto"/>
        <w:outlineLvl w:val="9"/>
        <w:rPr>
          <w:rFonts w:hint="default"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式中：L</w:t>
      </w:r>
      <w:r>
        <w:rPr>
          <w:rFonts w:hint="default" w:ascii="Times New Roman" w:hAnsi="Times New Roman" w:eastAsia="宋体" w:cs="Times New Roman"/>
          <w:color w:val="auto"/>
          <w:sz w:val="24"/>
          <w:u w:val="single" w:color="auto"/>
          <w:vertAlign w:val="subscript"/>
          <w:lang w:val="en-US" w:eastAsia="zh-CN"/>
        </w:rPr>
        <w:t>m</w:t>
      </w:r>
      <w:r>
        <w:rPr>
          <w:rFonts w:hint="default" w:ascii="Times New Roman" w:hAnsi="Times New Roman" w:eastAsia="宋体" w:cs="Times New Roman"/>
          <w:color w:val="auto"/>
          <w:sz w:val="24"/>
          <w:u w:val="single" w:color="auto"/>
          <w:lang w:val="en-US" w:eastAsia="zh-CN"/>
        </w:rPr>
        <w:t>—混合段长度，m</w:t>
      </w:r>
    </w:p>
    <w:p w14:paraId="62F37192">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left"/>
        <w:textAlignment w:val="auto"/>
        <w:outlineLvl w:val="9"/>
        <w:rPr>
          <w:rFonts w:hint="default"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B—水面宽度，m；</w:t>
      </w:r>
    </w:p>
    <w:p w14:paraId="21140078">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left"/>
        <w:textAlignment w:val="auto"/>
        <w:outlineLvl w:val="9"/>
        <w:rPr>
          <w:rFonts w:hint="default"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a—排放口到岸边的距离，m；（本项目取0.0m）</w:t>
      </w:r>
    </w:p>
    <w:p w14:paraId="17685D12">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left"/>
        <w:textAlignment w:val="auto"/>
        <w:outlineLvl w:val="9"/>
        <w:rPr>
          <w:rFonts w:hint="default"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u—断面流速，m/s；</w:t>
      </w:r>
    </w:p>
    <w:p w14:paraId="7BB591CA">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479" w:leftChars="228" w:right="0" w:rightChars="0" w:firstLine="0" w:firstLineChars="0"/>
        <w:jc w:val="left"/>
        <w:textAlignment w:val="auto"/>
        <w:outlineLvl w:val="9"/>
        <w:rPr>
          <w:rFonts w:hint="default"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E</w:t>
      </w:r>
      <w:r>
        <w:rPr>
          <w:rFonts w:hint="default" w:ascii="Times New Roman" w:hAnsi="Times New Roman" w:eastAsia="宋体" w:cs="Times New Roman"/>
          <w:color w:val="auto"/>
          <w:sz w:val="24"/>
          <w:u w:val="single" w:color="auto"/>
          <w:vertAlign w:val="subscript"/>
          <w:lang w:val="en-US" w:eastAsia="zh-CN"/>
        </w:rPr>
        <w:t>y</w:t>
      </w:r>
      <w:r>
        <w:rPr>
          <w:rFonts w:hint="default" w:ascii="Times New Roman" w:hAnsi="Times New Roman" w:eastAsia="宋体" w:cs="Times New Roman"/>
          <w:color w:val="auto"/>
          <w:sz w:val="24"/>
          <w:u w:val="single" w:color="auto"/>
          <w:lang w:val="en-US" w:eastAsia="zh-CN"/>
        </w:rPr>
        <w:t>—污染物横向扩散系数，m</w:t>
      </w:r>
      <w:r>
        <w:rPr>
          <w:rFonts w:hint="default" w:ascii="Times New Roman" w:hAnsi="Times New Roman" w:eastAsia="宋体" w:cs="Times New Roman"/>
          <w:color w:val="auto"/>
          <w:sz w:val="24"/>
          <w:u w:val="single" w:color="auto"/>
          <w:vertAlign w:val="superscript"/>
          <w:lang w:val="en-US" w:eastAsia="zh-CN"/>
        </w:rPr>
        <w:t>2</w:t>
      </w:r>
      <w:r>
        <w:rPr>
          <w:rFonts w:hint="default" w:ascii="Times New Roman" w:hAnsi="Times New Roman" w:eastAsia="宋体" w:cs="Times New Roman"/>
          <w:color w:val="auto"/>
          <w:sz w:val="24"/>
          <w:u w:val="single" w:color="auto"/>
          <w:lang w:val="en-US" w:eastAsia="zh-CN"/>
        </w:rPr>
        <w:t>/s。使用泰勒公式</w:t>
      </w:r>
      <w:r>
        <w:rPr>
          <w:rFonts w:hint="default" w:ascii="Times New Roman" w:hAnsi="Times New Roman" w:eastAsia="宋体" w:cs="Times New Roman"/>
          <w:color w:val="000000"/>
          <w:kern w:val="0"/>
          <w:sz w:val="24"/>
          <w:szCs w:val="24"/>
          <w:u w:val="single" w:color="auto"/>
          <w:lang w:val="en-US" w:eastAsia="zh-CN" w:bidi="ar"/>
        </w:rPr>
        <w:t>Ey=(0.058H+0.0065B)(gHI)</w:t>
      </w:r>
      <w:r>
        <w:rPr>
          <w:rFonts w:hint="default" w:ascii="Times New Roman" w:hAnsi="Times New Roman" w:eastAsia="宋体" w:cs="Times New Roman"/>
          <w:color w:val="000000"/>
          <w:kern w:val="0"/>
          <w:sz w:val="24"/>
          <w:szCs w:val="24"/>
          <w:u w:val="single" w:color="auto"/>
          <w:vertAlign w:val="superscript"/>
          <w:lang w:val="en-US" w:eastAsia="zh-CN" w:bidi="ar"/>
        </w:rPr>
        <w:t>1/2</w:t>
      </w:r>
      <w:r>
        <w:rPr>
          <w:rFonts w:hint="default" w:ascii="Times New Roman" w:hAnsi="Times New Roman" w:cs="Times New Roman"/>
          <w:color w:val="000000"/>
          <w:kern w:val="0"/>
          <w:sz w:val="24"/>
          <w:szCs w:val="24"/>
          <w:u w:val="single" w:color="auto"/>
          <w:vertAlign w:val="baseline"/>
          <w:lang w:val="en-US" w:eastAsia="zh-CN" w:bidi="ar"/>
        </w:rPr>
        <w:t>，计算得出</w:t>
      </w:r>
      <w:r>
        <w:rPr>
          <w:rFonts w:hint="default" w:ascii="Times New Roman" w:hAnsi="Times New Roman" w:eastAsia="宋体" w:cs="Times New Roman"/>
          <w:color w:val="000000" w:themeColor="text1"/>
          <w:sz w:val="24"/>
          <w:u w:val="single" w:color="auto"/>
          <w:lang w:val="en-US" w:eastAsia="zh-CN"/>
          <w14:textFill>
            <w14:solidFill>
              <w14:schemeClr w14:val="tx1"/>
            </w14:solidFill>
          </w14:textFill>
        </w:rPr>
        <w:t>Ey=</w:t>
      </w:r>
      <w:r>
        <w:rPr>
          <w:rFonts w:hint="default" w:ascii="Times New Roman" w:hAnsi="Times New Roman" w:cs="Times New Roman"/>
          <w:color w:val="000000" w:themeColor="text1"/>
          <w:sz w:val="24"/>
          <w:u w:val="single" w:color="auto"/>
          <w:lang w:val="en-US" w:eastAsia="zh-CN"/>
          <w14:textFill>
            <w14:solidFill>
              <w14:schemeClr w14:val="tx1"/>
            </w14:solidFill>
          </w14:textFill>
        </w:rPr>
        <w:t>0.106</w:t>
      </w:r>
      <w:r>
        <w:rPr>
          <w:rFonts w:hint="default" w:ascii="Times New Roman" w:hAnsi="Times New Roman" w:eastAsia="宋体" w:cs="Times New Roman"/>
          <w:color w:val="000000" w:themeColor="text1"/>
          <w:sz w:val="24"/>
          <w:u w:val="single" w:color="auto"/>
          <w:lang w:val="en-US" w:eastAsia="zh-CN"/>
          <w14:textFill>
            <w14:solidFill>
              <w14:schemeClr w14:val="tx1"/>
            </w14:solidFill>
          </w14:textFill>
        </w:rPr>
        <w:t>m</w:t>
      </w:r>
      <w:r>
        <w:rPr>
          <w:rFonts w:hint="default" w:ascii="Times New Roman" w:hAnsi="Times New Roman" w:eastAsia="宋体" w:cs="Times New Roman"/>
          <w:color w:val="000000" w:themeColor="text1"/>
          <w:sz w:val="24"/>
          <w:u w:val="single" w:color="auto"/>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4"/>
          <w:u w:val="single" w:color="auto"/>
          <w:lang w:val="en-US" w:eastAsia="zh-CN"/>
          <w14:textFill>
            <w14:solidFill>
              <w14:schemeClr w14:val="tx1"/>
            </w14:solidFill>
          </w14:textFill>
        </w:rPr>
        <w:t>/s</w:t>
      </w:r>
    </w:p>
    <w:p w14:paraId="243B2217">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left"/>
        <w:textAlignment w:val="auto"/>
        <w:outlineLvl w:val="9"/>
        <w:rPr>
          <w:rFonts w:hint="eastAsia" w:ascii="Times New Roman" w:hAnsi="Times New Roman" w:eastAsia="宋体" w:cs="Times New Roman"/>
          <w:b/>
          <w:bCs/>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根据以上公式，结合本项目的废水排放情况以及环境质量情况，计算出混合过程段长度约为</w:t>
      </w:r>
      <w:r>
        <w:rPr>
          <w:rFonts w:hint="default" w:ascii="Times New Roman" w:hAnsi="Times New Roman" w:cs="Times New Roman"/>
          <w:color w:val="auto"/>
          <w:sz w:val="24"/>
          <w:u w:val="single" w:color="auto"/>
          <w:lang w:val="en-US" w:eastAsia="zh-CN"/>
        </w:rPr>
        <w:t>257</w:t>
      </w:r>
      <w:r>
        <w:rPr>
          <w:rFonts w:hint="default" w:ascii="Times New Roman" w:hAnsi="Times New Roman" w:eastAsia="宋体" w:cs="Times New Roman"/>
          <w:color w:val="auto"/>
          <w:sz w:val="24"/>
          <w:u w:val="single" w:color="auto"/>
          <w:lang w:val="en-US" w:eastAsia="zh-CN"/>
        </w:rPr>
        <w:t>m。</w:t>
      </w:r>
    </w:p>
    <w:p w14:paraId="3FAE9DEA">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2" w:firstLineChars="200"/>
        <w:jc w:val="left"/>
        <w:textAlignment w:val="auto"/>
        <w:outlineLvl w:val="9"/>
        <w:rPr>
          <w:rFonts w:hint="default" w:ascii="Times New Roman" w:hAnsi="Times New Roman" w:eastAsia="宋体" w:cs="Times New Roman"/>
          <w:color w:val="auto"/>
          <w:sz w:val="24"/>
          <w:u w:val="single" w:color="auto"/>
          <w:lang w:val="en-US" w:eastAsia="zh-CN"/>
        </w:rPr>
      </w:pPr>
      <w:r>
        <w:rPr>
          <w:rFonts w:hint="eastAsia" w:ascii="Times New Roman" w:hAnsi="Times New Roman" w:eastAsia="宋体" w:cs="Times New Roman"/>
          <w:b/>
          <w:bCs/>
          <w:color w:val="auto"/>
          <w:sz w:val="24"/>
          <w:u w:val="single" w:color="auto"/>
          <w:lang w:val="en-US" w:eastAsia="zh-CN"/>
        </w:rPr>
        <w:t>（2）</w:t>
      </w:r>
      <w:r>
        <w:rPr>
          <w:rFonts w:hint="default" w:ascii="Times New Roman" w:hAnsi="Times New Roman" w:eastAsia="宋体" w:cs="Times New Roman"/>
          <w:b/>
          <w:bCs/>
          <w:color w:val="auto"/>
          <w:sz w:val="24"/>
          <w:u w:val="single" w:color="auto"/>
          <w:lang w:val="en-US" w:eastAsia="zh-CN"/>
        </w:rPr>
        <w:t>预测模式：</w:t>
      </w:r>
    </w:p>
    <w:p w14:paraId="61E7718C">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left"/>
        <w:textAlignment w:val="auto"/>
        <w:outlineLvl w:val="9"/>
        <w:rPr>
          <w:rFonts w:hint="default" w:ascii="Times New Roman" w:hAnsi="Times New Roman" w:eastAsia="宋体" w:cs="Times New Roman"/>
          <w:color w:val="auto"/>
          <w:sz w:val="24"/>
          <w:u w:val="single" w:color="auto"/>
          <w:lang w:val="en-US" w:eastAsia="zh-CN"/>
        </w:rPr>
      </w:pPr>
      <w:r>
        <w:rPr>
          <w:rFonts w:hint="eastAsia" w:ascii="Times New Roman" w:hAnsi="Times New Roman" w:eastAsia="宋体" w:cs="Times New Roman"/>
          <w:color w:val="auto"/>
          <w:sz w:val="24"/>
          <w:u w:val="single" w:color="auto"/>
          <w:lang w:val="en-US" w:eastAsia="zh-CN"/>
        </w:rPr>
        <w:t xml:space="preserve">a、对青山河水质影响 </w:t>
      </w:r>
    </w:p>
    <w:p w14:paraId="77615FF9">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both"/>
        <w:textAlignment w:val="auto"/>
        <w:outlineLvl w:val="9"/>
        <w:rPr>
          <w:rFonts w:hint="default"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根据《环境影响评价技术导则-地表水环境》（HJ2.3-2018），采用零维数学模型预测污染物进入</w:t>
      </w:r>
      <w:r>
        <w:rPr>
          <w:rFonts w:hint="eastAsia" w:ascii="Times New Roman" w:hAnsi="Times New Roman" w:eastAsia="宋体" w:cs="Times New Roman"/>
          <w:color w:val="auto"/>
          <w:sz w:val="24"/>
          <w:u w:val="single" w:color="auto"/>
          <w:lang w:val="en-US" w:eastAsia="zh-CN"/>
        </w:rPr>
        <w:t>青山河</w:t>
      </w:r>
      <w:r>
        <w:rPr>
          <w:rFonts w:hint="default" w:ascii="Times New Roman" w:hAnsi="Times New Roman" w:eastAsia="宋体" w:cs="Times New Roman"/>
          <w:color w:val="auto"/>
          <w:sz w:val="24"/>
          <w:u w:val="single" w:color="auto"/>
          <w:lang w:val="en-US" w:eastAsia="zh-CN"/>
        </w:rPr>
        <w:t>的初始浓度，采用纵向一维数学模型中的解析方法——连续稳定排放模型对废水污染物进入</w:t>
      </w:r>
      <w:r>
        <w:rPr>
          <w:rFonts w:hint="eastAsia" w:ascii="Times New Roman" w:hAnsi="Times New Roman" w:eastAsia="宋体" w:cs="Times New Roman"/>
          <w:color w:val="auto"/>
          <w:sz w:val="24"/>
          <w:u w:val="single" w:color="auto"/>
          <w:lang w:val="en-US" w:eastAsia="zh-CN"/>
        </w:rPr>
        <w:t>青山河</w:t>
      </w:r>
      <w:r>
        <w:rPr>
          <w:rFonts w:hint="default" w:ascii="Times New Roman" w:hAnsi="Times New Roman" w:eastAsia="宋体" w:cs="Times New Roman"/>
          <w:color w:val="auto"/>
          <w:sz w:val="24"/>
          <w:u w:val="single" w:color="auto"/>
          <w:lang w:val="en-US" w:eastAsia="zh-CN"/>
        </w:rPr>
        <w:t>后的衰减情况进行预测。</w:t>
      </w:r>
    </w:p>
    <w:p w14:paraId="6F842BA4">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both"/>
        <w:textAlignment w:val="auto"/>
        <w:outlineLvl w:val="9"/>
        <w:rPr>
          <w:rFonts w:hint="default"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零维数学模型公式：</w:t>
      </w:r>
    </w:p>
    <w:p w14:paraId="6FB20A66">
      <w:pPr>
        <w:widowControl/>
        <w:wordWrap/>
        <w:topLinePunct w:val="0"/>
        <w:adjustRightInd/>
        <w:snapToGrid/>
        <w:spacing w:before="60" w:after="120" w:line="240" w:lineRule="auto"/>
        <w:ind w:right="113" w:firstLine="0" w:firstLineChars="0"/>
        <w:jc w:val="center"/>
        <w:rPr>
          <w:rFonts w:hint="default" w:ascii="Times New Roman" w:hAnsi="Times New Roman" w:eastAsia="宋体" w:cs="Times New Roman"/>
          <w:color w:val="auto"/>
          <w:kern w:val="0"/>
          <w:sz w:val="24"/>
          <w:szCs w:val="20"/>
          <w:lang w:val="en-US" w:eastAsia="zh-CN" w:bidi="ar-SA"/>
        </w:rPr>
      </w:pPr>
      <w:r>
        <w:rPr>
          <w:rFonts w:hint="default" w:ascii="Times New Roman" w:hAnsi="Times New Roman" w:eastAsia="宋体" w:cs="Times New Roman"/>
          <w:color w:val="auto"/>
          <w:kern w:val="0"/>
          <w:sz w:val="24"/>
          <w:szCs w:val="20"/>
          <w:lang w:val="en-US" w:eastAsia="zh-CN" w:bidi="ar-SA"/>
        </w:rPr>
        <w:drawing>
          <wp:inline distT="0" distB="0" distL="114300" distR="114300">
            <wp:extent cx="2243455" cy="218440"/>
            <wp:effectExtent l="0" t="0" r="4445" b="10160"/>
            <wp:docPr id="35" name="图片 35" descr="QQ20241217-090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QQ20241217-090918"/>
                    <pic:cNvPicPr>
                      <a:picLocks noChangeAspect="1"/>
                    </pic:cNvPicPr>
                  </pic:nvPicPr>
                  <pic:blipFill>
                    <a:blip r:embed="rId27"/>
                    <a:srcRect l="1634" t="20148" r="624" b="14370"/>
                    <a:stretch>
                      <a:fillRect/>
                    </a:stretch>
                  </pic:blipFill>
                  <pic:spPr>
                    <a:xfrm>
                      <a:off x="0" y="0"/>
                      <a:ext cx="2243455" cy="218440"/>
                    </a:xfrm>
                    <a:prstGeom prst="snip2SameRect">
                      <a:avLst/>
                    </a:prstGeom>
                  </pic:spPr>
                </pic:pic>
              </a:graphicData>
            </a:graphic>
          </wp:inline>
        </w:drawing>
      </w:r>
    </w:p>
    <w:p w14:paraId="5EB87401">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both"/>
        <w:textAlignment w:val="auto"/>
        <w:outlineLvl w:val="9"/>
        <w:rPr>
          <w:rFonts w:hint="default"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式中：C</w:t>
      </w:r>
      <w:r>
        <w:rPr>
          <w:rFonts w:hint="default" w:ascii="Times New Roman" w:hAnsi="Times New Roman" w:eastAsia="宋体" w:cs="Times New Roman"/>
          <w:color w:val="auto"/>
          <w:sz w:val="24"/>
          <w:u w:val="single" w:color="auto"/>
          <w:vertAlign w:val="subscript"/>
          <w:lang w:val="en-US" w:eastAsia="zh-CN"/>
        </w:rPr>
        <w:t>0</w:t>
      </w:r>
      <w:r>
        <w:rPr>
          <w:rFonts w:hint="eastAsia" w:ascii="Times New Roman" w:hAnsi="Times New Roman" w:eastAsia="宋体" w:cs="Times New Roman"/>
          <w:color w:val="auto"/>
          <w:sz w:val="24"/>
          <w:u w:val="single" w:color="auto"/>
          <w:lang w:val="en-US" w:eastAsia="zh-CN"/>
        </w:rPr>
        <w:t>——</w:t>
      </w:r>
      <w:r>
        <w:rPr>
          <w:rFonts w:hint="default" w:ascii="Times New Roman" w:hAnsi="Times New Roman" w:eastAsia="宋体" w:cs="Times New Roman"/>
          <w:color w:val="auto"/>
          <w:sz w:val="24"/>
          <w:u w:val="single" w:color="auto"/>
          <w:lang w:val="en-US" w:eastAsia="zh-CN"/>
        </w:rPr>
        <w:t>污染物浓度，mg/L。</w:t>
      </w:r>
    </w:p>
    <w:p w14:paraId="0E0C62A3">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both"/>
        <w:textAlignment w:val="auto"/>
        <w:outlineLvl w:val="9"/>
        <w:rPr>
          <w:rFonts w:hint="default"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C</w:t>
      </w:r>
      <w:r>
        <w:rPr>
          <w:rFonts w:hint="default" w:ascii="Times New Roman" w:hAnsi="Times New Roman" w:eastAsia="宋体" w:cs="Times New Roman"/>
          <w:color w:val="auto"/>
          <w:sz w:val="24"/>
          <w:u w:val="single" w:color="auto"/>
          <w:vertAlign w:val="subscript"/>
          <w:lang w:val="en-US" w:eastAsia="zh-CN"/>
        </w:rPr>
        <w:t>h</w:t>
      </w:r>
      <w:r>
        <w:rPr>
          <w:rFonts w:hint="eastAsia" w:ascii="Times New Roman" w:hAnsi="Times New Roman" w:eastAsia="宋体" w:cs="Times New Roman"/>
          <w:color w:val="auto"/>
          <w:sz w:val="24"/>
          <w:u w:val="single" w:color="auto"/>
          <w:lang w:val="en-US" w:eastAsia="zh-CN"/>
        </w:rPr>
        <w:t>——</w:t>
      </w:r>
      <w:r>
        <w:rPr>
          <w:rFonts w:hint="default" w:ascii="Times New Roman" w:hAnsi="Times New Roman" w:eastAsia="宋体" w:cs="Times New Roman"/>
          <w:color w:val="auto"/>
          <w:sz w:val="24"/>
          <w:u w:val="single" w:color="auto"/>
          <w:lang w:val="en-US" w:eastAsia="zh-CN"/>
        </w:rPr>
        <w:t>河流上游污染物浓度，mg/L；</w:t>
      </w:r>
    </w:p>
    <w:p w14:paraId="44CFB0C1">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both"/>
        <w:textAlignment w:val="auto"/>
        <w:outlineLvl w:val="9"/>
        <w:rPr>
          <w:rFonts w:hint="default"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C</w:t>
      </w:r>
      <w:r>
        <w:rPr>
          <w:rFonts w:hint="default" w:ascii="Times New Roman" w:hAnsi="Times New Roman" w:eastAsia="宋体" w:cs="Times New Roman"/>
          <w:color w:val="auto"/>
          <w:sz w:val="24"/>
          <w:u w:val="single" w:color="auto"/>
          <w:vertAlign w:val="subscript"/>
          <w:lang w:val="en-US" w:eastAsia="zh-CN"/>
        </w:rPr>
        <w:t>p</w:t>
      </w:r>
      <w:r>
        <w:rPr>
          <w:rFonts w:hint="eastAsia" w:ascii="Times New Roman" w:hAnsi="Times New Roman" w:eastAsia="宋体" w:cs="Times New Roman"/>
          <w:color w:val="auto"/>
          <w:sz w:val="24"/>
          <w:u w:val="single" w:color="auto"/>
          <w:lang w:val="en-US" w:eastAsia="zh-CN"/>
        </w:rPr>
        <w:t>——</w:t>
      </w:r>
      <w:r>
        <w:rPr>
          <w:rFonts w:hint="default" w:ascii="Times New Roman" w:hAnsi="Times New Roman" w:eastAsia="宋体" w:cs="Times New Roman"/>
          <w:color w:val="auto"/>
          <w:sz w:val="24"/>
          <w:u w:val="single" w:color="auto"/>
          <w:lang w:val="en-US" w:eastAsia="zh-CN"/>
        </w:rPr>
        <w:t>污染物排放浓度，mg/L；</w:t>
      </w:r>
    </w:p>
    <w:p w14:paraId="170D9678">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both"/>
        <w:textAlignment w:val="auto"/>
        <w:outlineLvl w:val="9"/>
        <w:rPr>
          <w:rFonts w:hint="default"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Q</w:t>
      </w:r>
      <w:r>
        <w:rPr>
          <w:rFonts w:hint="default" w:ascii="Times New Roman" w:hAnsi="Times New Roman" w:eastAsia="宋体" w:cs="Times New Roman"/>
          <w:color w:val="auto"/>
          <w:sz w:val="24"/>
          <w:u w:val="single" w:color="auto"/>
          <w:vertAlign w:val="subscript"/>
          <w:lang w:val="en-US" w:eastAsia="zh-CN"/>
        </w:rPr>
        <w:t>h</w:t>
      </w:r>
      <w:r>
        <w:rPr>
          <w:rFonts w:hint="eastAsia" w:ascii="Times New Roman" w:hAnsi="Times New Roman" w:eastAsia="宋体" w:cs="Times New Roman"/>
          <w:color w:val="auto"/>
          <w:sz w:val="24"/>
          <w:u w:val="single" w:color="auto"/>
          <w:lang w:val="en-US" w:eastAsia="zh-CN"/>
        </w:rPr>
        <w:t>——</w:t>
      </w:r>
      <w:r>
        <w:rPr>
          <w:rFonts w:hint="default" w:ascii="Times New Roman" w:hAnsi="Times New Roman" w:eastAsia="宋体" w:cs="Times New Roman"/>
          <w:color w:val="auto"/>
          <w:sz w:val="24"/>
          <w:u w:val="single" w:color="auto"/>
          <w:lang w:val="en-US" w:eastAsia="zh-CN"/>
        </w:rPr>
        <w:t>河流流量，m</w:t>
      </w:r>
      <w:r>
        <w:rPr>
          <w:rFonts w:hint="default" w:ascii="Times New Roman" w:hAnsi="Times New Roman" w:eastAsia="宋体" w:cs="Times New Roman"/>
          <w:color w:val="auto"/>
          <w:sz w:val="24"/>
          <w:u w:val="single" w:color="auto"/>
          <w:vertAlign w:val="superscript"/>
          <w:lang w:val="en-US" w:eastAsia="zh-CN"/>
        </w:rPr>
        <w:t>3</w:t>
      </w:r>
      <w:r>
        <w:rPr>
          <w:rFonts w:hint="default" w:ascii="Times New Roman" w:hAnsi="Times New Roman" w:eastAsia="宋体" w:cs="Times New Roman"/>
          <w:color w:val="auto"/>
          <w:sz w:val="24"/>
          <w:u w:val="single" w:color="auto"/>
          <w:lang w:val="en-US" w:eastAsia="zh-CN"/>
        </w:rPr>
        <w:t>/s；</w:t>
      </w:r>
    </w:p>
    <w:p w14:paraId="718B968B">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both"/>
        <w:textAlignment w:val="auto"/>
        <w:outlineLvl w:val="9"/>
        <w:rPr>
          <w:rFonts w:hint="default"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Q</w:t>
      </w:r>
      <w:r>
        <w:rPr>
          <w:rFonts w:hint="default" w:ascii="Times New Roman" w:hAnsi="Times New Roman" w:eastAsia="宋体" w:cs="Times New Roman"/>
          <w:color w:val="auto"/>
          <w:sz w:val="24"/>
          <w:u w:val="single" w:color="auto"/>
          <w:vertAlign w:val="subscript"/>
          <w:lang w:val="en-US" w:eastAsia="zh-CN"/>
        </w:rPr>
        <w:t>p</w:t>
      </w:r>
      <w:r>
        <w:rPr>
          <w:rFonts w:hint="eastAsia" w:ascii="Times New Roman" w:hAnsi="Times New Roman" w:eastAsia="宋体" w:cs="Times New Roman"/>
          <w:color w:val="auto"/>
          <w:sz w:val="24"/>
          <w:u w:val="single" w:color="auto"/>
          <w:lang w:val="en-US" w:eastAsia="zh-CN"/>
        </w:rPr>
        <w:t>——</w:t>
      </w:r>
      <w:r>
        <w:rPr>
          <w:rFonts w:hint="default" w:ascii="Times New Roman" w:hAnsi="Times New Roman" w:eastAsia="宋体" w:cs="Times New Roman"/>
          <w:color w:val="auto"/>
          <w:sz w:val="24"/>
          <w:u w:val="single" w:color="auto"/>
          <w:lang w:val="en-US" w:eastAsia="zh-CN"/>
        </w:rPr>
        <w:t>污水排放量，m</w:t>
      </w:r>
      <w:r>
        <w:rPr>
          <w:rFonts w:hint="default" w:ascii="Times New Roman" w:hAnsi="Times New Roman" w:eastAsia="宋体" w:cs="Times New Roman"/>
          <w:color w:val="auto"/>
          <w:sz w:val="24"/>
          <w:u w:val="single" w:color="auto"/>
          <w:vertAlign w:val="superscript"/>
          <w:lang w:val="en-US" w:eastAsia="zh-CN"/>
        </w:rPr>
        <w:t>3</w:t>
      </w:r>
      <w:r>
        <w:rPr>
          <w:rFonts w:hint="default" w:ascii="Times New Roman" w:hAnsi="Times New Roman" w:eastAsia="宋体" w:cs="Times New Roman"/>
          <w:color w:val="auto"/>
          <w:sz w:val="24"/>
          <w:u w:val="single" w:color="auto"/>
          <w:lang w:val="en-US" w:eastAsia="zh-CN"/>
        </w:rPr>
        <w:t>/s。</w:t>
      </w:r>
    </w:p>
    <w:p w14:paraId="018B879D">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right="0" w:rightChars="0" w:firstLine="480" w:firstLineChars="200"/>
        <w:jc w:val="both"/>
        <w:textAlignment w:val="auto"/>
        <w:outlineLvl w:val="9"/>
        <w:rPr>
          <w:rFonts w:hint="default"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纵向一维数学模型——连续稳定排放解析解公式根据α和Pe判别</w:t>
      </w:r>
      <w:r>
        <w:rPr>
          <w:rFonts w:hint="eastAsia" w:ascii="Times New Roman" w:hAnsi="Times New Roman" w:eastAsia="宋体" w:cs="Times New Roman"/>
          <w:color w:val="auto"/>
          <w:sz w:val="24"/>
          <w:u w:val="single" w:color="auto"/>
          <w:lang w:val="en-US" w:eastAsia="zh-CN"/>
        </w:rPr>
        <w:t>：</w:t>
      </w:r>
    </w:p>
    <w:p w14:paraId="51E91D11">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20" w:firstLineChars="200"/>
        <w:jc w:val="center"/>
        <w:textAlignment w:val="auto"/>
        <w:outlineLvl w:val="9"/>
        <w:rPr>
          <w:u w:val="single" w:color="auto"/>
        </w:rPr>
      </w:pPr>
      <w:r>
        <w:rPr>
          <w:u w:val="single" w:color="auto"/>
        </w:rPr>
        <w:drawing>
          <wp:inline distT="0" distB="0" distL="114300" distR="114300">
            <wp:extent cx="694690" cy="837565"/>
            <wp:effectExtent l="0" t="0" r="10160" b="635"/>
            <wp:docPr id="15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2"/>
                    <pic:cNvPicPr>
                      <a:picLocks noChangeAspect="1"/>
                    </pic:cNvPicPr>
                  </pic:nvPicPr>
                  <pic:blipFill>
                    <a:blip r:embed="rId28"/>
                    <a:stretch>
                      <a:fillRect/>
                    </a:stretch>
                  </pic:blipFill>
                  <pic:spPr>
                    <a:xfrm>
                      <a:off x="0" y="0"/>
                      <a:ext cx="694690" cy="837565"/>
                    </a:xfrm>
                    <a:prstGeom prst="rect">
                      <a:avLst/>
                    </a:prstGeom>
                    <a:noFill/>
                    <a:ln>
                      <a:noFill/>
                    </a:ln>
                  </pic:spPr>
                </pic:pic>
              </a:graphicData>
            </a:graphic>
          </wp:inline>
        </w:drawing>
      </w:r>
    </w:p>
    <w:p w14:paraId="27975F61">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left"/>
        <w:textAlignment w:val="auto"/>
        <w:outlineLvl w:val="9"/>
        <w:rPr>
          <w:rFonts w:hint="eastAsia" w:ascii="Times New Roman" w:hAnsi="Times New Roman" w:eastAsia="宋体" w:cs="Times New Roman"/>
          <w:color w:val="auto"/>
          <w:sz w:val="24"/>
          <w:u w:val="single" w:color="auto"/>
          <w:lang w:val="en-US" w:eastAsia="zh-CN"/>
        </w:rPr>
      </w:pPr>
      <w:r>
        <w:rPr>
          <w:rFonts w:hint="eastAsia" w:ascii="Times New Roman" w:hAnsi="Times New Roman" w:eastAsia="宋体" w:cs="Times New Roman"/>
          <w:color w:val="auto"/>
          <w:sz w:val="24"/>
          <w:u w:val="single" w:color="auto"/>
          <w:lang w:val="en-US" w:eastAsia="zh-CN"/>
        </w:rPr>
        <w:t xml:space="preserve">式中： </w:t>
      </w:r>
    </w:p>
    <w:p w14:paraId="2FA05333">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left"/>
        <w:textAlignment w:val="auto"/>
        <w:outlineLvl w:val="9"/>
        <w:rPr>
          <w:rFonts w:hint="eastAsia"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α——O’Connor</w:t>
      </w:r>
      <w:r>
        <w:rPr>
          <w:rFonts w:hint="eastAsia" w:ascii="Times New Roman" w:hAnsi="Times New Roman" w:eastAsia="宋体" w:cs="Times New Roman"/>
          <w:color w:val="auto"/>
          <w:sz w:val="24"/>
          <w:u w:val="single" w:color="auto"/>
          <w:lang w:val="en-US" w:eastAsia="zh-CN"/>
        </w:rPr>
        <w:t xml:space="preserve">数，量纲一，表征物质离散降解通量与移流通量比值； </w:t>
      </w:r>
    </w:p>
    <w:p w14:paraId="251D07D3">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left"/>
        <w:textAlignment w:val="auto"/>
        <w:outlineLvl w:val="9"/>
        <w:rPr>
          <w:rFonts w:hint="eastAsia"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k——</w:t>
      </w:r>
      <w:r>
        <w:rPr>
          <w:rFonts w:hint="eastAsia" w:ascii="Times New Roman" w:hAnsi="Times New Roman" w:eastAsia="宋体" w:cs="Times New Roman"/>
          <w:color w:val="auto"/>
          <w:sz w:val="24"/>
          <w:u w:val="single" w:color="auto"/>
          <w:lang w:val="en-US" w:eastAsia="zh-CN"/>
        </w:rPr>
        <w:t xml:space="preserve">污染物综合衰减系数； </w:t>
      </w:r>
    </w:p>
    <w:p w14:paraId="62D994D4">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left"/>
        <w:textAlignment w:val="auto"/>
        <w:outlineLvl w:val="9"/>
        <w:rPr>
          <w:rFonts w:hint="eastAsia"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Pe——</w:t>
      </w:r>
      <w:r>
        <w:rPr>
          <w:rFonts w:hint="eastAsia" w:ascii="Times New Roman" w:hAnsi="Times New Roman" w:eastAsia="宋体" w:cs="Times New Roman"/>
          <w:color w:val="auto"/>
          <w:sz w:val="24"/>
          <w:u w:val="single" w:color="auto"/>
          <w:lang w:val="en-US" w:eastAsia="zh-CN"/>
        </w:rPr>
        <w:t xml:space="preserve">贝克来数，量纲一，表征物质移流通量与离散通量比值； </w:t>
      </w:r>
    </w:p>
    <w:p w14:paraId="6A9E5AF1">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479" w:leftChars="228" w:right="0" w:rightChars="0" w:firstLine="0" w:firstLineChars="0"/>
        <w:jc w:val="left"/>
        <w:textAlignment w:val="auto"/>
        <w:outlineLvl w:val="9"/>
        <w:rPr>
          <w:rFonts w:hint="eastAsia"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Ex——</w:t>
      </w:r>
      <w:r>
        <w:rPr>
          <w:rFonts w:hint="eastAsia" w:ascii="Times New Roman" w:hAnsi="Times New Roman" w:eastAsia="宋体" w:cs="Times New Roman"/>
          <w:color w:val="auto"/>
          <w:sz w:val="24"/>
          <w:u w:val="single" w:color="auto"/>
          <w:lang w:val="en-US" w:eastAsia="zh-CN"/>
        </w:rPr>
        <w:t>污染物纵向扩散系数，</w:t>
      </w:r>
      <w:r>
        <w:rPr>
          <w:rFonts w:hint="default" w:ascii="Times New Roman" w:hAnsi="Times New Roman" w:eastAsia="宋体" w:cs="Times New Roman"/>
          <w:color w:val="auto"/>
          <w:sz w:val="24"/>
          <w:u w:val="single" w:color="auto"/>
          <w:lang w:val="en-US" w:eastAsia="zh-CN"/>
        </w:rPr>
        <w:t>m</w:t>
      </w:r>
      <w:r>
        <w:rPr>
          <w:rFonts w:hint="default" w:ascii="Times New Roman" w:hAnsi="Times New Roman" w:eastAsia="宋体" w:cs="Times New Roman"/>
          <w:color w:val="auto"/>
          <w:sz w:val="24"/>
          <w:u w:val="single" w:color="auto"/>
          <w:vertAlign w:val="superscript"/>
          <w:lang w:val="en-US" w:eastAsia="zh-CN"/>
        </w:rPr>
        <w:t>2</w:t>
      </w:r>
      <w:r>
        <w:rPr>
          <w:rFonts w:hint="default" w:ascii="Times New Roman" w:hAnsi="Times New Roman" w:eastAsia="宋体" w:cs="Times New Roman"/>
          <w:color w:val="auto"/>
          <w:sz w:val="24"/>
          <w:u w:val="single" w:color="auto"/>
          <w:lang w:val="en-US" w:eastAsia="zh-CN"/>
        </w:rPr>
        <w:t xml:space="preserve"> /s</w:t>
      </w:r>
      <w:r>
        <w:rPr>
          <w:rFonts w:hint="eastAsia" w:ascii="Times New Roman" w:hAnsi="Times New Roman" w:eastAsia="宋体" w:cs="Times New Roman"/>
          <w:color w:val="auto"/>
          <w:sz w:val="24"/>
          <w:u w:val="single" w:color="auto"/>
          <w:lang w:val="en-US" w:eastAsia="zh-CN"/>
        </w:rPr>
        <w:t>，用爱尔德（</w:t>
      </w:r>
      <w:r>
        <w:rPr>
          <w:rFonts w:hint="default" w:ascii="Times New Roman" w:hAnsi="Times New Roman" w:eastAsia="宋体" w:cs="Times New Roman"/>
          <w:color w:val="auto"/>
          <w:sz w:val="24"/>
          <w:u w:val="single" w:color="auto"/>
          <w:lang w:val="en-US" w:eastAsia="zh-CN"/>
        </w:rPr>
        <w:t>Elder</w:t>
      </w:r>
      <w:r>
        <w:rPr>
          <w:rFonts w:hint="eastAsia" w:ascii="Times New Roman" w:hAnsi="Times New Roman" w:eastAsia="宋体" w:cs="Times New Roman"/>
          <w:color w:val="auto"/>
          <w:sz w:val="24"/>
          <w:u w:val="single" w:color="auto"/>
          <w:lang w:val="en-US" w:eastAsia="zh-CN"/>
        </w:rPr>
        <w:t>）法求</w:t>
      </w:r>
      <w:r>
        <w:rPr>
          <w:rFonts w:hint="default" w:ascii="Times New Roman" w:hAnsi="Times New Roman" w:eastAsia="宋体" w:cs="Times New Roman"/>
          <w:color w:val="auto"/>
          <w:sz w:val="24"/>
          <w:u w:val="single" w:color="auto"/>
          <w:lang w:val="en-US" w:eastAsia="zh-CN"/>
        </w:rPr>
        <w:t>Ex</w:t>
      </w:r>
      <w:r>
        <w:rPr>
          <w:rFonts w:hint="eastAsia" w:ascii="Times New Roman" w:hAnsi="Times New Roman" w:eastAsia="宋体" w:cs="Times New Roman"/>
          <w:color w:val="auto"/>
          <w:sz w:val="24"/>
          <w:u w:val="single" w:color="auto"/>
          <w:lang w:val="en-US" w:eastAsia="zh-CN"/>
        </w:rPr>
        <w:t>，</w:t>
      </w:r>
      <w:r>
        <w:rPr>
          <w:rFonts w:hint="default" w:ascii="Times New Roman" w:hAnsi="Times New Roman" w:eastAsia="宋体" w:cs="Times New Roman"/>
          <w:color w:val="auto"/>
          <w:sz w:val="24"/>
          <w:u w:val="single" w:color="auto"/>
          <w:lang w:val="en-US" w:eastAsia="zh-CN"/>
        </w:rPr>
        <w:t>Ex=5.93H(gHI)1/2</w:t>
      </w:r>
      <w:r>
        <w:rPr>
          <w:rFonts w:hint="eastAsia" w:ascii="Times New Roman" w:hAnsi="Times New Roman" w:eastAsia="宋体" w:cs="Times New Roman"/>
          <w:color w:val="auto"/>
          <w:sz w:val="24"/>
          <w:u w:val="single" w:color="auto"/>
          <w:lang w:val="en-US" w:eastAsia="zh-CN"/>
        </w:rPr>
        <w:t>（</w:t>
      </w:r>
      <w:r>
        <w:rPr>
          <w:rFonts w:hint="default" w:ascii="Times New Roman" w:hAnsi="Times New Roman" w:eastAsia="宋体" w:cs="Times New Roman"/>
          <w:color w:val="auto"/>
          <w:sz w:val="24"/>
          <w:u w:val="single" w:color="auto"/>
          <w:lang w:val="en-US" w:eastAsia="zh-CN"/>
        </w:rPr>
        <w:t>g</w:t>
      </w:r>
      <w:r>
        <w:rPr>
          <w:rFonts w:hint="eastAsia" w:ascii="Times New Roman" w:hAnsi="Times New Roman" w:eastAsia="宋体" w:cs="Times New Roman"/>
          <w:color w:val="auto"/>
          <w:sz w:val="24"/>
          <w:u w:val="single" w:color="auto"/>
          <w:lang w:val="en-US" w:eastAsia="zh-CN"/>
        </w:rPr>
        <w:t>：重力加速度），求得</w:t>
      </w:r>
      <w:r>
        <w:rPr>
          <w:rFonts w:hint="default" w:ascii="Times New Roman" w:hAnsi="Times New Roman" w:eastAsia="宋体" w:cs="Times New Roman"/>
          <w:color w:val="auto"/>
          <w:sz w:val="24"/>
          <w:u w:val="single" w:color="auto"/>
          <w:lang w:val="en-US" w:eastAsia="zh-CN"/>
        </w:rPr>
        <w:t>Ex</w:t>
      </w:r>
      <w:r>
        <w:rPr>
          <w:rFonts w:hint="eastAsia" w:ascii="Times New Roman" w:hAnsi="Times New Roman" w:eastAsia="宋体" w:cs="Times New Roman"/>
          <w:color w:val="auto"/>
          <w:sz w:val="24"/>
          <w:u w:val="single" w:color="auto"/>
          <w:lang w:val="en-US" w:eastAsia="zh-CN"/>
        </w:rPr>
        <w:t>-3.712</w:t>
      </w:r>
      <w:r>
        <w:rPr>
          <w:rFonts w:hint="default" w:ascii="Times New Roman" w:hAnsi="Times New Roman" w:eastAsia="宋体" w:cs="Times New Roman"/>
          <w:color w:val="auto"/>
          <w:sz w:val="24"/>
          <w:u w:val="single" w:color="auto"/>
          <w:lang w:val="en-US" w:eastAsia="zh-CN"/>
        </w:rPr>
        <w:t>m</w:t>
      </w:r>
      <w:r>
        <w:rPr>
          <w:rFonts w:hint="default" w:ascii="Times New Roman" w:hAnsi="Times New Roman" w:eastAsia="宋体" w:cs="Times New Roman"/>
          <w:color w:val="auto"/>
          <w:sz w:val="24"/>
          <w:u w:val="single" w:color="auto"/>
          <w:vertAlign w:val="superscript"/>
          <w:lang w:val="en-US" w:eastAsia="zh-CN"/>
        </w:rPr>
        <w:t>2</w:t>
      </w:r>
      <w:r>
        <w:rPr>
          <w:rFonts w:hint="default" w:ascii="Times New Roman" w:hAnsi="Times New Roman" w:eastAsia="宋体" w:cs="Times New Roman"/>
          <w:color w:val="auto"/>
          <w:sz w:val="24"/>
          <w:u w:val="single" w:color="auto"/>
          <w:lang w:val="en-US" w:eastAsia="zh-CN"/>
        </w:rPr>
        <w:t xml:space="preserve"> /s</w:t>
      </w:r>
      <w:r>
        <w:rPr>
          <w:rFonts w:hint="eastAsia" w:ascii="Times New Roman" w:hAnsi="Times New Roman" w:eastAsia="宋体" w:cs="Times New Roman"/>
          <w:color w:val="auto"/>
          <w:sz w:val="24"/>
          <w:u w:val="single" w:color="auto"/>
          <w:lang w:val="en-US" w:eastAsia="zh-CN"/>
        </w:rPr>
        <w:t xml:space="preserve">； </w:t>
      </w:r>
    </w:p>
    <w:p w14:paraId="0626F77D">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360" w:lineRule="auto"/>
        <w:ind w:leftChars="0" w:right="0" w:rightChars="0" w:firstLine="480" w:firstLineChars="200"/>
        <w:jc w:val="left"/>
        <w:textAlignment w:val="auto"/>
        <w:outlineLvl w:val="9"/>
        <w:rPr>
          <w:rFonts w:hint="eastAsia" w:ascii="Times New Roman" w:hAnsi="Times New Roman" w:eastAsia="宋体" w:cs="Times New Roman"/>
          <w:color w:val="auto"/>
          <w:sz w:val="24"/>
          <w:u w:val="single" w:color="auto"/>
          <w:lang w:val="en-US" w:eastAsia="zh-CN"/>
        </w:rPr>
      </w:pPr>
      <w:r>
        <w:rPr>
          <w:rFonts w:hint="default" w:ascii="Times New Roman" w:hAnsi="Times New Roman" w:eastAsia="宋体" w:cs="Times New Roman"/>
          <w:color w:val="auto"/>
          <w:sz w:val="24"/>
          <w:u w:val="single" w:color="auto"/>
          <w:lang w:val="en-US" w:eastAsia="zh-CN"/>
        </w:rPr>
        <w:t>U——</w:t>
      </w:r>
      <w:r>
        <w:rPr>
          <w:rFonts w:hint="eastAsia" w:ascii="Times New Roman" w:hAnsi="Times New Roman" w:eastAsia="宋体" w:cs="Times New Roman"/>
          <w:color w:val="auto"/>
          <w:sz w:val="24"/>
          <w:u w:val="single" w:color="auto"/>
          <w:lang w:val="en-US" w:eastAsia="zh-CN"/>
        </w:rPr>
        <w:t>断面流速，</w:t>
      </w:r>
      <w:r>
        <w:rPr>
          <w:rFonts w:hint="default" w:ascii="Times New Roman" w:hAnsi="Times New Roman" w:eastAsia="宋体" w:cs="Times New Roman"/>
          <w:color w:val="auto"/>
          <w:sz w:val="24"/>
          <w:u w:val="single" w:color="auto"/>
          <w:lang w:val="en-US" w:eastAsia="zh-CN"/>
        </w:rPr>
        <w:t>m/s</w:t>
      </w:r>
      <w:r>
        <w:rPr>
          <w:rFonts w:hint="eastAsia" w:ascii="Times New Roman" w:hAnsi="Times New Roman" w:eastAsia="宋体" w:cs="Times New Roman"/>
          <w:color w:val="auto"/>
          <w:sz w:val="24"/>
          <w:u w:val="single" w:color="auto"/>
          <w:lang w:val="en-US" w:eastAsia="zh-CN"/>
        </w:rPr>
        <w:t>。</w:t>
      </w:r>
    </w:p>
    <w:p w14:paraId="4235942D">
      <w:pPr>
        <w:keepNext w:val="0"/>
        <w:keepLines w:val="0"/>
        <w:widowControl/>
        <w:suppressLineNumbers w:val="0"/>
        <w:spacing w:line="360" w:lineRule="auto"/>
        <w:ind w:firstLine="480" w:firstLineChars="200"/>
        <w:jc w:val="left"/>
        <w:rPr>
          <w:u w:val="single" w:color="auto"/>
        </w:rPr>
      </w:pPr>
      <w:r>
        <w:rPr>
          <w:rFonts w:hint="eastAsia" w:ascii="宋体" w:hAnsi="宋体" w:eastAsia="宋体" w:cs="宋体"/>
          <w:color w:val="000000"/>
          <w:kern w:val="0"/>
          <w:sz w:val="24"/>
          <w:szCs w:val="24"/>
          <w:u w:val="single" w:color="auto"/>
          <w:lang w:val="en-US" w:eastAsia="zh-CN" w:bidi="ar"/>
        </w:rPr>
        <w:t>综上所述，经计算，本项目</w:t>
      </w:r>
      <w:r>
        <w:rPr>
          <w:rFonts w:hint="default" w:ascii="Times New Roman" w:hAnsi="Times New Roman" w:eastAsia="宋体" w:cs="Times New Roman"/>
          <w:color w:val="000000"/>
          <w:kern w:val="0"/>
          <w:sz w:val="24"/>
          <w:szCs w:val="24"/>
          <w:u w:val="single" w:color="auto"/>
          <w:lang w:val="en-US" w:eastAsia="zh-CN" w:bidi="ar"/>
        </w:rPr>
        <w:t>α</w:t>
      </w:r>
      <w:r>
        <w:rPr>
          <w:rFonts w:hint="eastAsia" w:ascii="宋体" w:hAnsi="宋体" w:eastAsia="宋体" w:cs="宋体"/>
          <w:color w:val="000000"/>
          <w:kern w:val="0"/>
          <w:sz w:val="24"/>
          <w:szCs w:val="24"/>
          <w:u w:val="single" w:color="auto"/>
          <w:lang w:val="en-US" w:eastAsia="zh-CN" w:bidi="ar"/>
        </w:rPr>
        <w:t>、</w:t>
      </w:r>
      <w:r>
        <w:rPr>
          <w:rFonts w:hint="default" w:ascii="Times New Roman" w:hAnsi="Times New Roman" w:eastAsia="宋体" w:cs="Times New Roman"/>
          <w:color w:val="000000"/>
          <w:kern w:val="0"/>
          <w:sz w:val="24"/>
          <w:szCs w:val="24"/>
          <w:u w:val="single" w:color="auto"/>
          <w:lang w:val="en-US" w:eastAsia="zh-CN" w:bidi="ar"/>
        </w:rPr>
        <w:t>Pe</w:t>
      </w:r>
      <w:r>
        <w:rPr>
          <w:rFonts w:hint="eastAsia" w:ascii="宋体" w:hAnsi="宋体" w:eastAsia="宋体" w:cs="宋体"/>
          <w:color w:val="000000"/>
          <w:kern w:val="0"/>
          <w:sz w:val="24"/>
          <w:szCs w:val="24"/>
          <w:u w:val="single" w:color="auto"/>
          <w:lang w:val="en-US" w:eastAsia="zh-CN" w:bidi="ar"/>
        </w:rPr>
        <w:t>、</w:t>
      </w:r>
      <w:r>
        <w:rPr>
          <w:rFonts w:hint="default" w:ascii="Times New Roman" w:hAnsi="Times New Roman" w:eastAsia="宋体" w:cs="Times New Roman"/>
          <w:color w:val="000000"/>
          <w:kern w:val="0"/>
          <w:sz w:val="24"/>
          <w:szCs w:val="24"/>
          <w:u w:val="single" w:color="auto"/>
          <w:lang w:val="en-US" w:eastAsia="zh-CN" w:bidi="ar"/>
        </w:rPr>
        <w:t xml:space="preserve">Ex </w:t>
      </w:r>
      <w:r>
        <w:rPr>
          <w:rFonts w:hint="eastAsia" w:ascii="宋体" w:hAnsi="宋体" w:eastAsia="宋体" w:cs="宋体"/>
          <w:color w:val="000000"/>
          <w:kern w:val="0"/>
          <w:sz w:val="24"/>
          <w:szCs w:val="24"/>
          <w:u w:val="single" w:color="auto"/>
          <w:lang w:val="en-US" w:eastAsia="zh-CN" w:bidi="ar"/>
        </w:rPr>
        <w:t>值如下：</w:t>
      </w:r>
    </w:p>
    <w:p w14:paraId="19A3DDBE">
      <w:pPr>
        <w:pageBreakBefore w:val="0"/>
        <w:wordWrap/>
        <w:bidi w:val="0"/>
        <w:spacing w:line="240" w:lineRule="auto"/>
        <w:ind w:left="0" w:leftChars="0" w:right="0" w:firstLine="422" w:firstLineChars="200"/>
        <w:jc w:val="center"/>
        <w:rPr>
          <w:rFonts w:hint="default" w:ascii="Times New Roman" w:hAnsi="Times New Roman" w:eastAsia="宋体" w:cs="Times New Roman"/>
          <w:b/>
          <w:bCs/>
          <w:color w:val="auto"/>
          <w:sz w:val="21"/>
          <w:szCs w:val="21"/>
          <w:u w:val="single" w:color="auto"/>
        </w:rPr>
      </w:pPr>
      <w:r>
        <w:rPr>
          <w:rFonts w:hint="default" w:ascii="Times New Roman" w:hAnsi="Times New Roman" w:eastAsia="宋体" w:cs="Times New Roman"/>
          <w:b/>
          <w:bCs/>
          <w:color w:val="auto"/>
          <w:sz w:val="21"/>
          <w:szCs w:val="21"/>
          <w:u w:val="single" w:color="auto"/>
        </w:rPr>
        <w:t>表</w:t>
      </w:r>
      <w:r>
        <w:rPr>
          <w:rFonts w:hint="eastAsia" w:ascii="Times New Roman" w:hAnsi="Times New Roman" w:eastAsia="宋体" w:cs="Times New Roman"/>
          <w:b/>
          <w:bCs/>
          <w:color w:val="auto"/>
          <w:sz w:val="21"/>
          <w:szCs w:val="21"/>
          <w:u w:val="single" w:color="auto"/>
          <w:lang w:val="en-US" w:eastAsia="zh-CN"/>
        </w:rPr>
        <w:t>6.3-3</w:t>
      </w:r>
      <w:r>
        <w:rPr>
          <w:rFonts w:hint="eastAsia" w:cs="Times New Roman"/>
          <w:b/>
          <w:bCs/>
          <w:color w:val="auto"/>
          <w:sz w:val="21"/>
          <w:szCs w:val="21"/>
          <w:u w:val="single" w:color="auto"/>
          <w:lang w:val="en-US" w:eastAsia="zh-CN"/>
        </w:rPr>
        <w:t xml:space="preserve">  </w:t>
      </w:r>
      <w:r>
        <w:rPr>
          <w:rFonts w:hint="default" w:ascii="Times New Roman" w:hAnsi="Times New Roman" w:eastAsia="宋体" w:cs="Times New Roman"/>
          <w:b/>
          <w:bCs/>
          <w:color w:val="auto"/>
          <w:sz w:val="21"/>
          <w:szCs w:val="21"/>
          <w:u w:val="single" w:color="auto"/>
        </w:rPr>
        <w:t>α、Pe计算结果表</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6"/>
        <w:gridCol w:w="1350"/>
        <w:gridCol w:w="2173"/>
        <w:gridCol w:w="2115"/>
        <w:gridCol w:w="1478"/>
      </w:tblGrid>
      <w:tr w14:paraId="4875F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3" w:type="pct"/>
            <w:gridSpan w:val="2"/>
            <w:tcBorders>
              <w:tl2br w:val="nil"/>
              <w:tr2bl w:val="nil"/>
            </w:tcBorders>
            <w:noWrap w:val="0"/>
            <w:vAlign w:val="center"/>
          </w:tcPr>
          <w:p w14:paraId="26D5709D">
            <w:pPr>
              <w:pageBreakBefore w:val="0"/>
              <w:wordWrap/>
              <w:bidi w:val="0"/>
              <w:spacing w:line="360" w:lineRule="auto"/>
              <w:ind w:left="0" w:leftChars="0" w:right="0" w:firstLine="0" w:firstLineChars="0"/>
              <w:jc w:val="center"/>
              <w:rPr>
                <w:rFonts w:hint="default" w:ascii="Times New Roman" w:hAnsi="Times New Roman" w:eastAsia="宋体" w:cs="Times New Roman"/>
                <w:color w:val="auto"/>
                <w:sz w:val="21"/>
                <w:szCs w:val="21"/>
                <w:u w:val="single" w:color="auto"/>
              </w:rPr>
            </w:pPr>
            <w:r>
              <w:rPr>
                <w:rFonts w:hint="default" w:ascii="Times New Roman" w:hAnsi="Times New Roman" w:eastAsia="宋体" w:cs="Times New Roman"/>
                <w:color w:val="auto"/>
                <w:sz w:val="21"/>
                <w:szCs w:val="21"/>
                <w:u w:val="single" w:color="auto"/>
              </w:rPr>
              <w:t>项目</w:t>
            </w:r>
          </w:p>
        </w:tc>
        <w:tc>
          <w:tcPr>
            <w:tcW w:w="1276" w:type="pct"/>
            <w:tcBorders>
              <w:tl2br w:val="nil"/>
              <w:tr2bl w:val="nil"/>
            </w:tcBorders>
            <w:noWrap w:val="0"/>
            <w:vAlign w:val="center"/>
          </w:tcPr>
          <w:p w14:paraId="64172D02">
            <w:pPr>
              <w:pageBreakBefore w:val="0"/>
              <w:wordWrap/>
              <w:bidi w:val="0"/>
              <w:spacing w:line="360" w:lineRule="auto"/>
              <w:ind w:left="0" w:leftChars="0" w:right="0" w:firstLine="0" w:firstLineChars="0"/>
              <w:jc w:val="center"/>
              <w:rPr>
                <w:rFonts w:hint="default" w:ascii="Times New Roman" w:hAnsi="Times New Roman" w:eastAsia="宋体" w:cs="Times New Roman"/>
                <w:color w:val="auto"/>
                <w:sz w:val="21"/>
                <w:szCs w:val="21"/>
                <w:u w:val="single" w:color="auto"/>
              </w:rPr>
            </w:pPr>
            <w:r>
              <w:rPr>
                <w:rFonts w:hint="default" w:ascii="Times New Roman" w:hAnsi="Times New Roman" w:eastAsia="宋体" w:cs="Times New Roman"/>
                <w:color w:val="auto"/>
                <w:sz w:val="21"/>
                <w:szCs w:val="21"/>
                <w:u w:val="single" w:color="auto"/>
              </w:rPr>
              <w:t>COD</w:t>
            </w:r>
          </w:p>
        </w:tc>
        <w:tc>
          <w:tcPr>
            <w:tcW w:w="1242" w:type="pct"/>
            <w:tcBorders>
              <w:tl2br w:val="nil"/>
              <w:tr2bl w:val="nil"/>
            </w:tcBorders>
            <w:noWrap w:val="0"/>
            <w:vAlign w:val="center"/>
          </w:tcPr>
          <w:p w14:paraId="58FC5CD6">
            <w:pPr>
              <w:pageBreakBefore w:val="0"/>
              <w:wordWrap/>
              <w:bidi w:val="0"/>
              <w:spacing w:line="360" w:lineRule="auto"/>
              <w:ind w:left="0" w:leftChars="0" w:right="0" w:firstLine="0" w:firstLineChars="0"/>
              <w:jc w:val="center"/>
              <w:rPr>
                <w:rFonts w:hint="default" w:ascii="Times New Roman" w:hAnsi="Times New Roman" w:eastAsia="宋体" w:cs="Times New Roman"/>
                <w:color w:val="auto"/>
                <w:sz w:val="21"/>
                <w:szCs w:val="21"/>
                <w:u w:val="single" w:color="auto"/>
              </w:rPr>
            </w:pPr>
            <w:r>
              <w:rPr>
                <w:rFonts w:hint="default" w:ascii="Times New Roman" w:hAnsi="Times New Roman" w:eastAsia="宋体" w:cs="Times New Roman"/>
                <w:color w:val="auto"/>
                <w:sz w:val="21"/>
                <w:szCs w:val="21"/>
                <w:u w:val="single" w:color="auto"/>
              </w:rPr>
              <w:t>NH</w:t>
            </w:r>
            <w:r>
              <w:rPr>
                <w:rFonts w:hint="default" w:ascii="Times New Roman" w:hAnsi="Times New Roman" w:eastAsia="宋体" w:cs="Times New Roman"/>
                <w:color w:val="auto"/>
                <w:sz w:val="21"/>
                <w:szCs w:val="21"/>
                <w:u w:val="single" w:color="auto"/>
                <w:vertAlign w:val="subscript"/>
              </w:rPr>
              <w:t>3</w:t>
            </w:r>
            <w:r>
              <w:rPr>
                <w:rFonts w:hint="default" w:ascii="Times New Roman" w:hAnsi="Times New Roman" w:eastAsia="宋体" w:cs="Times New Roman"/>
                <w:color w:val="auto"/>
                <w:sz w:val="21"/>
                <w:szCs w:val="21"/>
                <w:u w:val="single" w:color="auto"/>
              </w:rPr>
              <w:t>-N</w:t>
            </w:r>
          </w:p>
        </w:tc>
        <w:tc>
          <w:tcPr>
            <w:tcW w:w="868" w:type="pct"/>
            <w:tcBorders>
              <w:tl2br w:val="nil"/>
              <w:tr2bl w:val="nil"/>
            </w:tcBorders>
            <w:noWrap w:val="0"/>
            <w:vAlign w:val="center"/>
          </w:tcPr>
          <w:p w14:paraId="18FD0622">
            <w:pPr>
              <w:pageBreakBefore w:val="0"/>
              <w:wordWrap/>
              <w:bidi w:val="0"/>
              <w:spacing w:line="360" w:lineRule="auto"/>
              <w:ind w:left="0" w:leftChars="0" w:right="0" w:firstLine="0" w:firstLineChars="0"/>
              <w:jc w:val="center"/>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cs="Times New Roman"/>
                <w:color w:val="auto"/>
                <w:sz w:val="21"/>
                <w:szCs w:val="21"/>
                <w:u w:val="single" w:color="auto"/>
                <w:lang w:val="en-US" w:eastAsia="zh-CN"/>
              </w:rPr>
              <w:t>总磷</w:t>
            </w:r>
          </w:p>
        </w:tc>
      </w:tr>
      <w:tr w14:paraId="42ECA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pct"/>
            <w:vMerge w:val="restart"/>
            <w:tcBorders>
              <w:tl2br w:val="nil"/>
              <w:tr2bl w:val="nil"/>
            </w:tcBorders>
            <w:noWrap w:val="0"/>
            <w:vAlign w:val="center"/>
          </w:tcPr>
          <w:p w14:paraId="65819A64">
            <w:pPr>
              <w:pageBreakBefore w:val="0"/>
              <w:wordWrap/>
              <w:bidi w:val="0"/>
              <w:spacing w:line="360" w:lineRule="auto"/>
              <w:ind w:left="0" w:leftChars="0" w:right="0" w:firstLine="0" w:firstLineChars="0"/>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青山河</w:t>
            </w:r>
          </w:p>
        </w:tc>
        <w:tc>
          <w:tcPr>
            <w:tcW w:w="792" w:type="pct"/>
            <w:tcBorders>
              <w:tl2br w:val="nil"/>
              <w:tr2bl w:val="nil"/>
            </w:tcBorders>
            <w:noWrap w:val="0"/>
            <w:vAlign w:val="center"/>
          </w:tcPr>
          <w:p w14:paraId="4CBC7E71">
            <w:pPr>
              <w:pageBreakBefore w:val="0"/>
              <w:wordWrap/>
              <w:bidi w:val="0"/>
              <w:spacing w:line="360" w:lineRule="auto"/>
              <w:ind w:left="0" w:leftChars="0" w:right="0" w:firstLine="0" w:firstLineChars="0"/>
              <w:jc w:val="center"/>
              <w:rPr>
                <w:rFonts w:hint="default" w:ascii="Times New Roman" w:hAnsi="Times New Roman" w:eastAsia="宋体" w:cs="Times New Roman"/>
                <w:color w:val="auto"/>
                <w:sz w:val="21"/>
                <w:szCs w:val="21"/>
                <w:u w:val="single" w:color="auto"/>
              </w:rPr>
            </w:pPr>
            <w:r>
              <w:rPr>
                <w:rFonts w:hint="default" w:ascii="Times New Roman" w:hAnsi="Times New Roman" w:eastAsia="宋体" w:cs="Times New Roman"/>
                <w:color w:val="auto"/>
                <w:sz w:val="21"/>
                <w:szCs w:val="21"/>
                <w:u w:val="single" w:color="auto"/>
              </w:rPr>
              <w:t>α值</w:t>
            </w:r>
          </w:p>
        </w:tc>
        <w:tc>
          <w:tcPr>
            <w:tcW w:w="2173" w:type="dxa"/>
            <w:tcBorders>
              <w:tl2br w:val="nil"/>
              <w:tr2bl w:val="nil"/>
            </w:tcBorders>
            <w:noWrap w:val="0"/>
            <w:vAlign w:val="center"/>
          </w:tcPr>
          <w:p w14:paraId="04D9F5EE">
            <w:pPr>
              <w:pageBreakBefore w:val="0"/>
              <w:wordWrap/>
              <w:bidi w:val="0"/>
              <w:spacing w:line="360" w:lineRule="auto"/>
              <w:ind w:left="0" w:leftChars="0" w:right="0" w:firstLine="0" w:firstLineChars="0"/>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0.0003</w:t>
            </w:r>
          </w:p>
        </w:tc>
        <w:tc>
          <w:tcPr>
            <w:tcW w:w="2115" w:type="dxa"/>
            <w:tcBorders>
              <w:tl2br w:val="nil"/>
              <w:tr2bl w:val="nil"/>
            </w:tcBorders>
            <w:noWrap w:val="0"/>
            <w:vAlign w:val="center"/>
          </w:tcPr>
          <w:p w14:paraId="4222A3DF">
            <w:pPr>
              <w:pageBreakBefore w:val="0"/>
              <w:wordWrap/>
              <w:bidi w:val="0"/>
              <w:spacing w:line="360" w:lineRule="auto"/>
              <w:ind w:left="0" w:leftChars="0" w:right="0" w:firstLine="0" w:firstLineChars="0"/>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0.0002</w:t>
            </w:r>
          </w:p>
        </w:tc>
        <w:tc>
          <w:tcPr>
            <w:tcW w:w="1478" w:type="dxa"/>
            <w:tcBorders>
              <w:tl2br w:val="nil"/>
              <w:tr2bl w:val="nil"/>
            </w:tcBorders>
            <w:noWrap w:val="0"/>
            <w:vAlign w:val="center"/>
          </w:tcPr>
          <w:p w14:paraId="070EA1EB">
            <w:pPr>
              <w:pageBreakBefore w:val="0"/>
              <w:wordWrap/>
              <w:bidi w:val="0"/>
              <w:spacing w:line="360" w:lineRule="auto"/>
              <w:ind w:left="0" w:leftChars="0" w:right="0" w:firstLine="0" w:firstLineChars="0"/>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0.0001</w:t>
            </w:r>
          </w:p>
        </w:tc>
      </w:tr>
      <w:tr w14:paraId="1929B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pct"/>
            <w:vMerge w:val="continue"/>
            <w:tcBorders>
              <w:tl2br w:val="nil"/>
              <w:tr2bl w:val="nil"/>
            </w:tcBorders>
            <w:noWrap w:val="0"/>
            <w:vAlign w:val="center"/>
          </w:tcPr>
          <w:p w14:paraId="0BB3DA6F">
            <w:pPr>
              <w:pageBreakBefore w:val="0"/>
              <w:wordWrap/>
              <w:bidi w:val="0"/>
              <w:spacing w:line="360" w:lineRule="auto"/>
              <w:ind w:left="0" w:leftChars="0" w:right="0"/>
              <w:jc w:val="center"/>
              <w:rPr>
                <w:rFonts w:hint="default" w:ascii="Times New Roman" w:hAnsi="Times New Roman" w:eastAsia="宋体" w:cs="Times New Roman"/>
                <w:color w:val="auto"/>
                <w:sz w:val="21"/>
                <w:szCs w:val="21"/>
                <w:u w:val="single" w:color="auto"/>
              </w:rPr>
            </w:pPr>
          </w:p>
        </w:tc>
        <w:tc>
          <w:tcPr>
            <w:tcW w:w="792" w:type="pct"/>
            <w:tcBorders>
              <w:tl2br w:val="nil"/>
              <w:tr2bl w:val="nil"/>
            </w:tcBorders>
            <w:noWrap w:val="0"/>
            <w:vAlign w:val="center"/>
          </w:tcPr>
          <w:p w14:paraId="49A50BFC">
            <w:pPr>
              <w:pageBreakBefore w:val="0"/>
              <w:wordWrap/>
              <w:bidi w:val="0"/>
              <w:spacing w:line="360" w:lineRule="auto"/>
              <w:ind w:left="0" w:leftChars="0" w:right="0" w:firstLine="0" w:firstLineChars="0"/>
              <w:jc w:val="center"/>
              <w:rPr>
                <w:rFonts w:hint="default" w:ascii="Times New Roman" w:hAnsi="Times New Roman" w:eastAsia="宋体" w:cs="Times New Roman"/>
                <w:color w:val="auto"/>
                <w:sz w:val="21"/>
                <w:szCs w:val="21"/>
                <w:u w:val="single" w:color="auto"/>
              </w:rPr>
            </w:pPr>
            <w:r>
              <w:rPr>
                <w:rFonts w:hint="default" w:ascii="Times New Roman" w:hAnsi="Times New Roman" w:eastAsia="宋体" w:cs="Times New Roman"/>
                <w:color w:val="auto"/>
                <w:sz w:val="21"/>
                <w:szCs w:val="21"/>
                <w:u w:val="single" w:color="auto"/>
              </w:rPr>
              <w:t>Pe值</w:t>
            </w:r>
          </w:p>
        </w:tc>
        <w:tc>
          <w:tcPr>
            <w:tcW w:w="5766" w:type="dxa"/>
            <w:gridSpan w:val="3"/>
            <w:tcBorders>
              <w:tl2br w:val="nil"/>
              <w:tr2bl w:val="nil"/>
            </w:tcBorders>
            <w:noWrap w:val="0"/>
            <w:vAlign w:val="center"/>
          </w:tcPr>
          <w:p w14:paraId="6B52A844">
            <w:pPr>
              <w:pageBreakBefore w:val="0"/>
              <w:wordWrap/>
              <w:bidi w:val="0"/>
              <w:spacing w:line="360" w:lineRule="auto"/>
              <w:ind w:left="0" w:leftChars="0" w:right="0" w:firstLine="0" w:firstLineChars="0"/>
              <w:jc w:val="center"/>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0.820</w:t>
            </w:r>
          </w:p>
        </w:tc>
      </w:tr>
    </w:tbl>
    <w:p w14:paraId="1843C581">
      <w:pPr>
        <w:pageBreakBefore w:val="0"/>
        <w:wordWrap/>
        <w:bidi w:val="0"/>
        <w:spacing w:line="360" w:lineRule="auto"/>
        <w:ind w:right="0" w:firstLine="480" w:firstLineChars="200"/>
        <w:rPr>
          <w:rFonts w:hint="eastAsia" w:ascii="Times New Roman" w:hAnsi="Times New Roman" w:eastAsia="宋体" w:cs="Times New Roman"/>
          <w:color w:val="auto"/>
          <w:sz w:val="24"/>
          <w:szCs w:val="24"/>
          <w:u w:val="single" w:color="auto"/>
          <w:lang w:eastAsia="zh-CN"/>
        </w:rPr>
      </w:pPr>
      <w:r>
        <w:rPr>
          <w:rFonts w:hint="default" w:ascii="Times New Roman" w:hAnsi="Times New Roman" w:eastAsia="宋体" w:cs="Times New Roman"/>
          <w:color w:val="auto"/>
          <w:sz w:val="24"/>
          <w:szCs w:val="24"/>
          <w:u w:val="single" w:color="auto"/>
        </w:rPr>
        <w:t>由上表可知，</w:t>
      </w:r>
      <w:r>
        <w:rPr>
          <w:rFonts w:hint="eastAsia" w:ascii="Times New Roman" w:hAnsi="Times New Roman" w:eastAsia="宋体" w:cs="Times New Roman"/>
          <w:color w:val="auto"/>
          <w:sz w:val="24"/>
          <w:szCs w:val="24"/>
          <w:u w:val="single" w:color="auto"/>
          <w:lang w:val="en-US" w:eastAsia="zh-CN"/>
        </w:rPr>
        <w:t>青山河</w:t>
      </w:r>
      <w:r>
        <w:rPr>
          <w:rFonts w:hint="default" w:ascii="Times New Roman" w:hAnsi="Times New Roman" w:eastAsia="宋体" w:cs="Times New Roman"/>
          <w:color w:val="auto"/>
          <w:sz w:val="24"/>
          <w:szCs w:val="24"/>
          <w:u w:val="single" w:color="auto"/>
        </w:rPr>
        <w:t>α</w:t>
      </w:r>
      <w:r>
        <w:rPr>
          <w:rFonts w:hint="eastAsia" w:eastAsia="宋体" w:cs="Times New Roman"/>
          <w:color w:val="auto"/>
          <w:sz w:val="24"/>
          <w:szCs w:val="24"/>
          <w:u w:val="single" w:color="auto"/>
          <w:lang w:val="en-US" w:eastAsia="zh-CN"/>
        </w:rPr>
        <w:t>均小于</w:t>
      </w:r>
      <w:r>
        <w:rPr>
          <w:rFonts w:hint="default" w:ascii="Times New Roman" w:hAnsi="Times New Roman" w:eastAsia="宋体" w:cs="Times New Roman"/>
          <w:color w:val="auto"/>
          <w:sz w:val="24"/>
          <w:szCs w:val="24"/>
          <w:u w:val="single" w:color="auto"/>
          <w:lang w:val="en-US" w:eastAsia="zh-CN"/>
        </w:rPr>
        <w:t>0.027</w:t>
      </w:r>
      <w:r>
        <w:rPr>
          <w:rFonts w:hint="eastAsia" w:eastAsia="宋体" w:cs="Times New Roman"/>
          <w:color w:val="auto"/>
          <w:sz w:val="24"/>
          <w:szCs w:val="24"/>
          <w:u w:val="single" w:color="auto"/>
          <w:lang w:val="en-US" w:eastAsia="zh-CN"/>
        </w:rPr>
        <w:t>，</w:t>
      </w:r>
      <w:r>
        <w:rPr>
          <w:rFonts w:hint="default" w:ascii="Times New Roman" w:hAnsi="Times New Roman" w:eastAsia="宋体" w:cs="Times New Roman"/>
          <w:color w:val="auto"/>
          <w:sz w:val="24"/>
          <w:szCs w:val="24"/>
          <w:u w:val="single" w:color="auto"/>
        </w:rPr>
        <w:t>Pe值</w:t>
      </w:r>
      <w:r>
        <w:rPr>
          <w:rFonts w:hint="eastAsia" w:ascii="Times New Roman" w:hAnsi="Times New Roman" w:eastAsia="宋体" w:cs="Times New Roman"/>
          <w:color w:val="auto"/>
          <w:sz w:val="24"/>
          <w:szCs w:val="24"/>
          <w:u w:val="single" w:color="auto"/>
          <w:lang w:val="en-US" w:eastAsia="zh-CN"/>
        </w:rPr>
        <w:t>均</w:t>
      </w:r>
      <w:r>
        <w:rPr>
          <w:rFonts w:hint="eastAsia" w:cs="Times New Roman"/>
          <w:color w:val="auto"/>
          <w:sz w:val="24"/>
          <w:szCs w:val="24"/>
          <w:u w:val="single" w:color="auto"/>
          <w:lang w:val="en-US" w:eastAsia="zh-CN"/>
        </w:rPr>
        <w:t>小</w:t>
      </w:r>
      <w:r>
        <w:rPr>
          <w:rFonts w:hint="default" w:ascii="Times New Roman" w:hAnsi="Times New Roman" w:eastAsia="宋体" w:cs="Times New Roman"/>
          <w:color w:val="auto"/>
          <w:sz w:val="24"/>
          <w:szCs w:val="24"/>
          <w:u w:val="single" w:color="auto"/>
          <w:lang w:val="en-US" w:eastAsia="zh-CN"/>
        </w:rPr>
        <w:t>于1</w:t>
      </w:r>
      <w:r>
        <w:rPr>
          <w:rFonts w:hint="default" w:ascii="Times New Roman" w:hAnsi="Times New Roman" w:eastAsia="宋体" w:cs="Times New Roman"/>
          <w:color w:val="auto"/>
          <w:sz w:val="24"/>
          <w:szCs w:val="24"/>
          <w:u w:val="single" w:color="auto"/>
        </w:rPr>
        <w:t>。根据导则附录E.3.2.1，地表水环境影响预测适用对流</w:t>
      </w:r>
      <w:r>
        <w:rPr>
          <w:rFonts w:hint="eastAsia" w:ascii="Times New Roman" w:hAnsi="Times New Roman" w:eastAsia="宋体" w:cs="Times New Roman"/>
          <w:color w:val="auto"/>
          <w:sz w:val="24"/>
          <w:szCs w:val="24"/>
          <w:u w:val="single" w:color="auto"/>
          <w:lang w:val="en-US" w:eastAsia="zh-CN"/>
        </w:rPr>
        <w:t>扩散</w:t>
      </w:r>
      <w:r>
        <w:rPr>
          <w:rFonts w:hint="default" w:ascii="Times New Roman" w:hAnsi="Times New Roman" w:eastAsia="宋体" w:cs="Times New Roman"/>
          <w:color w:val="auto"/>
          <w:sz w:val="24"/>
          <w:szCs w:val="24"/>
          <w:u w:val="single" w:color="auto"/>
        </w:rPr>
        <w:t>降解</w:t>
      </w:r>
      <w:r>
        <w:rPr>
          <w:rFonts w:hint="eastAsia" w:ascii="Times New Roman" w:hAnsi="Times New Roman" w:eastAsia="宋体" w:cs="Times New Roman"/>
          <w:color w:val="auto"/>
          <w:sz w:val="24"/>
          <w:szCs w:val="24"/>
          <w:u w:val="single" w:color="auto"/>
          <w:lang w:val="en-US" w:eastAsia="zh-CN"/>
        </w:rPr>
        <w:t>简化</w:t>
      </w:r>
      <w:r>
        <w:rPr>
          <w:rFonts w:hint="default" w:ascii="Times New Roman" w:hAnsi="Times New Roman" w:eastAsia="宋体" w:cs="Times New Roman"/>
          <w:color w:val="auto"/>
          <w:sz w:val="24"/>
          <w:szCs w:val="24"/>
          <w:u w:val="single" w:color="auto"/>
        </w:rPr>
        <w:t>模型</w:t>
      </w:r>
      <w:r>
        <w:rPr>
          <w:rFonts w:hint="eastAsia" w:ascii="Times New Roman" w:hAnsi="Times New Roman" w:eastAsia="宋体" w:cs="Times New Roman"/>
          <w:color w:val="auto"/>
          <w:sz w:val="24"/>
          <w:szCs w:val="24"/>
          <w:u w:val="single" w:color="auto"/>
          <w:lang w:eastAsia="zh-CN"/>
        </w:rPr>
        <w:t>：</w:t>
      </w:r>
    </w:p>
    <w:p w14:paraId="4BF02621">
      <w:pPr>
        <w:pageBreakBefore w:val="0"/>
        <w:wordWrap/>
        <w:bidi w:val="0"/>
        <w:spacing w:line="360" w:lineRule="auto"/>
        <w:ind w:right="0" w:firstLine="420" w:firstLineChars="200"/>
        <w:jc w:val="center"/>
        <w:rPr>
          <w:u w:val="single" w:color="auto"/>
        </w:rPr>
      </w:pPr>
      <w:r>
        <w:rPr>
          <w:u w:val="single" w:color="auto"/>
        </w:rPr>
        <w:drawing>
          <wp:inline distT="0" distB="0" distL="114300" distR="114300">
            <wp:extent cx="2476500" cy="1371600"/>
            <wp:effectExtent l="0" t="0" r="0" b="0"/>
            <wp:docPr id="15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3"/>
                    <pic:cNvPicPr>
                      <a:picLocks noChangeAspect="1"/>
                    </pic:cNvPicPr>
                  </pic:nvPicPr>
                  <pic:blipFill>
                    <a:blip r:embed="rId29"/>
                    <a:stretch>
                      <a:fillRect/>
                    </a:stretch>
                  </pic:blipFill>
                  <pic:spPr>
                    <a:xfrm>
                      <a:off x="0" y="0"/>
                      <a:ext cx="2476500" cy="1371600"/>
                    </a:xfrm>
                    <a:prstGeom prst="rect">
                      <a:avLst/>
                    </a:prstGeom>
                    <a:noFill/>
                    <a:ln>
                      <a:noFill/>
                    </a:ln>
                  </pic:spPr>
                </pic:pic>
              </a:graphicData>
            </a:graphic>
          </wp:inline>
        </w:drawing>
      </w:r>
    </w:p>
    <w:p w14:paraId="660D90F1">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u w:val="single" w:color="auto"/>
        </w:rPr>
      </w:pPr>
      <w:r>
        <w:rPr>
          <w:rFonts w:hint="eastAsia" w:ascii="宋体" w:hAnsi="宋体" w:eastAsia="宋体" w:cs="宋体"/>
          <w:color w:val="000000"/>
          <w:kern w:val="0"/>
          <w:sz w:val="24"/>
          <w:szCs w:val="24"/>
          <w:u w:val="single" w:color="auto"/>
          <w:lang w:val="en-US" w:eastAsia="zh-CN" w:bidi="ar"/>
        </w:rPr>
        <w:t xml:space="preserve">式中： </w:t>
      </w:r>
      <w:r>
        <w:rPr>
          <w:rFonts w:hint="default" w:ascii="Times New Roman" w:hAnsi="Times New Roman" w:eastAsia="宋体" w:cs="Times New Roman"/>
          <w:color w:val="000000"/>
          <w:kern w:val="0"/>
          <w:sz w:val="24"/>
          <w:szCs w:val="24"/>
          <w:u w:val="single" w:color="auto"/>
          <w:lang w:val="en-US" w:eastAsia="zh-CN" w:bidi="ar"/>
        </w:rPr>
        <w:t>C</w:t>
      </w:r>
      <w:r>
        <w:rPr>
          <w:rFonts w:hint="default" w:ascii="Times New Roman" w:hAnsi="Times New Roman" w:eastAsia="宋体" w:cs="Times New Roman"/>
          <w:color w:val="000000"/>
          <w:kern w:val="0"/>
          <w:sz w:val="15"/>
          <w:szCs w:val="15"/>
          <w:u w:val="single" w:color="auto"/>
          <w:lang w:val="en-US" w:eastAsia="zh-CN" w:bidi="ar"/>
        </w:rPr>
        <w:t>0</w:t>
      </w:r>
      <w:r>
        <w:rPr>
          <w:rFonts w:hint="default" w:ascii="Times New Roman" w:hAnsi="Times New Roman" w:eastAsia="宋体" w:cs="Times New Roman"/>
          <w:color w:val="000000"/>
          <w:kern w:val="0"/>
          <w:sz w:val="24"/>
          <w:szCs w:val="24"/>
          <w:u w:val="single" w:color="auto"/>
          <w:lang w:val="en-US" w:eastAsia="zh-CN" w:bidi="ar"/>
        </w:rPr>
        <w:t>——</w:t>
      </w:r>
      <w:r>
        <w:rPr>
          <w:rFonts w:hint="eastAsia" w:ascii="宋体" w:hAnsi="宋体" w:eastAsia="宋体" w:cs="宋体"/>
          <w:color w:val="000000"/>
          <w:kern w:val="0"/>
          <w:sz w:val="24"/>
          <w:szCs w:val="24"/>
          <w:u w:val="single" w:color="auto"/>
          <w:lang w:val="en-US" w:eastAsia="zh-CN" w:bidi="ar"/>
        </w:rPr>
        <w:t>河流排放口初始断面混合浓度，</w:t>
      </w:r>
      <w:r>
        <w:rPr>
          <w:rFonts w:hint="default" w:ascii="Times New Roman" w:hAnsi="Times New Roman" w:eastAsia="宋体" w:cs="Times New Roman"/>
          <w:color w:val="000000"/>
          <w:kern w:val="0"/>
          <w:sz w:val="24"/>
          <w:szCs w:val="24"/>
          <w:u w:val="single" w:color="auto"/>
          <w:lang w:val="en-US" w:eastAsia="zh-CN" w:bidi="ar"/>
        </w:rPr>
        <w:t>mg/L</w:t>
      </w:r>
      <w:r>
        <w:rPr>
          <w:rFonts w:hint="eastAsia" w:ascii="宋体" w:hAnsi="宋体" w:eastAsia="宋体" w:cs="宋体"/>
          <w:color w:val="000000"/>
          <w:kern w:val="0"/>
          <w:sz w:val="24"/>
          <w:szCs w:val="24"/>
          <w:u w:val="single" w:color="auto"/>
          <w:lang w:val="en-US" w:eastAsia="zh-CN" w:bidi="ar"/>
        </w:rPr>
        <w:t xml:space="preserve">； </w:t>
      </w:r>
    </w:p>
    <w:p w14:paraId="67E7A0EE">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u w:val="single" w:color="auto"/>
        </w:rPr>
      </w:pPr>
      <w:r>
        <w:rPr>
          <w:rFonts w:hint="default" w:ascii="Times New Roman" w:hAnsi="Times New Roman" w:eastAsia="宋体" w:cs="Times New Roman"/>
          <w:color w:val="000000"/>
          <w:kern w:val="0"/>
          <w:sz w:val="24"/>
          <w:szCs w:val="24"/>
          <w:u w:val="single" w:color="auto"/>
          <w:lang w:val="en-US" w:eastAsia="zh-CN" w:bidi="ar"/>
        </w:rPr>
        <w:t>x——</w:t>
      </w:r>
      <w:r>
        <w:rPr>
          <w:rFonts w:hint="eastAsia" w:ascii="宋体" w:hAnsi="宋体" w:eastAsia="宋体" w:cs="宋体"/>
          <w:color w:val="000000"/>
          <w:kern w:val="0"/>
          <w:sz w:val="24"/>
          <w:szCs w:val="24"/>
          <w:u w:val="single" w:color="auto"/>
          <w:lang w:val="en-US" w:eastAsia="zh-CN" w:bidi="ar"/>
        </w:rPr>
        <w:t>河流沿程坐标，</w:t>
      </w:r>
      <w:r>
        <w:rPr>
          <w:rFonts w:hint="default" w:ascii="Times New Roman" w:hAnsi="Times New Roman" w:eastAsia="宋体" w:cs="Times New Roman"/>
          <w:color w:val="000000"/>
          <w:kern w:val="0"/>
          <w:sz w:val="24"/>
          <w:szCs w:val="24"/>
          <w:u w:val="single" w:color="auto"/>
          <w:lang w:val="en-US" w:eastAsia="zh-CN" w:bidi="ar"/>
        </w:rPr>
        <w:t xml:space="preserve">x&gt;0 </w:t>
      </w:r>
      <w:r>
        <w:rPr>
          <w:rFonts w:hint="eastAsia" w:ascii="宋体" w:hAnsi="宋体" w:eastAsia="宋体" w:cs="宋体"/>
          <w:color w:val="000000"/>
          <w:kern w:val="0"/>
          <w:sz w:val="24"/>
          <w:szCs w:val="24"/>
          <w:u w:val="single" w:color="auto"/>
          <w:lang w:val="en-US" w:eastAsia="zh-CN" w:bidi="ar"/>
        </w:rPr>
        <w:t>指排放口下游段；</w:t>
      </w:r>
    </w:p>
    <w:p w14:paraId="474FA49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u w:val="single" w:color="auto"/>
        </w:rPr>
      </w:pPr>
      <w:r>
        <w:rPr>
          <w:rFonts w:hint="default" w:ascii="Times New Roman" w:hAnsi="Times New Roman" w:eastAsia="宋体" w:cs="Times New Roman"/>
          <w:color w:val="000000"/>
          <w:kern w:val="0"/>
          <w:sz w:val="24"/>
          <w:szCs w:val="24"/>
          <w:u w:val="single" w:color="auto"/>
          <w:lang w:val="en-US" w:eastAsia="zh-CN" w:bidi="ar"/>
        </w:rPr>
        <w:t>u——</w:t>
      </w:r>
      <w:r>
        <w:rPr>
          <w:rFonts w:hint="eastAsia" w:ascii="宋体" w:hAnsi="宋体" w:eastAsia="宋体" w:cs="宋体"/>
          <w:color w:val="000000"/>
          <w:kern w:val="0"/>
          <w:sz w:val="24"/>
          <w:szCs w:val="24"/>
          <w:u w:val="single" w:color="auto"/>
          <w:lang w:val="en-US" w:eastAsia="zh-CN" w:bidi="ar"/>
        </w:rPr>
        <w:t>断面流速，</w:t>
      </w:r>
      <w:r>
        <w:rPr>
          <w:rFonts w:hint="default" w:ascii="Times New Roman" w:hAnsi="Times New Roman" w:eastAsia="宋体" w:cs="Times New Roman"/>
          <w:color w:val="000000"/>
          <w:kern w:val="0"/>
          <w:sz w:val="24"/>
          <w:szCs w:val="24"/>
          <w:u w:val="single" w:color="auto"/>
          <w:lang w:val="en-US" w:eastAsia="zh-CN" w:bidi="ar"/>
        </w:rPr>
        <w:t>m/s</w:t>
      </w:r>
      <w:r>
        <w:rPr>
          <w:rFonts w:hint="eastAsia" w:ascii="宋体" w:hAnsi="宋体" w:eastAsia="宋体" w:cs="宋体"/>
          <w:color w:val="000000"/>
          <w:kern w:val="0"/>
          <w:sz w:val="24"/>
          <w:szCs w:val="24"/>
          <w:u w:val="single" w:color="auto"/>
          <w:lang w:val="en-US" w:eastAsia="zh-CN" w:bidi="ar"/>
        </w:rPr>
        <w:t>；</w:t>
      </w:r>
    </w:p>
    <w:p w14:paraId="17FF569E">
      <w:pPr>
        <w:keepNext w:val="0"/>
        <w:keepLines w:val="0"/>
        <w:pageBreakBefore w:val="0"/>
        <w:kinsoku/>
        <w:wordWrap/>
        <w:overflowPunct/>
        <w:topLinePunct w:val="0"/>
        <w:autoSpaceDE/>
        <w:autoSpaceDN/>
        <w:bidi w:val="0"/>
        <w:adjustRightInd/>
        <w:snapToGrid/>
        <w:spacing w:line="360" w:lineRule="auto"/>
        <w:ind w:right="0" w:firstLine="480" w:firstLineChars="200"/>
        <w:jc w:val="both"/>
        <w:textAlignment w:val="auto"/>
        <w:rPr>
          <w:rFonts w:hint="eastAsia"/>
          <w:u w:val="single" w:color="auto"/>
          <w:lang w:eastAsia="zh-CN"/>
        </w:rPr>
      </w:pPr>
      <w:r>
        <w:rPr>
          <w:rFonts w:hint="default" w:ascii="Times New Roman" w:hAnsi="Times New Roman" w:eastAsia="宋体" w:cs="Times New Roman"/>
          <w:color w:val="auto"/>
          <w:sz w:val="24"/>
          <w:u w:val="single" w:color="auto"/>
          <w:lang w:val="en-US" w:eastAsia="zh-CN"/>
        </w:rPr>
        <w:t>Ex——</w:t>
      </w:r>
      <w:r>
        <w:rPr>
          <w:rFonts w:hint="eastAsia" w:ascii="Times New Roman" w:hAnsi="Times New Roman" w:eastAsia="宋体" w:cs="Times New Roman"/>
          <w:color w:val="auto"/>
          <w:sz w:val="24"/>
          <w:u w:val="single" w:color="auto"/>
          <w:lang w:val="en-US" w:eastAsia="zh-CN"/>
        </w:rPr>
        <w:t>污染物纵向扩散系数，</w:t>
      </w:r>
      <w:r>
        <w:rPr>
          <w:rFonts w:hint="default" w:ascii="Times New Roman" w:hAnsi="Times New Roman" w:eastAsia="宋体" w:cs="Times New Roman"/>
          <w:color w:val="auto"/>
          <w:sz w:val="24"/>
          <w:u w:val="single" w:color="auto"/>
          <w:lang w:val="en-US" w:eastAsia="zh-CN"/>
        </w:rPr>
        <w:t>m</w:t>
      </w:r>
      <w:r>
        <w:rPr>
          <w:rFonts w:hint="default" w:ascii="Times New Roman" w:hAnsi="Times New Roman" w:eastAsia="宋体" w:cs="Times New Roman"/>
          <w:color w:val="auto"/>
          <w:sz w:val="24"/>
          <w:u w:val="single" w:color="auto"/>
          <w:vertAlign w:val="superscript"/>
          <w:lang w:val="en-US" w:eastAsia="zh-CN"/>
        </w:rPr>
        <w:t>2</w:t>
      </w:r>
      <w:r>
        <w:rPr>
          <w:rFonts w:hint="default" w:ascii="Times New Roman" w:hAnsi="Times New Roman" w:eastAsia="宋体" w:cs="Times New Roman"/>
          <w:color w:val="auto"/>
          <w:sz w:val="24"/>
          <w:u w:val="single" w:color="auto"/>
          <w:lang w:val="en-US" w:eastAsia="zh-CN"/>
        </w:rPr>
        <w:t xml:space="preserve"> /s</w:t>
      </w:r>
    </w:p>
    <w:p w14:paraId="1B1A60B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u w:val="single" w:color="auto"/>
        </w:rPr>
      </w:pPr>
      <w:r>
        <w:rPr>
          <w:rFonts w:hint="default" w:ascii="Times New Roman" w:hAnsi="Times New Roman" w:eastAsia="宋体" w:cs="Times New Roman"/>
          <w:color w:val="000000"/>
          <w:kern w:val="0"/>
          <w:sz w:val="24"/>
          <w:szCs w:val="24"/>
          <w:u w:val="single" w:color="auto"/>
          <w:lang w:val="en-US" w:eastAsia="zh-CN" w:bidi="ar"/>
        </w:rPr>
        <w:t>C</w:t>
      </w:r>
      <w:r>
        <w:rPr>
          <w:rFonts w:hint="default" w:ascii="Times New Roman" w:hAnsi="Times New Roman" w:eastAsia="宋体" w:cs="Times New Roman"/>
          <w:color w:val="000000"/>
          <w:kern w:val="0"/>
          <w:sz w:val="14"/>
          <w:szCs w:val="14"/>
          <w:u w:val="single" w:color="auto"/>
          <w:lang w:val="en-US" w:eastAsia="zh-CN" w:bidi="ar"/>
        </w:rPr>
        <w:t>p</w:t>
      </w:r>
      <w:r>
        <w:rPr>
          <w:rFonts w:hint="default" w:ascii="Times New Roman" w:hAnsi="Times New Roman" w:eastAsia="宋体" w:cs="Times New Roman"/>
          <w:color w:val="000000"/>
          <w:kern w:val="0"/>
          <w:sz w:val="24"/>
          <w:szCs w:val="24"/>
          <w:u w:val="single" w:color="auto"/>
          <w:lang w:val="en-US" w:eastAsia="zh-CN" w:bidi="ar"/>
        </w:rPr>
        <w:t>—</w:t>
      </w:r>
      <w:r>
        <w:rPr>
          <w:rFonts w:hint="eastAsia" w:ascii="宋体" w:hAnsi="宋体" w:eastAsia="宋体" w:cs="宋体"/>
          <w:color w:val="000000"/>
          <w:kern w:val="0"/>
          <w:sz w:val="24"/>
          <w:szCs w:val="24"/>
          <w:u w:val="single" w:color="auto"/>
          <w:lang w:val="en-US" w:eastAsia="zh-CN" w:bidi="ar"/>
        </w:rPr>
        <w:t>排放污水中的污染物浓度，</w:t>
      </w:r>
      <w:r>
        <w:rPr>
          <w:rFonts w:hint="default" w:ascii="Times New Roman" w:hAnsi="Times New Roman" w:eastAsia="宋体" w:cs="Times New Roman"/>
          <w:color w:val="000000"/>
          <w:kern w:val="0"/>
          <w:sz w:val="24"/>
          <w:szCs w:val="24"/>
          <w:u w:val="single" w:color="auto"/>
          <w:lang w:val="en-US" w:eastAsia="zh-CN" w:bidi="ar"/>
        </w:rPr>
        <w:t>mg/L</w:t>
      </w:r>
      <w:r>
        <w:rPr>
          <w:rFonts w:hint="eastAsia" w:ascii="宋体" w:hAnsi="宋体" w:eastAsia="宋体" w:cs="宋体"/>
          <w:color w:val="000000"/>
          <w:kern w:val="0"/>
          <w:sz w:val="24"/>
          <w:szCs w:val="24"/>
          <w:u w:val="single" w:color="auto"/>
          <w:lang w:val="en-US" w:eastAsia="zh-CN" w:bidi="ar"/>
        </w:rPr>
        <w:t xml:space="preserve">； </w:t>
      </w:r>
    </w:p>
    <w:p w14:paraId="222DBF6A">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u w:val="single" w:color="auto"/>
        </w:rPr>
      </w:pPr>
      <w:r>
        <w:rPr>
          <w:rFonts w:hint="default" w:ascii="Times New Roman" w:hAnsi="Times New Roman" w:eastAsia="宋体" w:cs="Times New Roman"/>
          <w:color w:val="000000"/>
          <w:kern w:val="0"/>
          <w:sz w:val="24"/>
          <w:szCs w:val="24"/>
          <w:u w:val="single" w:color="auto"/>
          <w:lang w:val="en-US" w:eastAsia="zh-CN" w:bidi="ar"/>
        </w:rPr>
        <w:t>Q</w:t>
      </w:r>
      <w:r>
        <w:rPr>
          <w:rFonts w:hint="default" w:ascii="Times New Roman" w:hAnsi="Times New Roman" w:eastAsia="宋体" w:cs="Times New Roman"/>
          <w:color w:val="000000"/>
          <w:kern w:val="0"/>
          <w:sz w:val="14"/>
          <w:szCs w:val="14"/>
          <w:u w:val="single" w:color="auto"/>
          <w:lang w:val="en-US" w:eastAsia="zh-CN" w:bidi="ar"/>
        </w:rPr>
        <w:t>p</w:t>
      </w:r>
      <w:r>
        <w:rPr>
          <w:rFonts w:hint="default" w:ascii="Times New Roman" w:hAnsi="Times New Roman" w:eastAsia="宋体" w:cs="Times New Roman"/>
          <w:color w:val="000000"/>
          <w:kern w:val="0"/>
          <w:sz w:val="24"/>
          <w:szCs w:val="24"/>
          <w:u w:val="single" w:color="auto"/>
          <w:lang w:val="en-US" w:eastAsia="zh-CN" w:bidi="ar"/>
        </w:rPr>
        <w:t>—</w:t>
      </w:r>
      <w:r>
        <w:rPr>
          <w:rFonts w:hint="eastAsia" w:ascii="宋体" w:hAnsi="宋体" w:eastAsia="宋体" w:cs="宋体"/>
          <w:color w:val="000000"/>
          <w:kern w:val="0"/>
          <w:sz w:val="24"/>
          <w:szCs w:val="24"/>
          <w:u w:val="single" w:color="auto"/>
          <w:lang w:val="en-US" w:eastAsia="zh-CN" w:bidi="ar"/>
        </w:rPr>
        <w:t>废水排放量，</w:t>
      </w:r>
      <w:r>
        <w:rPr>
          <w:rFonts w:hint="default" w:ascii="Times New Roman" w:hAnsi="Times New Roman" w:eastAsia="宋体" w:cs="Times New Roman"/>
          <w:color w:val="000000"/>
          <w:kern w:val="0"/>
          <w:sz w:val="24"/>
          <w:szCs w:val="24"/>
          <w:u w:val="single" w:color="auto"/>
          <w:lang w:val="en-US" w:eastAsia="zh-CN" w:bidi="ar"/>
        </w:rPr>
        <w:t>m</w:t>
      </w:r>
      <w:r>
        <w:rPr>
          <w:rFonts w:hint="eastAsia" w:cs="Times New Roman"/>
          <w:color w:val="000000"/>
          <w:kern w:val="0"/>
          <w:sz w:val="24"/>
          <w:szCs w:val="24"/>
          <w:u w:val="single" w:color="auto"/>
          <w:vertAlign w:val="superscript"/>
          <w:lang w:val="en-US" w:eastAsia="zh-CN" w:bidi="ar"/>
        </w:rPr>
        <w:t>3</w:t>
      </w:r>
      <w:r>
        <w:rPr>
          <w:rFonts w:hint="default" w:ascii="Times New Roman" w:hAnsi="Times New Roman" w:eastAsia="宋体" w:cs="Times New Roman"/>
          <w:color w:val="000000"/>
          <w:kern w:val="0"/>
          <w:sz w:val="14"/>
          <w:szCs w:val="14"/>
          <w:u w:val="single" w:color="auto"/>
          <w:lang w:val="en-US" w:eastAsia="zh-CN" w:bidi="ar"/>
        </w:rPr>
        <w:t xml:space="preserve"> </w:t>
      </w:r>
      <w:r>
        <w:rPr>
          <w:rFonts w:hint="default" w:ascii="Times New Roman" w:hAnsi="Times New Roman" w:eastAsia="宋体" w:cs="Times New Roman"/>
          <w:color w:val="000000"/>
          <w:kern w:val="0"/>
          <w:sz w:val="24"/>
          <w:szCs w:val="24"/>
          <w:u w:val="single" w:color="auto"/>
          <w:lang w:val="en-US" w:eastAsia="zh-CN" w:bidi="ar"/>
        </w:rPr>
        <w:t>/s</w:t>
      </w:r>
      <w:r>
        <w:rPr>
          <w:rFonts w:hint="eastAsia" w:ascii="宋体" w:hAnsi="宋体" w:eastAsia="宋体" w:cs="宋体"/>
          <w:color w:val="000000"/>
          <w:kern w:val="0"/>
          <w:sz w:val="24"/>
          <w:szCs w:val="24"/>
          <w:u w:val="single" w:color="auto"/>
          <w:lang w:val="en-US" w:eastAsia="zh-CN" w:bidi="ar"/>
        </w:rPr>
        <w:t xml:space="preserve">； </w:t>
      </w:r>
    </w:p>
    <w:p w14:paraId="400A7D21">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u w:val="single" w:color="auto"/>
        </w:rPr>
      </w:pPr>
      <w:r>
        <w:rPr>
          <w:rFonts w:hint="default" w:ascii="Times New Roman" w:hAnsi="Times New Roman" w:eastAsia="宋体" w:cs="Times New Roman"/>
          <w:color w:val="000000"/>
          <w:kern w:val="0"/>
          <w:sz w:val="24"/>
          <w:szCs w:val="24"/>
          <w:u w:val="single" w:color="auto"/>
          <w:lang w:val="en-US" w:eastAsia="zh-CN" w:bidi="ar"/>
        </w:rPr>
        <w:t>C</w:t>
      </w:r>
      <w:r>
        <w:rPr>
          <w:rFonts w:hint="default" w:ascii="Times New Roman" w:hAnsi="Times New Roman" w:eastAsia="宋体" w:cs="Times New Roman"/>
          <w:color w:val="000000"/>
          <w:kern w:val="0"/>
          <w:sz w:val="14"/>
          <w:szCs w:val="14"/>
          <w:u w:val="single" w:color="auto"/>
          <w:lang w:val="en-US" w:eastAsia="zh-CN" w:bidi="ar"/>
        </w:rPr>
        <w:t>h</w:t>
      </w:r>
      <w:r>
        <w:rPr>
          <w:rFonts w:hint="default" w:ascii="Times New Roman" w:hAnsi="Times New Roman" w:eastAsia="宋体" w:cs="Times New Roman"/>
          <w:color w:val="000000"/>
          <w:kern w:val="0"/>
          <w:sz w:val="24"/>
          <w:szCs w:val="24"/>
          <w:u w:val="single" w:color="auto"/>
          <w:lang w:val="en-US" w:eastAsia="zh-CN" w:bidi="ar"/>
        </w:rPr>
        <w:t>—</w:t>
      </w:r>
      <w:r>
        <w:rPr>
          <w:rFonts w:hint="eastAsia" w:ascii="宋体" w:hAnsi="宋体" w:eastAsia="宋体" w:cs="宋体"/>
          <w:color w:val="000000"/>
          <w:kern w:val="0"/>
          <w:sz w:val="24"/>
          <w:szCs w:val="24"/>
          <w:u w:val="single" w:color="auto"/>
          <w:lang w:val="en-US" w:eastAsia="zh-CN" w:bidi="ar"/>
        </w:rPr>
        <w:t>河流上游污染物浓度，</w:t>
      </w:r>
      <w:r>
        <w:rPr>
          <w:rFonts w:hint="default" w:ascii="Times New Roman" w:hAnsi="Times New Roman" w:eastAsia="宋体" w:cs="Times New Roman"/>
          <w:color w:val="000000"/>
          <w:kern w:val="0"/>
          <w:sz w:val="24"/>
          <w:szCs w:val="24"/>
          <w:u w:val="single" w:color="auto"/>
          <w:lang w:val="en-US" w:eastAsia="zh-CN" w:bidi="ar"/>
        </w:rPr>
        <w:t>mg/L</w:t>
      </w:r>
      <w:r>
        <w:rPr>
          <w:rFonts w:hint="eastAsia" w:ascii="宋体" w:hAnsi="宋体" w:eastAsia="宋体" w:cs="宋体"/>
          <w:color w:val="000000"/>
          <w:kern w:val="0"/>
          <w:sz w:val="24"/>
          <w:szCs w:val="24"/>
          <w:u w:val="single" w:color="auto"/>
          <w:lang w:val="en-US" w:eastAsia="zh-CN" w:bidi="ar"/>
        </w:rPr>
        <w:t xml:space="preserve">； </w:t>
      </w:r>
    </w:p>
    <w:p w14:paraId="1DA638B7">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u w:val="single" w:color="auto"/>
        </w:rPr>
      </w:pPr>
      <w:r>
        <w:rPr>
          <w:rFonts w:hint="default" w:ascii="Times New Roman" w:hAnsi="Times New Roman" w:eastAsia="宋体" w:cs="Times New Roman"/>
          <w:color w:val="000000"/>
          <w:kern w:val="0"/>
          <w:sz w:val="24"/>
          <w:szCs w:val="24"/>
          <w:u w:val="single" w:color="auto"/>
          <w:lang w:val="en-US" w:eastAsia="zh-CN" w:bidi="ar"/>
        </w:rPr>
        <w:t>Q</w:t>
      </w:r>
      <w:r>
        <w:rPr>
          <w:rFonts w:hint="default" w:ascii="Times New Roman" w:hAnsi="Times New Roman" w:eastAsia="宋体" w:cs="Times New Roman"/>
          <w:color w:val="000000"/>
          <w:kern w:val="0"/>
          <w:sz w:val="14"/>
          <w:szCs w:val="14"/>
          <w:u w:val="single" w:color="auto"/>
          <w:lang w:val="en-US" w:eastAsia="zh-CN" w:bidi="ar"/>
        </w:rPr>
        <w:t>h</w:t>
      </w:r>
      <w:r>
        <w:rPr>
          <w:rFonts w:hint="default" w:ascii="Times New Roman" w:hAnsi="Times New Roman" w:eastAsia="宋体" w:cs="Times New Roman"/>
          <w:color w:val="000000"/>
          <w:kern w:val="0"/>
          <w:sz w:val="24"/>
          <w:szCs w:val="24"/>
          <w:u w:val="single" w:color="auto"/>
          <w:lang w:val="en-US" w:eastAsia="zh-CN" w:bidi="ar"/>
        </w:rPr>
        <w:t>—</w:t>
      </w:r>
      <w:r>
        <w:rPr>
          <w:rFonts w:hint="eastAsia" w:ascii="宋体" w:hAnsi="宋体" w:eastAsia="宋体" w:cs="宋体"/>
          <w:color w:val="000000"/>
          <w:kern w:val="0"/>
          <w:sz w:val="24"/>
          <w:szCs w:val="24"/>
          <w:u w:val="single" w:color="auto"/>
          <w:lang w:val="en-US" w:eastAsia="zh-CN" w:bidi="ar"/>
        </w:rPr>
        <w:t>河流流量，</w:t>
      </w:r>
      <w:r>
        <w:rPr>
          <w:rFonts w:hint="default" w:ascii="Times New Roman" w:hAnsi="Times New Roman" w:eastAsia="宋体" w:cs="Times New Roman"/>
          <w:color w:val="000000"/>
          <w:kern w:val="0"/>
          <w:sz w:val="24"/>
          <w:szCs w:val="24"/>
          <w:u w:val="single" w:color="auto"/>
          <w:lang w:val="en-US" w:eastAsia="zh-CN" w:bidi="ar"/>
        </w:rPr>
        <w:t>m</w:t>
      </w:r>
      <w:r>
        <w:rPr>
          <w:rFonts w:hint="eastAsia" w:cs="Times New Roman"/>
          <w:color w:val="000000"/>
          <w:kern w:val="0"/>
          <w:sz w:val="24"/>
          <w:szCs w:val="24"/>
          <w:u w:val="single" w:color="auto"/>
          <w:vertAlign w:val="superscript"/>
          <w:lang w:val="en-US" w:eastAsia="zh-CN" w:bidi="ar"/>
        </w:rPr>
        <w:t>3</w:t>
      </w:r>
      <w:r>
        <w:rPr>
          <w:rFonts w:hint="default" w:ascii="Times New Roman" w:hAnsi="Times New Roman" w:eastAsia="宋体" w:cs="Times New Roman"/>
          <w:color w:val="000000"/>
          <w:kern w:val="0"/>
          <w:sz w:val="14"/>
          <w:szCs w:val="14"/>
          <w:u w:val="single" w:color="auto"/>
          <w:lang w:val="en-US" w:eastAsia="zh-CN" w:bidi="ar"/>
        </w:rPr>
        <w:t xml:space="preserve"> </w:t>
      </w:r>
      <w:r>
        <w:rPr>
          <w:rFonts w:hint="default" w:ascii="Times New Roman" w:hAnsi="Times New Roman" w:eastAsia="宋体" w:cs="Times New Roman"/>
          <w:color w:val="000000"/>
          <w:kern w:val="0"/>
          <w:sz w:val="24"/>
          <w:szCs w:val="24"/>
          <w:u w:val="single" w:color="auto"/>
          <w:lang w:val="en-US" w:eastAsia="zh-CN" w:bidi="ar"/>
        </w:rPr>
        <w:t>/s</w:t>
      </w:r>
      <w:r>
        <w:rPr>
          <w:rFonts w:hint="eastAsia" w:ascii="宋体" w:hAnsi="宋体" w:eastAsia="宋体" w:cs="宋体"/>
          <w:color w:val="000000"/>
          <w:kern w:val="0"/>
          <w:sz w:val="24"/>
          <w:szCs w:val="24"/>
          <w:u w:val="single" w:color="auto"/>
          <w:lang w:val="en-US" w:eastAsia="zh-CN" w:bidi="ar"/>
        </w:rPr>
        <w:t>。</w:t>
      </w:r>
    </w:p>
    <w:p w14:paraId="5E788F81">
      <w:pPr>
        <w:spacing w:before="0" w:line="360" w:lineRule="auto"/>
        <w:ind w:left="0" w:right="0" w:firstLine="482" w:firstLineChars="200"/>
        <w:rPr>
          <w:rFonts w:hint="eastAsia" w:ascii="宋体" w:hAnsi="宋体" w:eastAsia="宋体" w:cs="宋体"/>
          <w:b/>
          <w:bCs/>
          <w:color w:val="auto"/>
          <w:spacing w:val="-1"/>
          <w:sz w:val="24"/>
          <w:szCs w:val="24"/>
          <w:u w:val="single" w:color="auto"/>
          <w:lang w:val="en-US" w:eastAsia="zh-CN"/>
        </w:rPr>
      </w:pPr>
      <w:r>
        <w:rPr>
          <w:rFonts w:hint="eastAsia" w:ascii="Times New Roman" w:hAnsi="Times New Roman" w:eastAsia="宋体" w:cs="Times New Roman"/>
          <w:b/>
          <w:bCs/>
          <w:color w:val="auto"/>
          <w:sz w:val="24"/>
          <w:u w:val="single" w:color="auto"/>
          <w:lang w:val="en-US" w:eastAsia="zh-CN"/>
        </w:rPr>
        <w:t>（3）</w:t>
      </w:r>
      <w:r>
        <w:rPr>
          <w:rFonts w:hint="eastAsia" w:ascii="宋体" w:hAnsi="宋体" w:eastAsia="宋体" w:cs="宋体"/>
          <w:b/>
          <w:bCs/>
          <w:color w:val="auto"/>
          <w:spacing w:val="-1"/>
          <w:sz w:val="24"/>
          <w:szCs w:val="24"/>
          <w:u w:val="single" w:color="auto"/>
          <w:lang w:val="en-US" w:eastAsia="zh-CN"/>
        </w:rPr>
        <w:t>结果：</w:t>
      </w:r>
    </w:p>
    <w:p w14:paraId="1170A2D8">
      <w:pPr>
        <w:keepNext w:val="0"/>
        <w:keepLines w:val="0"/>
        <w:pageBreakBefore w:val="0"/>
        <w:widowControl/>
        <w:kinsoku w:val="0"/>
        <w:wordWrap/>
        <w:overflowPunct/>
        <w:topLinePunct w:val="0"/>
        <w:autoSpaceDE w:val="0"/>
        <w:autoSpaceDN w:val="0"/>
        <w:bidi w:val="0"/>
        <w:adjustRightInd w:val="0"/>
        <w:snapToGrid w:val="0"/>
        <w:spacing w:before="0" w:line="360" w:lineRule="auto"/>
        <w:ind w:left="0" w:right="0" w:firstLine="480" w:firstLineChars="200"/>
        <w:textAlignment w:val="baseline"/>
        <w:rPr>
          <w:rFonts w:hint="eastAsia" w:ascii="宋体" w:hAnsi="宋体" w:eastAsia="宋体" w:cs="宋体"/>
          <w:color w:val="auto"/>
          <w:spacing w:val="-1"/>
          <w:sz w:val="24"/>
          <w:szCs w:val="24"/>
          <w:u w:val="single" w:color="auto"/>
          <w:lang w:val="en-US" w:eastAsia="zh-CN"/>
        </w:rPr>
      </w:pPr>
      <w:r>
        <w:rPr>
          <w:rFonts w:hint="default" w:ascii="Times New Roman" w:hAnsi="Times New Roman" w:eastAsia="宋体" w:cs="Times New Roman"/>
          <w:color w:val="auto"/>
          <w:kern w:val="0"/>
          <w:sz w:val="24"/>
          <w:szCs w:val="24"/>
          <w:u w:val="single" w:color="auto"/>
          <w:lang w:val="en-US" w:eastAsia="zh-CN" w:bidi="ar-SA"/>
        </w:rPr>
        <w:t>污染物初始浓度计算结果及预测结果详见下表。</w:t>
      </w:r>
    </w:p>
    <w:p w14:paraId="6D1C1386">
      <w:pPr>
        <w:pStyle w:val="62"/>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default" w:ascii="Times New Roman" w:hAnsi="Times New Roman" w:cs="Times New Roman"/>
          <w:color w:val="auto"/>
          <w:u w:val="single" w:color="auto"/>
          <w:lang w:val="en-US" w:eastAsia="zh-CN"/>
        </w:rPr>
      </w:pPr>
      <w:r>
        <w:rPr>
          <w:rFonts w:hint="default" w:ascii="Times New Roman" w:hAnsi="Times New Roman" w:eastAsia="宋体" w:cs="Times New Roman"/>
          <w:b/>
          <w:bCs/>
          <w:color w:val="auto"/>
          <w:sz w:val="21"/>
          <w:szCs w:val="21"/>
          <w:u w:val="single" w:color="auto"/>
        </w:rPr>
        <w:t>表</w:t>
      </w:r>
      <w:r>
        <w:rPr>
          <w:rFonts w:hint="eastAsia" w:ascii="Times New Roman" w:hAnsi="Times New Roman" w:eastAsia="宋体" w:cs="Times New Roman"/>
          <w:b/>
          <w:color w:val="auto"/>
          <w:kern w:val="2"/>
          <w:sz w:val="21"/>
          <w:szCs w:val="24"/>
          <w:u w:val="single" w:color="auto"/>
          <w:lang w:val="en-US" w:eastAsia="zh-CN" w:bidi="ar-SA"/>
        </w:rPr>
        <w:t>6.3-4</w:t>
      </w:r>
      <w:r>
        <w:rPr>
          <w:rFonts w:hint="default" w:ascii="Times New Roman" w:hAnsi="Times New Roman" w:cs="Times New Roman"/>
          <w:color w:val="auto"/>
          <w:u w:val="single" w:color="auto"/>
          <w:lang w:val="en-US" w:eastAsia="zh-CN"/>
        </w:rPr>
        <w:t xml:space="preserve"> 污染物初始</w:t>
      </w:r>
      <w:r>
        <w:rPr>
          <w:rFonts w:hint="default" w:ascii="Times New Roman" w:hAnsi="Times New Roman" w:eastAsia="宋体" w:cs="Times New Roman"/>
          <w:b/>
          <w:color w:val="auto"/>
          <w:kern w:val="2"/>
          <w:sz w:val="21"/>
          <w:szCs w:val="24"/>
          <w:u w:val="single" w:color="auto"/>
          <w:lang w:val="en-US" w:eastAsia="zh-CN" w:bidi="ar-SA"/>
        </w:rPr>
        <w:t>浓度</w:t>
      </w:r>
      <w:r>
        <w:rPr>
          <w:rFonts w:hint="default" w:ascii="Times New Roman" w:hAnsi="Times New Roman" w:cs="Times New Roman"/>
          <w:color w:val="auto"/>
          <w:u w:val="single" w:color="auto"/>
          <w:lang w:val="en-US" w:eastAsia="zh-CN"/>
        </w:rPr>
        <w:t>计算结果表  单位：mg/L</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3"/>
        <w:gridCol w:w="1612"/>
        <w:gridCol w:w="2983"/>
        <w:gridCol w:w="2847"/>
      </w:tblGrid>
      <w:tr w14:paraId="79C88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0" w:type="pct"/>
            <w:noWrap w:val="0"/>
            <w:vAlign w:val="center"/>
          </w:tcPr>
          <w:p w14:paraId="4E9FA13F">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序号</w:t>
            </w:r>
          </w:p>
        </w:tc>
        <w:tc>
          <w:tcPr>
            <w:tcW w:w="946" w:type="pct"/>
            <w:noWrap w:val="0"/>
            <w:vAlign w:val="center"/>
          </w:tcPr>
          <w:p w14:paraId="7ABDDC1D">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因子</w:t>
            </w:r>
          </w:p>
        </w:tc>
        <w:tc>
          <w:tcPr>
            <w:tcW w:w="1751" w:type="pct"/>
            <w:noWrap w:val="0"/>
            <w:vAlign w:val="center"/>
          </w:tcPr>
          <w:p w14:paraId="5A21D816">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正常排放初始浓度</w:t>
            </w:r>
            <w:r>
              <w:rPr>
                <w:rFonts w:ascii="Times New Roman" w:hAnsi="Times New Roman" w:eastAsia="Times New Roman" w:cs="Times New Roman"/>
                <w:color w:val="auto"/>
                <w:spacing w:val="-4"/>
                <w:sz w:val="21"/>
                <w:szCs w:val="21"/>
                <w:u w:val="single" w:color="auto"/>
              </w:rPr>
              <w:t>mg/L</w:t>
            </w:r>
          </w:p>
        </w:tc>
        <w:tc>
          <w:tcPr>
            <w:tcW w:w="1671" w:type="pct"/>
            <w:noWrap w:val="0"/>
            <w:vAlign w:val="center"/>
          </w:tcPr>
          <w:p w14:paraId="2437DFE8">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事故排放初始浓度</w:t>
            </w:r>
            <w:r>
              <w:rPr>
                <w:rFonts w:ascii="Times New Roman" w:hAnsi="Times New Roman" w:eastAsia="Times New Roman" w:cs="Times New Roman"/>
                <w:color w:val="auto"/>
                <w:spacing w:val="-4"/>
                <w:sz w:val="21"/>
                <w:szCs w:val="21"/>
                <w:u w:val="single" w:color="auto"/>
              </w:rPr>
              <w:t>mg/L</w:t>
            </w:r>
          </w:p>
        </w:tc>
      </w:tr>
      <w:tr w14:paraId="295B8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0" w:type="pct"/>
            <w:noWrap w:val="0"/>
            <w:vAlign w:val="center"/>
          </w:tcPr>
          <w:p w14:paraId="286F33DF">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color w:val="auto"/>
                <w:spacing w:val="-1"/>
                <w:sz w:val="21"/>
                <w:szCs w:val="21"/>
                <w:u w:val="single" w:color="auto"/>
                <w:vertAlign w:val="baseline"/>
                <w:lang w:val="en-US" w:eastAsia="zh-CN"/>
              </w:rPr>
              <w:t>1</w:t>
            </w:r>
          </w:p>
        </w:tc>
        <w:tc>
          <w:tcPr>
            <w:tcW w:w="946" w:type="pct"/>
            <w:noWrap w:val="0"/>
            <w:vAlign w:val="center"/>
          </w:tcPr>
          <w:p w14:paraId="018B1CF0">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COD</w:t>
            </w:r>
          </w:p>
        </w:tc>
        <w:tc>
          <w:tcPr>
            <w:tcW w:w="3174" w:type="dxa"/>
            <w:noWrap w:val="0"/>
            <w:vAlign w:val="center"/>
          </w:tcPr>
          <w:p w14:paraId="1DB0D7BB">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color w:val="auto"/>
                <w:spacing w:val="-1"/>
                <w:sz w:val="21"/>
                <w:szCs w:val="21"/>
                <w:u w:val="single" w:color="auto"/>
                <w:vertAlign w:val="baseline"/>
                <w:lang w:val="en-US" w:eastAsia="zh-CN"/>
              </w:rPr>
              <w:t xml:space="preserve">12.003815460 </w:t>
            </w:r>
          </w:p>
        </w:tc>
        <w:tc>
          <w:tcPr>
            <w:tcW w:w="3029" w:type="dxa"/>
            <w:noWrap w:val="0"/>
            <w:vAlign w:val="center"/>
          </w:tcPr>
          <w:p w14:paraId="6B8AC5FE">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color w:val="auto"/>
                <w:spacing w:val="-1"/>
                <w:sz w:val="21"/>
                <w:szCs w:val="21"/>
                <w:u w:val="single" w:color="auto"/>
                <w:vertAlign w:val="baseline"/>
                <w:lang w:val="en-US" w:eastAsia="zh-CN"/>
              </w:rPr>
              <w:t xml:space="preserve">12.057665468 </w:t>
            </w:r>
          </w:p>
        </w:tc>
      </w:tr>
      <w:tr w14:paraId="200A5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0" w:type="pct"/>
            <w:noWrap w:val="0"/>
            <w:vAlign w:val="center"/>
          </w:tcPr>
          <w:p w14:paraId="0BB64562">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color w:val="auto"/>
                <w:spacing w:val="-1"/>
                <w:sz w:val="21"/>
                <w:szCs w:val="21"/>
                <w:u w:val="single" w:color="auto"/>
                <w:vertAlign w:val="baseline"/>
                <w:lang w:val="en-US" w:eastAsia="zh-CN"/>
              </w:rPr>
              <w:t>2</w:t>
            </w:r>
          </w:p>
        </w:tc>
        <w:tc>
          <w:tcPr>
            <w:tcW w:w="946" w:type="pct"/>
            <w:noWrap w:val="0"/>
            <w:vAlign w:val="center"/>
          </w:tcPr>
          <w:p w14:paraId="1F271EEC">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氨氮</w:t>
            </w:r>
          </w:p>
        </w:tc>
        <w:tc>
          <w:tcPr>
            <w:tcW w:w="3174" w:type="dxa"/>
            <w:noWrap w:val="0"/>
            <w:vAlign w:val="center"/>
          </w:tcPr>
          <w:p w14:paraId="0F3739EE">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color w:val="auto"/>
                <w:spacing w:val="-1"/>
                <w:sz w:val="21"/>
                <w:szCs w:val="21"/>
                <w:u w:val="single" w:color="auto"/>
                <w:vertAlign w:val="baseline"/>
                <w:lang w:val="en-US" w:eastAsia="zh-CN"/>
              </w:rPr>
              <w:t xml:space="preserve">0.188642211 </w:t>
            </w:r>
          </w:p>
        </w:tc>
        <w:tc>
          <w:tcPr>
            <w:tcW w:w="3029" w:type="dxa"/>
            <w:noWrap w:val="0"/>
            <w:vAlign w:val="center"/>
          </w:tcPr>
          <w:p w14:paraId="4DBC811F">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color w:val="auto"/>
                <w:spacing w:val="-1"/>
                <w:sz w:val="21"/>
                <w:szCs w:val="21"/>
                <w:u w:val="single" w:color="auto"/>
                <w:vertAlign w:val="baseline"/>
                <w:lang w:val="en-US" w:eastAsia="zh-CN"/>
              </w:rPr>
              <w:t xml:space="preserve">0.189721813 </w:t>
            </w:r>
          </w:p>
        </w:tc>
      </w:tr>
      <w:tr w14:paraId="6DE05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0" w:type="pct"/>
            <w:noWrap w:val="0"/>
            <w:vAlign w:val="center"/>
          </w:tcPr>
          <w:p w14:paraId="5302DBD8">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color w:val="auto"/>
                <w:spacing w:val="-1"/>
                <w:sz w:val="21"/>
                <w:szCs w:val="21"/>
                <w:u w:val="single" w:color="auto"/>
                <w:vertAlign w:val="baseline"/>
                <w:lang w:val="en-US" w:eastAsia="zh-CN"/>
              </w:rPr>
              <w:t>3</w:t>
            </w:r>
          </w:p>
        </w:tc>
        <w:tc>
          <w:tcPr>
            <w:tcW w:w="946" w:type="pct"/>
            <w:noWrap w:val="0"/>
            <w:vAlign w:val="center"/>
          </w:tcPr>
          <w:p w14:paraId="54C7D785">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总磷</w:t>
            </w:r>
          </w:p>
        </w:tc>
        <w:tc>
          <w:tcPr>
            <w:tcW w:w="3174" w:type="dxa"/>
            <w:noWrap w:val="0"/>
            <w:vAlign w:val="center"/>
          </w:tcPr>
          <w:p w14:paraId="6A5A19A9">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color w:val="auto"/>
                <w:spacing w:val="-1"/>
                <w:sz w:val="21"/>
                <w:szCs w:val="21"/>
                <w:u w:val="single" w:color="auto"/>
                <w:vertAlign w:val="baseline"/>
                <w:lang w:val="en-US" w:eastAsia="zh-CN"/>
              </w:rPr>
              <w:t xml:space="preserve">0.040041623 </w:t>
            </w:r>
          </w:p>
        </w:tc>
        <w:tc>
          <w:tcPr>
            <w:tcW w:w="3029" w:type="dxa"/>
            <w:noWrap w:val="0"/>
            <w:vAlign w:val="center"/>
          </w:tcPr>
          <w:p w14:paraId="38223B9F">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color w:val="auto"/>
                <w:spacing w:val="-1"/>
                <w:sz w:val="21"/>
                <w:szCs w:val="21"/>
                <w:u w:val="single" w:color="auto"/>
                <w:vertAlign w:val="baseline"/>
                <w:lang w:val="en-US" w:eastAsia="zh-CN"/>
              </w:rPr>
              <w:t xml:space="preserve">0.040157821 </w:t>
            </w:r>
          </w:p>
        </w:tc>
      </w:tr>
    </w:tbl>
    <w:p w14:paraId="55B97820">
      <w:pPr>
        <w:pStyle w:val="62"/>
        <w:bidi w:val="0"/>
        <w:jc w:val="center"/>
        <w:rPr>
          <w:rFonts w:hint="default" w:ascii="Times New Roman" w:hAnsi="Times New Roman" w:cs="Times New Roman"/>
          <w:color w:val="auto"/>
          <w:u w:val="single" w:color="auto"/>
          <w:lang w:val="en-US" w:eastAsia="zh-CN"/>
        </w:rPr>
      </w:pPr>
      <w:r>
        <w:rPr>
          <w:rFonts w:hint="default" w:ascii="Times New Roman" w:hAnsi="Times New Roman" w:eastAsia="宋体" w:cs="Times New Roman"/>
          <w:b/>
          <w:bCs/>
          <w:color w:val="auto"/>
          <w:sz w:val="21"/>
          <w:szCs w:val="21"/>
          <w:u w:val="single" w:color="auto"/>
        </w:rPr>
        <w:t>表</w:t>
      </w:r>
      <w:r>
        <w:rPr>
          <w:rFonts w:hint="eastAsia" w:ascii="Times New Roman" w:hAnsi="Times New Roman" w:eastAsia="宋体" w:cs="Times New Roman"/>
          <w:b/>
          <w:color w:val="auto"/>
          <w:kern w:val="2"/>
          <w:sz w:val="21"/>
          <w:szCs w:val="24"/>
          <w:u w:val="single" w:color="auto"/>
          <w:lang w:val="en-US" w:eastAsia="zh-CN" w:bidi="ar-SA"/>
        </w:rPr>
        <w:t>6.3-5</w:t>
      </w:r>
      <w:r>
        <w:rPr>
          <w:rFonts w:hint="default" w:ascii="Times New Roman" w:hAnsi="Times New Roman" w:cs="Times New Roman"/>
          <w:color w:val="auto"/>
          <w:u w:val="single" w:color="auto"/>
          <w:lang w:val="en-US" w:eastAsia="zh-CN"/>
        </w:rPr>
        <w:t xml:space="preserve">  枯水期废水排放对</w:t>
      </w:r>
      <w:r>
        <w:rPr>
          <w:rFonts w:hint="eastAsia" w:ascii="Times New Roman" w:hAnsi="Times New Roman" w:cs="Times New Roman"/>
          <w:color w:val="auto"/>
          <w:u w:val="single" w:color="auto"/>
          <w:lang w:val="en-US" w:eastAsia="zh-CN"/>
        </w:rPr>
        <w:t>青山河</w:t>
      </w:r>
      <w:r>
        <w:rPr>
          <w:rFonts w:hint="default" w:ascii="Times New Roman" w:hAnsi="Times New Roman" w:cs="Times New Roman"/>
          <w:color w:val="auto"/>
          <w:u w:val="single" w:color="auto"/>
          <w:lang w:val="en-US" w:eastAsia="zh-CN"/>
        </w:rPr>
        <w:t>下游水质影响预测结果   单位：mg/L</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2"/>
        <w:gridCol w:w="2347"/>
        <w:gridCol w:w="1923"/>
        <w:gridCol w:w="1683"/>
      </w:tblGrid>
      <w:tr w14:paraId="1BD4A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504" w:type="pct"/>
            <w:vMerge w:val="restart"/>
            <w:tcBorders>
              <w:tl2br w:val="nil"/>
              <w:tr2bl w:val="nil"/>
            </w:tcBorders>
            <w:noWrap/>
            <w:vAlign w:val="center"/>
          </w:tcPr>
          <w:p w14:paraId="2B0A3876">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下游距离m</w:t>
            </w:r>
          </w:p>
        </w:tc>
        <w:tc>
          <w:tcPr>
            <w:tcW w:w="3495" w:type="pct"/>
            <w:gridSpan w:val="3"/>
            <w:tcBorders>
              <w:tl2br w:val="nil"/>
              <w:tr2bl w:val="nil"/>
            </w:tcBorders>
            <w:noWrap w:val="0"/>
            <w:vAlign w:val="center"/>
          </w:tcPr>
          <w:p w14:paraId="7347B758">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正常排放</w:t>
            </w:r>
          </w:p>
        </w:tc>
      </w:tr>
      <w:tr w14:paraId="64AE2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504" w:type="pct"/>
            <w:vMerge w:val="continue"/>
            <w:tcBorders>
              <w:tl2br w:val="nil"/>
              <w:tr2bl w:val="nil"/>
            </w:tcBorders>
            <w:noWrap/>
            <w:vAlign w:val="center"/>
          </w:tcPr>
          <w:p w14:paraId="11487668">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p>
        </w:tc>
        <w:tc>
          <w:tcPr>
            <w:tcW w:w="1378" w:type="pct"/>
            <w:tcBorders>
              <w:tl2br w:val="nil"/>
              <w:tr2bl w:val="nil"/>
            </w:tcBorders>
            <w:noWrap w:val="0"/>
            <w:vAlign w:val="center"/>
          </w:tcPr>
          <w:p w14:paraId="4D09B2F3">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COD</w:t>
            </w:r>
            <w:r>
              <w:rPr>
                <w:rFonts w:hint="default" w:ascii="Times New Roman" w:hAnsi="Times New Roman" w:eastAsia="宋体" w:cs="Times New Roman"/>
                <w:color w:val="auto"/>
                <w:spacing w:val="-1"/>
                <w:sz w:val="21"/>
                <w:szCs w:val="21"/>
                <w:u w:val="single" w:color="auto"/>
                <w:vertAlign w:val="subscript"/>
                <w:lang w:val="en-US" w:eastAsia="zh-CN"/>
              </w:rPr>
              <w:t>Cr</w:t>
            </w:r>
          </w:p>
        </w:tc>
        <w:tc>
          <w:tcPr>
            <w:tcW w:w="1129" w:type="pct"/>
            <w:tcBorders>
              <w:tl2br w:val="nil"/>
              <w:tr2bl w:val="nil"/>
            </w:tcBorders>
            <w:noWrap w:val="0"/>
            <w:vAlign w:val="center"/>
          </w:tcPr>
          <w:p w14:paraId="1094A47D">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氨氮</w:t>
            </w:r>
          </w:p>
        </w:tc>
        <w:tc>
          <w:tcPr>
            <w:tcW w:w="988" w:type="pct"/>
            <w:tcBorders>
              <w:tl2br w:val="nil"/>
              <w:tr2bl w:val="nil"/>
            </w:tcBorders>
            <w:noWrap w:val="0"/>
            <w:vAlign w:val="center"/>
          </w:tcPr>
          <w:p w14:paraId="7536D65C">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总磷</w:t>
            </w:r>
          </w:p>
        </w:tc>
      </w:tr>
      <w:tr w14:paraId="66167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04" w:type="pct"/>
            <w:tcBorders>
              <w:tl2br w:val="nil"/>
              <w:tr2bl w:val="nil"/>
            </w:tcBorders>
            <w:noWrap/>
            <w:vAlign w:val="center"/>
          </w:tcPr>
          <w:p w14:paraId="6E09C5AC">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10</w:t>
            </w:r>
          </w:p>
        </w:tc>
        <w:tc>
          <w:tcPr>
            <w:tcW w:w="2347" w:type="dxa"/>
            <w:tcBorders>
              <w:tl2br w:val="nil"/>
              <w:tr2bl w:val="nil"/>
            </w:tcBorders>
            <w:noWrap/>
            <w:vAlign w:val="center"/>
          </w:tcPr>
          <w:p w14:paraId="7903DE83">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12.002148379 </w:t>
            </w:r>
          </w:p>
        </w:tc>
        <w:tc>
          <w:tcPr>
            <w:tcW w:w="1923" w:type="dxa"/>
            <w:tcBorders>
              <w:tl2br w:val="nil"/>
              <w:tr2bl w:val="nil"/>
            </w:tcBorders>
            <w:noWrap/>
            <w:vAlign w:val="center"/>
          </w:tcPr>
          <w:p w14:paraId="63AC9002">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0.188620379 </w:t>
            </w:r>
          </w:p>
        </w:tc>
        <w:tc>
          <w:tcPr>
            <w:tcW w:w="1683" w:type="dxa"/>
            <w:tcBorders>
              <w:tl2br w:val="nil"/>
              <w:tr2bl w:val="nil"/>
            </w:tcBorders>
            <w:noWrap/>
            <w:vAlign w:val="center"/>
          </w:tcPr>
          <w:p w14:paraId="207B8CD3">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0.040039461 </w:t>
            </w:r>
          </w:p>
        </w:tc>
      </w:tr>
      <w:tr w14:paraId="22E4C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04" w:type="pct"/>
            <w:tcBorders>
              <w:tl2br w:val="nil"/>
              <w:tr2bl w:val="nil"/>
            </w:tcBorders>
            <w:noWrap/>
            <w:vAlign w:val="center"/>
          </w:tcPr>
          <w:p w14:paraId="5C6EF8A6">
            <w:pPr>
              <w:spacing w:before="0" w:line="360" w:lineRule="auto"/>
              <w:ind w:right="0"/>
              <w:jc w:val="center"/>
              <w:rPr>
                <w:rFonts w:hint="default" w:ascii="Times New Roman" w:hAnsi="Times New Roman"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20</w:t>
            </w:r>
          </w:p>
        </w:tc>
        <w:tc>
          <w:tcPr>
            <w:tcW w:w="2347" w:type="dxa"/>
            <w:tcBorders>
              <w:tl2br w:val="nil"/>
              <w:tr2bl w:val="nil"/>
            </w:tcBorders>
            <w:noWrap/>
            <w:vAlign w:val="center"/>
          </w:tcPr>
          <w:p w14:paraId="66D5A0DC">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12.000481529 </w:t>
            </w:r>
          </w:p>
        </w:tc>
        <w:tc>
          <w:tcPr>
            <w:tcW w:w="1923" w:type="dxa"/>
            <w:tcBorders>
              <w:tl2br w:val="nil"/>
              <w:tr2bl w:val="nil"/>
            </w:tcBorders>
            <w:noWrap/>
            <w:vAlign w:val="center"/>
          </w:tcPr>
          <w:p w14:paraId="21DCAD55">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0.188598549 </w:t>
            </w:r>
          </w:p>
        </w:tc>
        <w:tc>
          <w:tcPr>
            <w:tcW w:w="1683" w:type="dxa"/>
            <w:tcBorders>
              <w:tl2br w:val="nil"/>
              <w:tr2bl w:val="nil"/>
            </w:tcBorders>
            <w:noWrap/>
            <w:vAlign w:val="center"/>
          </w:tcPr>
          <w:p w14:paraId="6D796A3E">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0.040037298 </w:t>
            </w:r>
          </w:p>
        </w:tc>
      </w:tr>
      <w:tr w14:paraId="3AA6E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04" w:type="pct"/>
            <w:tcBorders>
              <w:tl2br w:val="nil"/>
              <w:tr2bl w:val="nil"/>
            </w:tcBorders>
            <w:noWrap/>
            <w:vAlign w:val="center"/>
          </w:tcPr>
          <w:p w14:paraId="1084865D">
            <w:pPr>
              <w:spacing w:before="0" w:line="360" w:lineRule="auto"/>
              <w:ind w:right="0"/>
              <w:jc w:val="center"/>
              <w:rPr>
                <w:rFonts w:hint="default" w:ascii="Times New Roman" w:hAnsi="Times New Roman"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50</w:t>
            </w:r>
          </w:p>
        </w:tc>
        <w:tc>
          <w:tcPr>
            <w:tcW w:w="2347" w:type="dxa"/>
            <w:tcBorders>
              <w:tl2br w:val="nil"/>
              <w:tr2bl w:val="nil"/>
            </w:tcBorders>
            <w:noWrap/>
            <w:vAlign w:val="center"/>
          </w:tcPr>
          <w:p w14:paraId="19ECB6C5">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11.995482370 </w:t>
            </w:r>
          </w:p>
        </w:tc>
        <w:tc>
          <w:tcPr>
            <w:tcW w:w="1923" w:type="dxa"/>
            <w:tcBorders>
              <w:tl2br w:val="nil"/>
              <w:tr2bl w:val="nil"/>
            </w:tcBorders>
            <w:noWrap/>
            <w:vAlign w:val="center"/>
          </w:tcPr>
          <w:p w14:paraId="7826F1A8">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0.188533075 </w:t>
            </w:r>
          </w:p>
        </w:tc>
        <w:tc>
          <w:tcPr>
            <w:tcW w:w="1683" w:type="dxa"/>
            <w:tcBorders>
              <w:tl2br w:val="nil"/>
              <w:tr2bl w:val="nil"/>
            </w:tcBorders>
            <w:noWrap/>
            <w:vAlign w:val="center"/>
          </w:tcPr>
          <w:p w14:paraId="026AB241">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0.040030811 </w:t>
            </w:r>
          </w:p>
        </w:tc>
      </w:tr>
      <w:tr w14:paraId="10515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04" w:type="pct"/>
            <w:tcBorders>
              <w:tl2br w:val="nil"/>
              <w:tr2bl w:val="nil"/>
            </w:tcBorders>
            <w:noWrap/>
            <w:vAlign w:val="center"/>
          </w:tcPr>
          <w:p w14:paraId="787B69EB">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200</w:t>
            </w:r>
          </w:p>
        </w:tc>
        <w:tc>
          <w:tcPr>
            <w:tcW w:w="2347" w:type="dxa"/>
            <w:tcBorders>
              <w:tl2br w:val="nil"/>
              <w:tr2bl w:val="nil"/>
            </w:tcBorders>
            <w:noWrap/>
            <w:vAlign w:val="center"/>
          </w:tcPr>
          <w:p w14:paraId="5E55B288">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11.970517796 </w:t>
            </w:r>
          </w:p>
        </w:tc>
        <w:tc>
          <w:tcPr>
            <w:tcW w:w="1923" w:type="dxa"/>
            <w:tcBorders>
              <w:tl2br w:val="nil"/>
              <w:tr2bl w:val="nil"/>
            </w:tcBorders>
            <w:noWrap/>
            <w:vAlign w:val="center"/>
          </w:tcPr>
          <w:p w14:paraId="11456156">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0.188206044 </w:t>
            </w:r>
          </w:p>
        </w:tc>
        <w:tc>
          <w:tcPr>
            <w:tcW w:w="1683" w:type="dxa"/>
            <w:tcBorders>
              <w:tl2br w:val="nil"/>
              <w:tr2bl w:val="nil"/>
            </w:tcBorders>
            <w:noWrap/>
            <w:vAlign w:val="center"/>
          </w:tcPr>
          <w:p w14:paraId="64B7146B">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0.039998392 </w:t>
            </w:r>
          </w:p>
        </w:tc>
      </w:tr>
      <w:tr w14:paraId="78896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04" w:type="pct"/>
            <w:tcBorders>
              <w:tl2br w:val="nil"/>
              <w:tr2bl w:val="nil"/>
            </w:tcBorders>
            <w:noWrap/>
            <w:vAlign w:val="center"/>
          </w:tcPr>
          <w:p w14:paraId="6D6A374F">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257</w:t>
            </w:r>
          </w:p>
        </w:tc>
        <w:tc>
          <w:tcPr>
            <w:tcW w:w="2347" w:type="dxa"/>
            <w:tcBorders>
              <w:tl2br w:val="nil"/>
              <w:tr2bl w:val="nil"/>
            </w:tcBorders>
            <w:noWrap/>
            <w:vAlign w:val="center"/>
          </w:tcPr>
          <w:p w14:paraId="569ABFCF">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11.961044886 </w:t>
            </w:r>
          </w:p>
        </w:tc>
        <w:tc>
          <w:tcPr>
            <w:tcW w:w="1923" w:type="dxa"/>
            <w:tcBorders>
              <w:tl2br w:val="nil"/>
              <w:tr2bl w:val="nil"/>
            </w:tcBorders>
            <w:noWrap/>
            <w:vAlign w:val="center"/>
          </w:tcPr>
          <w:p w14:paraId="042D1FB5">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0.188081922 </w:t>
            </w:r>
          </w:p>
        </w:tc>
        <w:tc>
          <w:tcPr>
            <w:tcW w:w="1683" w:type="dxa"/>
            <w:tcBorders>
              <w:tl2br w:val="nil"/>
              <w:tr2bl w:val="nil"/>
            </w:tcBorders>
            <w:noWrap/>
            <w:vAlign w:val="center"/>
          </w:tcPr>
          <w:p w14:paraId="414015C6">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0.039986079 </w:t>
            </w:r>
          </w:p>
        </w:tc>
      </w:tr>
      <w:tr w14:paraId="5812F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04" w:type="pct"/>
            <w:tcBorders>
              <w:tl2br w:val="nil"/>
              <w:tr2bl w:val="nil"/>
            </w:tcBorders>
            <w:noWrap/>
            <w:vAlign w:val="center"/>
          </w:tcPr>
          <w:p w14:paraId="0FF3DF70">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300</w:t>
            </w:r>
          </w:p>
        </w:tc>
        <w:tc>
          <w:tcPr>
            <w:tcW w:w="2347" w:type="dxa"/>
            <w:tcBorders>
              <w:tl2br w:val="nil"/>
              <w:tr2bl w:val="nil"/>
            </w:tcBorders>
            <w:noWrap/>
            <w:vAlign w:val="center"/>
          </w:tcPr>
          <w:p w14:paraId="47C4E188">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11.953903617 </w:t>
            </w:r>
          </w:p>
        </w:tc>
        <w:tc>
          <w:tcPr>
            <w:tcW w:w="1923" w:type="dxa"/>
            <w:tcBorders>
              <w:tl2br w:val="nil"/>
              <w:tr2bl w:val="nil"/>
            </w:tcBorders>
            <w:noWrap/>
            <w:vAlign w:val="center"/>
          </w:tcPr>
          <w:p w14:paraId="737865CB">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0.187988339 </w:t>
            </w:r>
          </w:p>
        </w:tc>
        <w:tc>
          <w:tcPr>
            <w:tcW w:w="1683" w:type="dxa"/>
            <w:tcBorders>
              <w:tl2br w:val="nil"/>
              <w:tr2bl w:val="nil"/>
            </w:tcBorders>
            <w:noWrap/>
            <w:vAlign w:val="center"/>
          </w:tcPr>
          <w:p w14:paraId="1522D728">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0.039976793 </w:t>
            </w:r>
          </w:p>
        </w:tc>
      </w:tr>
      <w:tr w14:paraId="4C231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04" w:type="pct"/>
            <w:tcBorders>
              <w:tl2br w:val="nil"/>
              <w:tr2bl w:val="nil"/>
            </w:tcBorders>
            <w:noWrap/>
            <w:vAlign w:val="center"/>
          </w:tcPr>
          <w:p w14:paraId="6BB572CD">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500</w:t>
            </w:r>
          </w:p>
        </w:tc>
        <w:tc>
          <w:tcPr>
            <w:tcW w:w="2347" w:type="dxa"/>
            <w:tcBorders>
              <w:tl2br w:val="nil"/>
              <w:tr2bl w:val="nil"/>
            </w:tcBorders>
            <w:noWrap/>
            <w:vAlign w:val="center"/>
          </w:tcPr>
          <w:p w14:paraId="0B848E89">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11.920744405 </w:t>
            </w:r>
          </w:p>
        </w:tc>
        <w:tc>
          <w:tcPr>
            <w:tcW w:w="1923" w:type="dxa"/>
            <w:tcBorders>
              <w:tl2br w:val="nil"/>
              <w:tr2bl w:val="nil"/>
            </w:tcBorders>
            <w:noWrap/>
            <w:vAlign w:val="center"/>
          </w:tcPr>
          <w:p w14:paraId="4B2F4F5E">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0.187553684 </w:t>
            </w:r>
          </w:p>
        </w:tc>
        <w:tc>
          <w:tcPr>
            <w:tcW w:w="1683" w:type="dxa"/>
            <w:tcBorders>
              <w:tl2br w:val="nil"/>
              <w:tr2bl w:val="nil"/>
            </w:tcBorders>
            <w:noWrap/>
            <w:vAlign w:val="center"/>
          </w:tcPr>
          <w:p w14:paraId="077EDBDB">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0.039933632 </w:t>
            </w:r>
          </w:p>
        </w:tc>
      </w:tr>
      <w:tr w14:paraId="61783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04" w:type="pct"/>
            <w:tcBorders>
              <w:bottom w:val="single" w:color="000000" w:sz="4" w:space="0"/>
              <w:tl2br w:val="nil"/>
              <w:tr2bl w:val="nil"/>
            </w:tcBorders>
            <w:noWrap/>
            <w:vAlign w:val="center"/>
          </w:tcPr>
          <w:p w14:paraId="0088DCE8">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1000</w:t>
            </w:r>
          </w:p>
        </w:tc>
        <w:tc>
          <w:tcPr>
            <w:tcW w:w="2347" w:type="dxa"/>
            <w:tcBorders>
              <w:bottom w:val="single" w:color="000000" w:sz="4" w:space="0"/>
              <w:tl2br w:val="nil"/>
              <w:tr2bl w:val="nil"/>
            </w:tcBorders>
            <w:noWrap/>
            <w:vAlign w:val="center"/>
          </w:tcPr>
          <w:p w14:paraId="2EFF37A3">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11.838248234 </w:t>
            </w:r>
          </w:p>
        </w:tc>
        <w:tc>
          <w:tcPr>
            <w:tcW w:w="1923" w:type="dxa"/>
            <w:tcBorders>
              <w:bottom w:val="single" w:color="000000" w:sz="4" w:space="0"/>
              <w:tl2br w:val="nil"/>
              <w:tr2bl w:val="nil"/>
            </w:tcBorders>
            <w:noWrap/>
            <w:vAlign w:val="center"/>
          </w:tcPr>
          <w:p w14:paraId="7118BDD3">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0.186471439 </w:t>
            </w:r>
          </w:p>
        </w:tc>
        <w:tc>
          <w:tcPr>
            <w:tcW w:w="1683" w:type="dxa"/>
            <w:tcBorders>
              <w:bottom w:val="single" w:color="000000" w:sz="4" w:space="0"/>
              <w:tl2br w:val="nil"/>
              <w:tr2bl w:val="nil"/>
            </w:tcBorders>
            <w:noWrap/>
            <w:vAlign w:val="center"/>
          </w:tcPr>
          <w:p w14:paraId="4E7417CD">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0.039825932 </w:t>
            </w:r>
          </w:p>
        </w:tc>
      </w:tr>
      <w:tr w14:paraId="2EDAB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504" w:type="pct"/>
            <w:tcBorders>
              <w:top w:val="single" w:color="000000" w:sz="4" w:space="0"/>
              <w:bottom w:val="single" w:color="000000" w:sz="4" w:space="0"/>
              <w:tl2br w:val="nil"/>
              <w:tr2bl w:val="nil"/>
            </w:tcBorders>
            <w:noWrap/>
            <w:vAlign w:val="center"/>
          </w:tcPr>
          <w:p w14:paraId="64E58324">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2000</w:t>
            </w:r>
          </w:p>
        </w:tc>
        <w:tc>
          <w:tcPr>
            <w:tcW w:w="2347" w:type="dxa"/>
            <w:tcBorders>
              <w:top w:val="single" w:color="000000" w:sz="4" w:space="0"/>
              <w:bottom w:val="single" w:color="000000" w:sz="4" w:space="0"/>
              <w:tl2br w:val="nil"/>
              <w:tr2bl w:val="nil"/>
            </w:tcBorders>
            <w:noWrap/>
            <w:vAlign w:val="center"/>
          </w:tcPr>
          <w:p w14:paraId="6F0FE437">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11.674964658 </w:t>
            </w:r>
          </w:p>
        </w:tc>
        <w:tc>
          <w:tcPr>
            <w:tcW w:w="1923" w:type="dxa"/>
            <w:tcBorders>
              <w:top w:val="single" w:color="000000" w:sz="4" w:space="0"/>
              <w:bottom w:val="single" w:color="000000" w:sz="4" w:space="0"/>
              <w:tl2br w:val="nil"/>
              <w:tr2bl w:val="nil"/>
            </w:tcBorders>
            <w:noWrap/>
            <w:vAlign w:val="center"/>
          </w:tcPr>
          <w:p w14:paraId="3D4F3C28">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0.184325646 </w:t>
            </w:r>
          </w:p>
        </w:tc>
        <w:tc>
          <w:tcPr>
            <w:tcW w:w="1683" w:type="dxa"/>
            <w:tcBorders>
              <w:top w:val="single" w:color="000000" w:sz="4" w:space="0"/>
              <w:bottom w:val="single" w:color="000000" w:sz="4" w:space="0"/>
              <w:tl2br w:val="nil"/>
              <w:tr2bl w:val="nil"/>
            </w:tcBorders>
            <w:noWrap/>
            <w:vAlign w:val="center"/>
          </w:tcPr>
          <w:p w14:paraId="18E89B35">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0.039611403 </w:t>
            </w:r>
          </w:p>
        </w:tc>
      </w:tr>
      <w:tr w14:paraId="6027C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04" w:type="pct"/>
            <w:tcBorders>
              <w:top w:val="single" w:color="000000" w:sz="4" w:space="0"/>
              <w:bottom w:val="single" w:color="auto" w:sz="4" w:space="0"/>
              <w:tl2br w:val="nil"/>
              <w:tr2bl w:val="nil"/>
            </w:tcBorders>
            <w:noWrap/>
            <w:vAlign w:val="center"/>
          </w:tcPr>
          <w:p w14:paraId="7B758D9E">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3000</w:t>
            </w:r>
          </w:p>
        </w:tc>
        <w:tc>
          <w:tcPr>
            <w:tcW w:w="2347" w:type="dxa"/>
            <w:tcBorders>
              <w:top w:val="single" w:color="000000" w:sz="4" w:space="0"/>
              <w:bottom w:val="single" w:color="auto" w:sz="4" w:space="0"/>
              <w:tl2br w:val="nil"/>
              <w:tr2bl w:val="nil"/>
            </w:tcBorders>
            <w:noWrap/>
            <w:vAlign w:val="center"/>
          </w:tcPr>
          <w:p w14:paraId="260AAA3B">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11.513933234 </w:t>
            </w:r>
          </w:p>
        </w:tc>
        <w:tc>
          <w:tcPr>
            <w:tcW w:w="1923" w:type="dxa"/>
            <w:tcBorders>
              <w:top w:val="single" w:color="000000" w:sz="4" w:space="0"/>
              <w:bottom w:val="single" w:color="auto" w:sz="4" w:space="0"/>
              <w:tl2br w:val="nil"/>
              <w:tr2bl w:val="nil"/>
            </w:tcBorders>
            <w:noWrap/>
            <w:vAlign w:val="center"/>
          </w:tcPr>
          <w:p w14:paraId="6FA92DAB">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0.182204546 </w:t>
            </w:r>
          </w:p>
        </w:tc>
        <w:tc>
          <w:tcPr>
            <w:tcW w:w="1683" w:type="dxa"/>
            <w:tcBorders>
              <w:top w:val="single" w:color="000000" w:sz="4" w:space="0"/>
              <w:bottom w:val="single" w:color="auto" w:sz="4" w:space="0"/>
              <w:tl2br w:val="nil"/>
              <w:tr2bl w:val="nil"/>
            </w:tcBorders>
            <w:noWrap/>
            <w:vAlign w:val="center"/>
          </w:tcPr>
          <w:p w14:paraId="32039C57">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0.039398029 </w:t>
            </w:r>
          </w:p>
        </w:tc>
      </w:tr>
      <w:tr w14:paraId="36F09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1504" w:type="pct"/>
            <w:tcBorders>
              <w:top w:val="single" w:color="auto" w:sz="4" w:space="0"/>
              <w:bottom w:val="single" w:color="000000" w:sz="4" w:space="0"/>
              <w:tl2br w:val="nil"/>
              <w:tr2bl w:val="nil"/>
            </w:tcBorders>
            <w:noWrap/>
            <w:vAlign w:val="center"/>
          </w:tcPr>
          <w:p w14:paraId="5E807A0D">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16423</w:t>
            </w:r>
          </w:p>
        </w:tc>
        <w:tc>
          <w:tcPr>
            <w:tcW w:w="2347" w:type="dxa"/>
            <w:tcBorders>
              <w:top w:val="single" w:color="auto" w:sz="4" w:space="0"/>
              <w:bottom w:val="single" w:color="000000" w:sz="4" w:space="0"/>
              <w:tl2br w:val="nil"/>
              <w:tr2bl w:val="nil"/>
            </w:tcBorders>
            <w:noWrap/>
            <w:vAlign w:val="center"/>
          </w:tcPr>
          <w:p w14:paraId="6A00830C">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9.555599636 </w:t>
            </w:r>
          </w:p>
        </w:tc>
        <w:tc>
          <w:tcPr>
            <w:tcW w:w="1923" w:type="dxa"/>
            <w:tcBorders>
              <w:top w:val="single" w:color="auto" w:sz="4" w:space="0"/>
              <w:bottom w:val="single" w:color="000000" w:sz="4" w:space="0"/>
              <w:tl2br w:val="nil"/>
              <w:tr2bl w:val="nil"/>
            </w:tcBorders>
            <w:noWrap/>
            <w:vAlign w:val="center"/>
          </w:tcPr>
          <w:p w14:paraId="691A75D9">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0.155986761 </w:t>
            </w:r>
          </w:p>
        </w:tc>
        <w:tc>
          <w:tcPr>
            <w:tcW w:w="1683" w:type="dxa"/>
            <w:tcBorders>
              <w:top w:val="single" w:color="auto" w:sz="4" w:space="0"/>
              <w:bottom w:val="single" w:color="000000" w:sz="4" w:space="0"/>
              <w:tl2br w:val="nil"/>
              <w:tr2bl w:val="nil"/>
            </w:tcBorders>
            <w:noWrap/>
            <w:vAlign w:val="center"/>
          </w:tcPr>
          <w:p w14:paraId="16D1EEFA">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i w:val="0"/>
                <w:iCs w:val="0"/>
                <w:color w:val="000000"/>
                <w:kern w:val="0"/>
                <w:sz w:val="21"/>
                <w:szCs w:val="21"/>
                <w:u w:val="single" w:color="auto"/>
                <w:lang w:val="en-US" w:eastAsia="zh-CN" w:bidi="ar"/>
              </w:rPr>
              <w:t xml:space="preserve">0.036642729 </w:t>
            </w:r>
          </w:p>
        </w:tc>
      </w:tr>
      <w:tr w14:paraId="3059E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04" w:type="pct"/>
            <w:tcBorders>
              <w:tl2br w:val="nil"/>
              <w:tr2bl w:val="nil"/>
            </w:tcBorders>
            <w:noWrap/>
            <w:vAlign w:val="center"/>
          </w:tcPr>
          <w:p w14:paraId="151EAF71">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Ⅲ类</w:t>
            </w:r>
            <w:r>
              <w:rPr>
                <w:rFonts w:hint="default" w:ascii="Times New Roman" w:hAnsi="Times New Roman" w:eastAsia="宋体" w:cs="Times New Roman"/>
                <w:color w:val="auto"/>
                <w:spacing w:val="-1"/>
                <w:sz w:val="21"/>
                <w:szCs w:val="21"/>
                <w:u w:val="single" w:color="auto"/>
                <w:vertAlign w:val="baseline"/>
                <w:lang w:val="en-US" w:eastAsia="zh-CN"/>
              </w:rPr>
              <w:t>标准限值</w:t>
            </w:r>
          </w:p>
        </w:tc>
        <w:tc>
          <w:tcPr>
            <w:tcW w:w="1378" w:type="pct"/>
            <w:tcBorders>
              <w:tl2br w:val="nil"/>
              <w:tr2bl w:val="nil"/>
            </w:tcBorders>
            <w:noWrap/>
            <w:vAlign w:val="center"/>
          </w:tcPr>
          <w:p w14:paraId="74231E97">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20</w:t>
            </w:r>
          </w:p>
        </w:tc>
        <w:tc>
          <w:tcPr>
            <w:tcW w:w="1129" w:type="pct"/>
            <w:tcBorders>
              <w:tl2br w:val="nil"/>
              <w:tr2bl w:val="nil"/>
            </w:tcBorders>
            <w:noWrap/>
            <w:vAlign w:val="center"/>
          </w:tcPr>
          <w:p w14:paraId="6A2605B9">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1.0</w:t>
            </w:r>
          </w:p>
        </w:tc>
        <w:tc>
          <w:tcPr>
            <w:tcW w:w="988" w:type="pct"/>
            <w:tcBorders>
              <w:tl2br w:val="nil"/>
              <w:tr2bl w:val="nil"/>
            </w:tcBorders>
            <w:noWrap/>
            <w:vAlign w:val="center"/>
          </w:tcPr>
          <w:p w14:paraId="2A30C759">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0.</w:t>
            </w:r>
            <w:r>
              <w:rPr>
                <w:rFonts w:hint="default" w:ascii="Times New Roman" w:hAnsi="Times New Roman" w:cs="Times New Roman"/>
                <w:color w:val="auto"/>
                <w:spacing w:val="-1"/>
                <w:sz w:val="21"/>
                <w:szCs w:val="21"/>
                <w:u w:val="single" w:color="auto"/>
                <w:vertAlign w:val="baseline"/>
                <w:lang w:val="en-US" w:eastAsia="zh-CN"/>
              </w:rPr>
              <w:t>2</w:t>
            </w:r>
          </w:p>
        </w:tc>
      </w:tr>
      <w:tr w14:paraId="451B0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04" w:type="pct"/>
            <w:tcBorders>
              <w:tl2br w:val="nil"/>
              <w:tr2bl w:val="nil"/>
            </w:tcBorders>
            <w:noWrap/>
            <w:vAlign w:val="center"/>
          </w:tcPr>
          <w:p w14:paraId="10FEFAEA">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10%的安全余量</w:t>
            </w:r>
          </w:p>
        </w:tc>
        <w:tc>
          <w:tcPr>
            <w:tcW w:w="1378" w:type="pct"/>
            <w:tcBorders>
              <w:tl2br w:val="nil"/>
              <w:tr2bl w:val="nil"/>
            </w:tcBorders>
            <w:noWrap/>
            <w:vAlign w:val="center"/>
          </w:tcPr>
          <w:p w14:paraId="31FC6503">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18</w:t>
            </w:r>
          </w:p>
        </w:tc>
        <w:tc>
          <w:tcPr>
            <w:tcW w:w="1129" w:type="pct"/>
            <w:tcBorders>
              <w:tl2br w:val="nil"/>
              <w:tr2bl w:val="nil"/>
            </w:tcBorders>
            <w:noWrap/>
            <w:vAlign w:val="center"/>
          </w:tcPr>
          <w:p w14:paraId="61D13F18">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0.9</w:t>
            </w:r>
          </w:p>
        </w:tc>
        <w:tc>
          <w:tcPr>
            <w:tcW w:w="988" w:type="pct"/>
            <w:tcBorders>
              <w:tl2br w:val="nil"/>
              <w:tr2bl w:val="nil"/>
            </w:tcBorders>
            <w:noWrap/>
            <w:vAlign w:val="center"/>
          </w:tcPr>
          <w:p w14:paraId="644F7A59">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0.18</w:t>
            </w:r>
          </w:p>
        </w:tc>
      </w:tr>
    </w:tbl>
    <w:p w14:paraId="5B08D9DF">
      <w:pPr>
        <w:numPr>
          <w:ilvl w:val="0"/>
          <w:numId w:val="0"/>
        </w:numPr>
        <w:spacing w:line="240" w:lineRule="auto"/>
        <w:jc w:val="center"/>
        <w:rPr>
          <w:rFonts w:hint="default" w:ascii="Times New Roman" w:hAnsi="Times New Roman" w:eastAsia="宋体" w:cs="Times New Roman"/>
          <w:b/>
          <w:bCs/>
          <w:i w:val="0"/>
          <w:iCs w:val="0"/>
          <w:color w:val="auto"/>
          <w:sz w:val="21"/>
          <w:szCs w:val="21"/>
          <w:u w:val="single" w:color="auto"/>
          <w:lang w:val="en-US" w:eastAsia="zh-CN"/>
        </w:rPr>
      </w:pPr>
      <w:bookmarkStart w:id="193" w:name="_Toc26276"/>
      <w:bookmarkStart w:id="194" w:name="_Toc10722"/>
      <w:r>
        <w:rPr>
          <w:rFonts w:hint="default" w:ascii="Times New Roman" w:hAnsi="Times New Roman" w:eastAsia="宋体" w:cs="Times New Roman"/>
          <w:b/>
          <w:bCs/>
          <w:i w:val="0"/>
          <w:iCs w:val="0"/>
          <w:color w:val="auto"/>
          <w:sz w:val="21"/>
          <w:szCs w:val="21"/>
          <w:u w:val="single" w:color="auto"/>
          <w:lang w:val="en-US" w:eastAsia="zh-CN"/>
        </w:rPr>
        <w:t>表6.3-</w:t>
      </w:r>
      <w:r>
        <w:rPr>
          <w:rFonts w:hint="eastAsia" w:ascii="Times New Roman" w:hAnsi="Times New Roman" w:cs="Times New Roman"/>
          <w:b/>
          <w:bCs/>
          <w:i w:val="0"/>
          <w:iCs w:val="0"/>
          <w:color w:val="auto"/>
          <w:sz w:val="21"/>
          <w:szCs w:val="21"/>
          <w:u w:val="single" w:color="auto"/>
          <w:lang w:val="en-US" w:eastAsia="zh-CN"/>
        </w:rPr>
        <w:t>6</w:t>
      </w:r>
      <w:r>
        <w:rPr>
          <w:rFonts w:hint="default" w:ascii="Times New Roman" w:hAnsi="Times New Roman" w:eastAsia="宋体" w:cs="Times New Roman"/>
          <w:b/>
          <w:bCs/>
          <w:i w:val="0"/>
          <w:iCs w:val="0"/>
          <w:color w:val="auto"/>
          <w:sz w:val="21"/>
          <w:szCs w:val="21"/>
          <w:u w:val="single" w:color="auto"/>
          <w:lang w:val="en-US" w:eastAsia="zh-CN"/>
        </w:rPr>
        <w:t xml:space="preserve"> 非正常排放对下游水质影响预测结果</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9"/>
        <w:gridCol w:w="2345"/>
        <w:gridCol w:w="1924"/>
        <w:gridCol w:w="1687"/>
      </w:tblGrid>
      <w:tr w14:paraId="3EB1C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504" w:type="pct"/>
            <w:vMerge w:val="restart"/>
            <w:tcBorders>
              <w:tl2br w:val="nil"/>
              <w:tr2bl w:val="nil"/>
            </w:tcBorders>
            <w:noWrap/>
            <w:vAlign w:val="center"/>
          </w:tcPr>
          <w:p w14:paraId="2028F7E8">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下游距离m</w:t>
            </w:r>
          </w:p>
        </w:tc>
        <w:tc>
          <w:tcPr>
            <w:tcW w:w="3495" w:type="pct"/>
            <w:gridSpan w:val="3"/>
            <w:tcBorders>
              <w:tl2br w:val="nil"/>
              <w:tr2bl w:val="nil"/>
            </w:tcBorders>
            <w:noWrap w:val="0"/>
            <w:vAlign w:val="center"/>
          </w:tcPr>
          <w:p w14:paraId="21FDBE4C">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非正常排放</w:t>
            </w:r>
          </w:p>
        </w:tc>
      </w:tr>
      <w:tr w14:paraId="18E74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504" w:type="pct"/>
            <w:vMerge w:val="continue"/>
            <w:tcBorders>
              <w:tl2br w:val="nil"/>
              <w:tr2bl w:val="nil"/>
            </w:tcBorders>
            <w:noWrap/>
            <w:vAlign w:val="center"/>
          </w:tcPr>
          <w:p w14:paraId="7B368697">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p>
        </w:tc>
        <w:tc>
          <w:tcPr>
            <w:tcW w:w="1378" w:type="pct"/>
            <w:tcBorders>
              <w:tl2br w:val="nil"/>
              <w:tr2bl w:val="nil"/>
            </w:tcBorders>
            <w:noWrap w:val="0"/>
            <w:vAlign w:val="center"/>
          </w:tcPr>
          <w:p w14:paraId="2F55B958">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CODCr</w:t>
            </w:r>
          </w:p>
        </w:tc>
        <w:tc>
          <w:tcPr>
            <w:tcW w:w="1129" w:type="pct"/>
            <w:tcBorders>
              <w:tl2br w:val="nil"/>
              <w:tr2bl w:val="nil"/>
            </w:tcBorders>
            <w:noWrap w:val="0"/>
            <w:vAlign w:val="center"/>
          </w:tcPr>
          <w:p w14:paraId="4A8E1A42">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氨氮</w:t>
            </w:r>
          </w:p>
        </w:tc>
        <w:tc>
          <w:tcPr>
            <w:tcW w:w="988" w:type="pct"/>
            <w:tcBorders>
              <w:tl2br w:val="nil"/>
              <w:tr2bl w:val="nil"/>
            </w:tcBorders>
            <w:noWrap w:val="0"/>
            <w:vAlign w:val="center"/>
          </w:tcPr>
          <w:p w14:paraId="60B168A5">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总磷</w:t>
            </w:r>
          </w:p>
        </w:tc>
      </w:tr>
      <w:tr w14:paraId="12851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726" w:type="dxa"/>
            <w:tcBorders>
              <w:tl2br w:val="nil"/>
              <w:tr2bl w:val="nil"/>
            </w:tcBorders>
            <w:noWrap/>
            <w:vAlign w:val="center"/>
          </w:tcPr>
          <w:p w14:paraId="46EACCFF">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10</w:t>
            </w:r>
          </w:p>
        </w:tc>
        <w:tc>
          <w:tcPr>
            <w:tcW w:w="2497" w:type="dxa"/>
            <w:tcBorders>
              <w:tl2br w:val="nil"/>
              <w:tr2bl w:val="nil"/>
            </w:tcBorders>
            <w:noWrap/>
            <w:vAlign w:val="center"/>
          </w:tcPr>
          <w:p w14:paraId="0B535E55">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12.055990909 </w:t>
            </w:r>
          </w:p>
        </w:tc>
        <w:tc>
          <w:tcPr>
            <w:tcW w:w="2046" w:type="dxa"/>
            <w:tcBorders>
              <w:tl2br w:val="nil"/>
              <w:tr2bl w:val="nil"/>
            </w:tcBorders>
            <w:noWrap/>
            <w:vAlign w:val="center"/>
          </w:tcPr>
          <w:p w14:paraId="7A86FB5F">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0.189699856 </w:t>
            </w:r>
          </w:p>
        </w:tc>
        <w:tc>
          <w:tcPr>
            <w:tcW w:w="1791" w:type="dxa"/>
            <w:tcBorders>
              <w:tl2br w:val="nil"/>
              <w:tr2bl w:val="nil"/>
            </w:tcBorders>
            <w:noWrap/>
            <w:vAlign w:val="center"/>
          </w:tcPr>
          <w:p w14:paraId="1638894E">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0.040155652 </w:t>
            </w:r>
          </w:p>
        </w:tc>
      </w:tr>
      <w:tr w14:paraId="3E05E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726" w:type="dxa"/>
            <w:tcBorders>
              <w:tl2br w:val="nil"/>
              <w:tr2bl w:val="nil"/>
            </w:tcBorders>
            <w:noWrap/>
            <w:vAlign w:val="center"/>
          </w:tcPr>
          <w:p w14:paraId="142EC001">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20</w:t>
            </w:r>
          </w:p>
        </w:tc>
        <w:tc>
          <w:tcPr>
            <w:tcW w:w="2497" w:type="dxa"/>
            <w:tcBorders>
              <w:tl2br w:val="nil"/>
              <w:tr2bl w:val="nil"/>
            </w:tcBorders>
            <w:noWrap/>
            <w:vAlign w:val="center"/>
          </w:tcPr>
          <w:p w14:paraId="669A3AA9">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12.054316582 </w:t>
            </w:r>
          </w:p>
        </w:tc>
        <w:tc>
          <w:tcPr>
            <w:tcW w:w="2046" w:type="dxa"/>
            <w:tcBorders>
              <w:tl2br w:val="nil"/>
              <w:tr2bl w:val="nil"/>
            </w:tcBorders>
            <w:noWrap/>
            <w:vAlign w:val="center"/>
          </w:tcPr>
          <w:p w14:paraId="495FF011">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0.189677901 </w:t>
            </w:r>
          </w:p>
        </w:tc>
        <w:tc>
          <w:tcPr>
            <w:tcW w:w="1791" w:type="dxa"/>
            <w:tcBorders>
              <w:tl2br w:val="nil"/>
              <w:tr2bl w:val="nil"/>
            </w:tcBorders>
            <w:noWrap/>
            <w:vAlign w:val="center"/>
          </w:tcPr>
          <w:p w14:paraId="492697ED">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0.040153483 </w:t>
            </w:r>
          </w:p>
        </w:tc>
      </w:tr>
      <w:tr w14:paraId="54DF6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726" w:type="dxa"/>
            <w:tcBorders>
              <w:tl2br w:val="nil"/>
              <w:tr2bl w:val="nil"/>
            </w:tcBorders>
            <w:noWrap/>
            <w:vAlign w:val="center"/>
          </w:tcPr>
          <w:p w14:paraId="431E9A48">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50</w:t>
            </w:r>
          </w:p>
        </w:tc>
        <w:tc>
          <w:tcPr>
            <w:tcW w:w="2497" w:type="dxa"/>
            <w:tcBorders>
              <w:tl2br w:val="nil"/>
              <w:tr2bl w:val="nil"/>
            </w:tcBorders>
            <w:noWrap/>
            <w:vAlign w:val="center"/>
          </w:tcPr>
          <w:p w14:paraId="508A2833">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12.049294996 </w:t>
            </w:r>
          </w:p>
        </w:tc>
        <w:tc>
          <w:tcPr>
            <w:tcW w:w="2046" w:type="dxa"/>
            <w:tcBorders>
              <w:tl2br w:val="nil"/>
              <w:tr2bl w:val="nil"/>
            </w:tcBorders>
            <w:noWrap/>
            <w:vAlign w:val="center"/>
          </w:tcPr>
          <w:p w14:paraId="154CFCC6">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0.189612052 </w:t>
            </w:r>
          </w:p>
        </w:tc>
        <w:tc>
          <w:tcPr>
            <w:tcW w:w="1791" w:type="dxa"/>
            <w:tcBorders>
              <w:tl2br w:val="nil"/>
              <w:tr2bl w:val="nil"/>
            </w:tcBorders>
            <w:noWrap/>
            <w:vAlign w:val="center"/>
          </w:tcPr>
          <w:p w14:paraId="7F9DD686">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0.040146978 </w:t>
            </w:r>
          </w:p>
        </w:tc>
      </w:tr>
      <w:tr w14:paraId="19E21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726" w:type="dxa"/>
            <w:tcBorders>
              <w:tl2br w:val="nil"/>
              <w:tr2bl w:val="nil"/>
            </w:tcBorders>
            <w:noWrap/>
            <w:vAlign w:val="center"/>
          </w:tcPr>
          <w:p w14:paraId="28C64351">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200</w:t>
            </w:r>
          </w:p>
        </w:tc>
        <w:tc>
          <w:tcPr>
            <w:tcW w:w="2497" w:type="dxa"/>
            <w:tcBorders>
              <w:tl2br w:val="nil"/>
              <w:tr2bl w:val="nil"/>
            </w:tcBorders>
            <w:noWrap/>
            <w:vAlign w:val="center"/>
          </w:tcPr>
          <w:p w14:paraId="5C3AEE92">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12.024218429 </w:t>
            </w:r>
          </w:p>
        </w:tc>
        <w:tc>
          <w:tcPr>
            <w:tcW w:w="2046" w:type="dxa"/>
            <w:tcBorders>
              <w:tl2br w:val="nil"/>
              <w:tr2bl w:val="nil"/>
            </w:tcBorders>
            <w:noWrap/>
            <w:vAlign w:val="center"/>
          </w:tcPr>
          <w:p w14:paraId="517BCED7">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0.189283150 </w:t>
            </w:r>
          </w:p>
        </w:tc>
        <w:tc>
          <w:tcPr>
            <w:tcW w:w="1791" w:type="dxa"/>
            <w:tcBorders>
              <w:tl2br w:val="nil"/>
              <w:tr2bl w:val="nil"/>
            </w:tcBorders>
            <w:noWrap/>
            <w:vAlign w:val="center"/>
          </w:tcPr>
          <w:p w14:paraId="042D7450">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0.040114464 </w:t>
            </w:r>
          </w:p>
        </w:tc>
      </w:tr>
      <w:tr w14:paraId="3DD35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726" w:type="dxa"/>
            <w:tcBorders>
              <w:bottom w:val="single" w:color="000000" w:sz="4" w:space="0"/>
              <w:tl2br w:val="nil"/>
              <w:tr2bl w:val="nil"/>
            </w:tcBorders>
            <w:noWrap/>
            <w:vAlign w:val="center"/>
          </w:tcPr>
          <w:p w14:paraId="48D35C77">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257</w:t>
            </w:r>
          </w:p>
        </w:tc>
        <w:tc>
          <w:tcPr>
            <w:tcW w:w="2497" w:type="dxa"/>
            <w:tcBorders>
              <w:bottom w:val="single" w:color="000000" w:sz="4" w:space="0"/>
              <w:tl2br w:val="nil"/>
              <w:tr2bl w:val="nil"/>
            </w:tcBorders>
            <w:noWrap/>
            <w:vAlign w:val="center"/>
          </w:tcPr>
          <w:p w14:paraId="534746A5">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12.014703023 </w:t>
            </w:r>
          </w:p>
        </w:tc>
        <w:tc>
          <w:tcPr>
            <w:tcW w:w="2046" w:type="dxa"/>
            <w:tcBorders>
              <w:bottom w:val="single" w:color="000000" w:sz="4" w:space="0"/>
              <w:tl2br w:val="nil"/>
              <w:tr2bl w:val="nil"/>
            </w:tcBorders>
            <w:noWrap/>
            <w:vAlign w:val="center"/>
          </w:tcPr>
          <w:p w14:paraId="56119703">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0.189158317 </w:t>
            </w:r>
          </w:p>
        </w:tc>
        <w:tc>
          <w:tcPr>
            <w:tcW w:w="1791" w:type="dxa"/>
            <w:tcBorders>
              <w:bottom w:val="single" w:color="000000" w:sz="4" w:space="0"/>
              <w:tl2br w:val="nil"/>
              <w:tr2bl w:val="nil"/>
            </w:tcBorders>
            <w:noWrap/>
            <w:vAlign w:val="center"/>
          </w:tcPr>
          <w:p w14:paraId="7F59F53D">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0.040102116 </w:t>
            </w:r>
          </w:p>
        </w:tc>
      </w:tr>
      <w:tr w14:paraId="0900A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2726" w:type="dxa"/>
            <w:tcBorders>
              <w:top w:val="single" w:color="000000" w:sz="4" w:space="0"/>
              <w:bottom w:val="single" w:color="000000" w:sz="4" w:space="0"/>
              <w:tl2br w:val="nil"/>
              <w:tr2bl w:val="nil"/>
            </w:tcBorders>
            <w:noWrap/>
            <w:vAlign w:val="center"/>
          </w:tcPr>
          <w:p w14:paraId="6DC5E4F1">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300</w:t>
            </w:r>
          </w:p>
        </w:tc>
        <w:tc>
          <w:tcPr>
            <w:tcW w:w="2497" w:type="dxa"/>
            <w:tcBorders>
              <w:top w:val="single" w:color="000000" w:sz="4" w:space="0"/>
              <w:bottom w:val="single" w:color="000000" w:sz="4" w:space="0"/>
              <w:tl2br w:val="nil"/>
              <w:tr2bl w:val="nil"/>
            </w:tcBorders>
            <w:noWrap/>
            <w:vAlign w:val="center"/>
          </w:tcPr>
          <w:p w14:paraId="532DC1B6">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12.007529718 </w:t>
            </w:r>
          </w:p>
        </w:tc>
        <w:tc>
          <w:tcPr>
            <w:tcW w:w="2046" w:type="dxa"/>
            <w:tcBorders>
              <w:top w:val="single" w:color="000000" w:sz="4" w:space="0"/>
              <w:bottom w:val="single" w:color="000000" w:sz="4" w:space="0"/>
              <w:tl2br w:val="nil"/>
              <w:tr2bl w:val="nil"/>
            </w:tcBorders>
            <w:noWrap/>
            <w:vAlign w:val="center"/>
          </w:tcPr>
          <w:p w14:paraId="6074EE86">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0.189064199 </w:t>
            </w:r>
          </w:p>
        </w:tc>
        <w:tc>
          <w:tcPr>
            <w:tcW w:w="1791" w:type="dxa"/>
            <w:tcBorders>
              <w:top w:val="single" w:color="000000" w:sz="4" w:space="0"/>
              <w:bottom w:val="single" w:color="000000" w:sz="4" w:space="0"/>
              <w:tl2br w:val="nil"/>
              <w:tr2bl w:val="nil"/>
            </w:tcBorders>
            <w:noWrap/>
            <w:vAlign w:val="center"/>
          </w:tcPr>
          <w:p w14:paraId="0020E246">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0.040092803 </w:t>
            </w:r>
          </w:p>
        </w:tc>
      </w:tr>
      <w:tr w14:paraId="7566B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726" w:type="dxa"/>
            <w:tcBorders>
              <w:top w:val="single" w:color="000000" w:sz="4" w:space="0"/>
              <w:bottom w:val="single" w:color="000000" w:sz="4" w:space="0"/>
              <w:tl2br w:val="nil"/>
              <w:tr2bl w:val="nil"/>
            </w:tcBorders>
            <w:noWrap/>
            <w:vAlign w:val="center"/>
          </w:tcPr>
          <w:p w14:paraId="3907906E">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500</w:t>
            </w:r>
          </w:p>
        </w:tc>
        <w:tc>
          <w:tcPr>
            <w:tcW w:w="2497" w:type="dxa"/>
            <w:tcBorders>
              <w:top w:val="single" w:color="000000" w:sz="4" w:space="0"/>
              <w:bottom w:val="single" w:color="000000" w:sz="4" w:space="0"/>
              <w:tl2br w:val="nil"/>
              <w:tr2bl w:val="nil"/>
            </w:tcBorders>
            <w:noWrap/>
            <w:vAlign w:val="center"/>
          </w:tcPr>
          <w:p w14:paraId="6B6F27C1">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11.974221751 </w:t>
            </w:r>
          </w:p>
        </w:tc>
        <w:tc>
          <w:tcPr>
            <w:tcW w:w="2046" w:type="dxa"/>
            <w:tcBorders>
              <w:top w:val="single" w:color="000000" w:sz="4" w:space="0"/>
              <w:bottom w:val="single" w:color="000000" w:sz="4" w:space="0"/>
              <w:tl2br w:val="nil"/>
              <w:tr2bl w:val="nil"/>
            </w:tcBorders>
            <w:noWrap/>
            <w:vAlign w:val="center"/>
          </w:tcPr>
          <w:p w14:paraId="3D684892">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0.188627056 </w:t>
            </w:r>
          </w:p>
        </w:tc>
        <w:tc>
          <w:tcPr>
            <w:tcW w:w="1791" w:type="dxa"/>
            <w:tcBorders>
              <w:top w:val="single" w:color="000000" w:sz="4" w:space="0"/>
              <w:bottom w:val="single" w:color="000000" w:sz="4" w:space="0"/>
              <w:tl2br w:val="nil"/>
              <w:tr2bl w:val="nil"/>
            </w:tcBorders>
            <w:noWrap/>
            <w:vAlign w:val="center"/>
          </w:tcPr>
          <w:p w14:paraId="3297C9B5">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0.040049517 </w:t>
            </w:r>
          </w:p>
        </w:tc>
      </w:tr>
      <w:tr w14:paraId="791D2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726" w:type="dxa"/>
            <w:tcBorders>
              <w:top w:val="single" w:color="000000" w:sz="4" w:space="0"/>
              <w:bottom w:val="single" w:color="auto" w:sz="4" w:space="0"/>
              <w:tl2br w:val="nil"/>
              <w:tr2bl w:val="nil"/>
            </w:tcBorders>
            <w:noWrap/>
            <w:vAlign w:val="center"/>
          </w:tcPr>
          <w:p w14:paraId="6C3230CA">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1000</w:t>
            </w:r>
          </w:p>
        </w:tc>
        <w:tc>
          <w:tcPr>
            <w:tcW w:w="2497" w:type="dxa"/>
            <w:tcBorders>
              <w:top w:val="single" w:color="000000" w:sz="4" w:space="0"/>
              <w:bottom w:val="single" w:color="auto" w:sz="4" w:space="0"/>
              <w:tl2br w:val="nil"/>
              <w:tr2bl w:val="nil"/>
            </w:tcBorders>
            <w:noWrap/>
            <w:vAlign w:val="center"/>
          </w:tcPr>
          <w:p w14:paraId="2A9998C6">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11.891355496 </w:t>
            </w:r>
          </w:p>
        </w:tc>
        <w:tc>
          <w:tcPr>
            <w:tcW w:w="2046" w:type="dxa"/>
            <w:tcBorders>
              <w:top w:val="single" w:color="000000" w:sz="4" w:space="0"/>
              <w:bottom w:val="single" w:color="auto" w:sz="4" w:space="0"/>
              <w:tl2br w:val="nil"/>
              <w:tr2bl w:val="nil"/>
            </w:tcBorders>
            <w:noWrap/>
            <w:vAlign w:val="center"/>
          </w:tcPr>
          <w:p w14:paraId="1F37CE29">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0.187538617 </w:t>
            </w:r>
          </w:p>
        </w:tc>
        <w:tc>
          <w:tcPr>
            <w:tcW w:w="1791" w:type="dxa"/>
            <w:tcBorders>
              <w:top w:val="single" w:color="000000" w:sz="4" w:space="0"/>
              <w:bottom w:val="single" w:color="auto" w:sz="4" w:space="0"/>
              <w:tl2br w:val="nil"/>
              <w:tr2bl w:val="nil"/>
            </w:tcBorders>
            <w:noWrap/>
            <w:vAlign w:val="center"/>
          </w:tcPr>
          <w:p w14:paraId="5514E0CF">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0.039941504 </w:t>
            </w:r>
          </w:p>
        </w:tc>
      </w:tr>
      <w:tr w14:paraId="417E7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2726" w:type="dxa"/>
            <w:tcBorders>
              <w:top w:val="single" w:color="auto" w:sz="4" w:space="0"/>
              <w:bottom w:val="single" w:color="000000" w:sz="4" w:space="0"/>
              <w:tl2br w:val="nil"/>
              <w:tr2bl w:val="nil"/>
            </w:tcBorders>
            <w:noWrap/>
            <w:vAlign w:val="center"/>
          </w:tcPr>
          <w:p w14:paraId="2798A7CA">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2000</w:t>
            </w:r>
          </w:p>
        </w:tc>
        <w:tc>
          <w:tcPr>
            <w:tcW w:w="2497" w:type="dxa"/>
            <w:tcBorders>
              <w:top w:val="single" w:color="auto" w:sz="4" w:space="0"/>
              <w:bottom w:val="single" w:color="000000" w:sz="4" w:space="0"/>
              <w:tl2br w:val="nil"/>
              <w:tr2bl w:val="nil"/>
            </w:tcBorders>
            <w:noWrap/>
            <w:vAlign w:val="center"/>
          </w:tcPr>
          <w:p w14:paraId="62027787">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11.727339418 </w:t>
            </w:r>
          </w:p>
        </w:tc>
        <w:tc>
          <w:tcPr>
            <w:tcW w:w="2046" w:type="dxa"/>
            <w:tcBorders>
              <w:top w:val="single" w:color="auto" w:sz="4" w:space="0"/>
              <w:bottom w:val="single" w:color="000000" w:sz="4" w:space="0"/>
              <w:tl2br w:val="nil"/>
              <w:tr2bl w:val="nil"/>
            </w:tcBorders>
            <w:noWrap/>
            <w:vAlign w:val="center"/>
          </w:tcPr>
          <w:p w14:paraId="7F0FE46A">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0.185380544 </w:t>
            </w:r>
          </w:p>
        </w:tc>
        <w:tc>
          <w:tcPr>
            <w:tcW w:w="1791" w:type="dxa"/>
            <w:tcBorders>
              <w:top w:val="single" w:color="auto" w:sz="4" w:space="0"/>
              <w:bottom w:val="single" w:color="000000" w:sz="4" w:space="0"/>
              <w:tl2br w:val="nil"/>
              <w:tr2bl w:val="nil"/>
            </w:tcBorders>
            <w:noWrap/>
            <w:vAlign w:val="center"/>
          </w:tcPr>
          <w:p w14:paraId="0BE7017D">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0.039726352 </w:t>
            </w:r>
          </w:p>
        </w:tc>
      </w:tr>
      <w:tr w14:paraId="6241B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2726" w:type="dxa"/>
            <w:tcBorders>
              <w:top w:val="single" w:color="auto" w:sz="4" w:space="0"/>
              <w:bottom w:val="single" w:color="000000" w:sz="4" w:space="0"/>
              <w:tl2br w:val="nil"/>
              <w:tr2bl w:val="nil"/>
            </w:tcBorders>
            <w:noWrap/>
            <w:vAlign w:val="center"/>
          </w:tcPr>
          <w:p w14:paraId="662FC719">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3000</w:t>
            </w:r>
          </w:p>
        </w:tc>
        <w:tc>
          <w:tcPr>
            <w:tcW w:w="2497" w:type="dxa"/>
            <w:tcBorders>
              <w:top w:val="single" w:color="auto" w:sz="4" w:space="0"/>
              <w:bottom w:val="single" w:color="000000" w:sz="4" w:space="0"/>
              <w:tl2br w:val="nil"/>
              <w:tr2bl w:val="nil"/>
            </w:tcBorders>
            <w:noWrap/>
            <w:vAlign w:val="center"/>
          </w:tcPr>
          <w:p w14:paraId="177B090C">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11.565585595 </w:t>
            </w:r>
          </w:p>
        </w:tc>
        <w:tc>
          <w:tcPr>
            <w:tcW w:w="2046" w:type="dxa"/>
            <w:tcBorders>
              <w:top w:val="single" w:color="auto" w:sz="4" w:space="0"/>
              <w:bottom w:val="single" w:color="000000" w:sz="4" w:space="0"/>
              <w:tl2br w:val="nil"/>
              <w:tr2bl w:val="nil"/>
            </w:tcBorders>
            <w:noWrap/>
            <w:vAlign w:val="center"/>
          </w:tcPr>
          <w:p w14:paraId="7C87ADBC">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0.183247305 </w:t>
            </w:r>
          </w:p>
        </w:tc>
        <w:tc>
          <w:tcPr>
            <w:tcW w:w="1791" w:type="dxa"/>
            <w:tcBorders>
              <w:top w:val="single" w:color="auto" w:sz="4" w:space="0"/>
              <w:bottom w:val="single" w:color="000000" w:sz="4" w:space="0"/>
              <w:tl2br w:val="nil"/>
              <w:tr2bl w:val="nil"/>
            </w:tcBorders>
            <w:noWrap/>
            <w:vAlign w:val="center"/>
          </w:tcPr>
          <w:p w14:paraId="5E6C8403">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0.039512359 </w:t>
            </w:r>
          </w:p>
        </w:tc>
      </w:tr>
      <w:tr w14:paraId="1410A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2726" w:type="dxa"/>
            <w:tcBorders>
              <w:top w:val="single" w:color="auto" w:sz="4" w:space="0"/>
              <w:bottom w:val="single" w:color="000000" w:sz="4" w:space="0"/>
              <w:tl2br w:val="nil"/>
              <w:tr2bl w:val="nil"/>
            </w:tcBorders>
            <w:noWrap/>
            <w:vAlign w:val="center"/>
          </w:tcPr>
          <w:p w14:paraId="4EC97AFB">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16423</w:t>
            </w:r>
          </w:p>
        </w:tc>
        <w:tc>
          <w:tcPr>
            <w:tcW w:w="2497" w:type="dxa"/>
            <w:tcBorders>
              <w:top w:val="single" w:color="auto" w:sz="4" w:space="0"/>
              <w:bottom w:val="single" w:color="000000" w:sz="4" w:space="0"/>
              <w:tl2br w:val="nil"/>
              <w:tr2bl w:val="nil"/>
            </w:tcBorders>
            <w:noWrap/>
            <w:vAlign w:val="center"/>
          </w:tcPr>
          <w:p w14:paraId="1C036E35">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9.598466767 </w:t>
            </w:r>
          </w:p>
        </w:tc>
        <w:tc>
          <w:tcPr>
            <w:tcW w:w="2046" w:type="dxa"/>
            <w:tcBorders>
              <w:top w:val="single" w:color="auto" w:sz="4" w:space="0"/>
              <w:bottom w:val="single" w:color="000000" w:sz="4" w:space="0"/>
              <w:tl2br w:val="nil"/>
              <w:tr2bl w:val="nil"/>
            </w:tcBorders>
            <w:noWrap/>
            <w:vAlign w:val="center"/>
          </w:tcPr>
          <w:p w14:paraId="11AE1C73">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0.156879475 </w:t>
            </w:r>
          </w:p>
        </w:tc>
        <w:tc>
          <w:tcPr>
            <w:tcW w:w="1791" w:type="dxa"/>
            <w:tcBorders>
              <w:top w:val="single" w:color="auto" w:sz="4" w:space="0"/>
              <w:bottom w:val="single" w:color="000000" w:sz="4" w:space="0"/>
              <w:tl2br w:val="nil"/>
              <w:tr2bl w:val="nil"/>
            </w:tcBorders>
            <w:noWrap/>
            <w:vAlign w:val="center"/>
          </w:tcPr>
          <w:p w14:paraId="1B077DC8">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eastAsia" w:ascii="Times New Roman" w:hAnsi="Times New Roman" w:eastAsia="宋体" w:cs="Times New Roman"/>
                <w:i w:val="0"/>
                <w:iCs w:val="0"/>
                <w:color w:val="000000"/>
                <w:kern w:val="0"/>
                <w:sz w:val="21"/>
                <w:szCs w:val="21"/>
                <w:u w:val="single" w:color="auto"/>
                <w:lang w:val="en-US" w:eastAsia="zh-CN" w:bidi="ar"/>
              </w:rPr>
              <w:t xml:space="preserve">0.036749064 </w:t>
            </w:r>
          </w:p>
        </w:tc>
      </w:tr>
      <w:tr w14:paraId="086B1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04" w:type="pct"/>
            <w:tcBorders>
              <w:tl2br w:val="nil"/>
              <w:tr2bl w:val="nil"/>
            </w:tcBorders>
            <w:noWrap/>
            <w:vAlign w:val="center"/>
          </w:tcPr>
          <w:p w14:paraId="78FED165">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Ⅲ类</w:t>
            </w:r>
            <w:r>
              <w:rPr>
                <w:rFonts w:hint="default" w:ascii="Times New Roman" w:hAnsi="Times New Roman" w:eastAsia="宋体" w:cs="Times New Roman"/>
                <w:color w:val="auto"/>
                <w:spacing w:val="-1"/>
                <w:sz w:val="21"/>
                <w:szCs w:val="21"/>
                <w:u w:val="single" w:color="auto"/>
                <w:vertAlign w:val="baseline"/>
                <w:lang w:val="en-US" w:eastAsia="zh-CN"/>
              </w:rPr>
              <w:t>标准限值</w:t>
            </w:r>
          </w:p>
        </w:tc>
        <w:tc>
          <w:tcPr>
            <w:tcW w:w="2497" w:type="dxa"/>
            <w:tcBorders>
              <w:tl2br w:val="nil"/>
              <w:tr2bl w:val="nil"/>
            </w:tcBorders>
            <w:noWrap/>
            <w:vAlign w:val="center"/>
          </w:tcPr>
          <w:p w14:paraId="51B02344">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20</w:t>
            </w:r>
          </w:p>
        </w:tc>
        <w:tc>
          <w:tcPr>
            <w:tcW w:w="2046" w:type="dxa"/>
            <w:tcBorders>
              <w:tl2br w:val="nil"/>
              <w:tr2bl w:val="nil"/>
            </w:tcBorders>
            <w:noWrap/>
            <w:vAlign w:val="center"/>
          </w:tcPr>
          <w:p w14:paraId="51EE1C6E">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1.0</w:t>
            </w:r>
          </w:p>
        </w:tc>
        <w:tc>
          <w:tcPr>
            <w:tcW w:w="1791" w:type="dxa"/>
            <w:tcBorders>
              <w:tl2br w:val="nil"/>
              <w:tr2bl w:val="nil"/>
            </w:tcBorders>
            <w:noWrap/>
            <w:vAlign w:val="center"/>
          </w:tcPr>
          <w:p w14:paraId="0A2DF8FC">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0.</w:t>
            </w:r>
            <w:r>
              <w:rPr>
                <w:rFonts w:hint="default" w:ascii="Times New Roman" w:hAnsi="Times New Roman" w:cs="Times New Roman"/>
                <w:color w:val="auto"/>
                <w:spacing w:val="-1"/>
                <w:sz w:val="21"/>
                <w:szCs w:val="21"/>
                <w:u w:val="single" w:color="auto"/>
                <w:vertAlign w:val="baseline"/>
                <w:lang w:val="en-US" w:eastAsia="zh-CN"/>
              </w:rPr>
              <w:t>2</w:t>
            </w:r>
          </w:p>
        </w:tc>
      </w:tr>
      <w:tr w14:paraId="4E330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04" w:type="pct"/>
            <w:tcBorders>
              <w:tl2br w:val="nil"/>
              <w:tr2bl w:val="nil"/>
            </w:tcBorders>
            <w:noWrap/>
            <w:vAlign w:val="center"/>
          </w:tcPr>
          <w:p w14:paraId="744F6365">
            <w:pPr>
              <w:spacing w:before="0" w:line="360" w:lineRule="auto"/>
              <w:ind w:right="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eastAsia="宋体" w:cs="Times New Roman"/>
                <w:color w:val="auto"/>
                <w:spacing w:val="-1"/>
                <w:sz w:val="21"/>
                <w:szCs w:val="21"/>
                <w:u w:val="single" w:color="auto"/>
                <w:vertAlign w:val="baseline"/>
                <w:lang w:val="en-US" w:eastAsia="zh-CN"/>
              </w:rPr>
              <w:t>10%的安全余量</w:t>
            </w:r>
          </w:p>
        </w:tc>
        <w:tc>
          <w:tcPr>
            <w:tcW w:w="2497" w:type="dxa"/>
            <w:tcBorders>
              <w:tl2br w:val="nil"/>
              <w:tr2bl w:val="nil"/>
            </w:tcBorders>
            <w:noWrap/>
            <w:vAlign w:val="center"/>
          </w:tcPr>
          <w:p w14:paraId="6886D5ED">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18</w:t>
            </w:r>
          </w:p>
        </w:tc>
        <w:tc>
          <w:tcPr>
            <w:tcW w:w="2046" w:type="dxa"/>
            <w:tcBorders>
              <w:tl2br w:val="nil"/>
              <w:tr2bl w:val="nil"/>
            </w:tcBorders>
            <w:noWrap/>
            <w:vAlign w:val="center"/>
          </w:tcPr>
          <w:p w14:paraId="2D8264CA">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0.9</w:t>
            </w:r>
          </w:p>
        </w:tc>
        <w:tc>
          <w:tcPr>
            <w:tcW w:w="1791" w:type="dxa"/>
            <w:tcBorders>
              <w:tl2br w:val="nil"/>
              <w:tr2bl w:val="nil"/>
            </w:tcBorders>
            <w:noWrap/>
            <w:vAlign w:val="center"/>
          </w:tcPr>
          <w:p w14:paraId="503DA9DD">
            <w:pPr>
              <w:spacing w:before="0" w:line="360" w:lineRule="auto"/>
              <w:ind w:right="0" w:rightChars="0"/>
              <w:jc w:val="center"/>
              <w:rPr>
                <w:rFonts w:hint="default" w:ascii="Times New Roman" w:hAnsi="Times New Roman" w:eastAsia="宋体" w:cs="Times New Roman"/>
                <w:color w:val="auto"/>
                <w:spacing w:val="-1"/>
                <w:sz w:val="21"/>
                <w:szCs w:val="21"/>
                <w:u w:val="single" w:color="auto"/>
                <w:vertAlign w:val="baseline"/>
                <w:lang w:val="en-US" w:eastAsia="zh-CN"/>
              </w:rPr>
            </w:pPr>
            <w:r>
              <w:rPr>
                <w:rFonts w:hint="default" w:ascii="Times New Roman" w:hAnsi="Times New Roman" w:cs="Times New Roman"/>
                <w:color w:val="auto"/>
                <w:spacing w:val="-1"/>
                <w:sz w:val="21"/>
                <w:szCs w:val="21"/>
                <w:u w:val="single" w:color="auto"/>
                <w:vertAlign w:val="baseline"/>
                <w:lang w:val="en-US" w:eastAsia="zh-CN"/>
              </w:rPr>
              <w:t>0.18</w:t>
            </w:r>
          </w:p>
        </w:tc>
      </w:tr>
    </w:tbl>
    <w:p w14:paraId="17D0712D">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cs="Times New Roman"/>
          <w:sz w:val="24"/>
          <w:szCs w:val="24"/>
          <w:u w:val="single" w:color="auto"/>
          <w:lang w:val="en-US" w:eastAsia="zh-CN"/>
        </w:rPr>
      </w:pPr>
      <w:r>
        <w:rPr>
          <w:rFonts w:hint="default" w:ascii="Times New Roman" w:hAnsi="Times New Roman" w:cs="Times New Roman"/>
          <w:sz w:val="24"/>
          <w:szCs w:val="24"/>
          <w:u w:val="single" w:color="auto"/>
          <w:lang w:val="en-US" w:eastAsia="zh-CN"/>
        </w:rPr>
        <w:t>经计算，项目废水下游257m处混合均匀，正常排放情况，COD、氨氮、总磷完全混合后浓度为11.961044886 mg/L、0.188081922 mg/L、0.039986079 mg/L，非正常情况下排放河流完全混合后浓度为12.014703023mg/L、0.189158317mg/L、0.040102116 mg/L，经预测分析，由于本项目污水排放量较小，正常情况下排放污染物对受纳水体无明显影响，COD、氨氮、总磷可达到地表水Ⅲ类水质要求。非正常情况排放污染物会造成水体COD、氨氮、总磷浓度有一定上升，因此要加强污水处理系统使用过程中日常维护及管理，保持出水水质稳定，避免非正常排污情况发生。此外，污水处理系统若发生故障，废水可暂存于调节池内，并及时联系仪器厂家进行维修，停止生产，杜绝污水未经处理直接排放情况。</w:t>
      </w:r>
    </w:p>
    <w:p w14:paraId="075AD176">
      <w:pPr>
        <w:autoSpaceDE w:val="0"/>
        <w:autoSpaceDN w:val="0"/>
        <w:snapToGrid w:val="0"/>
        <w:spacing w:line="360" w:lineRule="auto"/>
        <w:outlineLvl w:val="2"/>
        <w:rPr>
          <w:rFonts w:hint="default" w:ascii="Times New Roman" w:hAnsi="Times New Roman" w:eastAsia="宋体" w:cs="Times New Roman"/>
          <w:b/>
          <w:bCs/>
          <w:color w:val="auto"/>
          <w:sz w:val="24"/>
          <w:highlight w:val="none"/>
          <w:u w:val="none" w:color="auto"/>
          <w:lang w:val="en-US" w:eastAsia="zh-CN"/>
        </w:rPr>
      </w:pPr>
      <w:r>
        <w:rPr>
          <w:rFonts w:hint="default" w:ascii="Times New Roman" w:hAnsi="Times New Roman" w:eastAsia="宋体" w:cs="Times New Roman"/>
          <w:b/>
          <w:bCs/>
          <w:color w:val="auto"/>
          <w:sz w:val="24"/>
          <w:highlight w:val="none"/>
          <w:u w:val="none" w:color="auto"/>
          <w:lang w:val="en-US" w:eastAsia="zh-CN"/>
        </w:rPr>
        <w:t>6.</w:t>
      </w:r>
      <w:r>
        <w:rPr>
          <w:rFonts w:hint="eastAsia" w:ascii="Times New Roman" w:hAnsi="Times New Roman" w:eastAsia="宋体" w:cs="Times New Roman"/>
          <w:b/>
          <w:bCs/>
          <w:color w:val="auto"/>
          <w:sz w:val="24"/>
          <w:highlight w:val="none"/>
          <w:u w:val="none" w:color="auto"/>
          <w:lang w:val="en-US" w:eastAsia="zh-CN"/>
        </w:rPr>
        <w:t>3.6</w:t>
      </w:r>
      <w:r>
        <w:rPr>
          <w:rFonts w:hint="default" w:ascii="Times New Roman" w:hAnsi="Times New Roman" w:eastAsia="宋体" w:cs="Times New Roman"/>
          <w:b/>
          <w:bCs/>
          <w:color w:val="auto"/>
          <w:sz w:val="24"/>
          <w:highlight w:val="none"/>
          <w:u w:val="none" w:color="auto"/>
          <w:lang w:val="zh-CN" w:eastAsia="zh-CN"/>
        </w:rPr>
        <w:t>与己建、在建和已批准拟建的项目排污的累积影响</w:t>
      </w:r>
    </w:p>
    <w:p w14:paraId="0CA3DAF0">
      <w:pPr>
        <w:pStyle w:val="9"/>
        <w:keepNext w:val="0"/>
        <w:keepLines w:val="0"/>
        <w:pageBreakBefore w:val="0"/>
        <w:widowControl/>
        <w:tabs>
          <w:tab w:val="left" w:pos="-2486"/>
        </w:tabs>
        <w:kinsoku/>
        <w:wordWrap/>
        <w:overflowPunct/>
        <w:topLinePunct w:val="0"/>
        <w:autoSpaceDE/>
        <w:autoSpaceDN/>
        <w:bidi w:val="0"/>
        <w:adjustRightInd/>
        <w:snapToGrid w:val="0"/>
        <w:spacing w:before="0" w:after="0" w:line="360" w:lineRule="auto"/>
        <w:ind w:right="0" w:firstLine="480" w:firstLineChars="200"/>
        <w:jc w:val="both"/>
        <w:textAlignment w:val="auto"/>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项目论证范围内，入河排口下游7.035km为青山桥镇入河排污口。根据《湘潭县青山桥镇污水处理工程建设项目环境影响报告表》可知，青山桥镇污水处理厂入河</w:t>
      </w:r>
      <w:r>
        <w:rPr>
          <w:rFonts w:hint="default" w:ascii="Times New Roman" w:hAnsi="Times New Roman" w:eastAsia="宋体" w:cs="Times New Roman"/>
          <w:color w:val="auto"/>
          <w:sz w:val="24"/>
          <w:szCs w:val="24"/>
          <w:highlight w:val="none"/>
          <w:u w:val="none" w:color="auto"/>
          <w:lang w:val="en-US" w:eastAsia="zh-CN"/>
        </w:rPr>
        <w:t>排污口地理位置为112.573271693</w:t>
      </w:r>
      <w:r>
        <w:rPr>
          <w:rFonts w:hint="eastAsia" w:ascii="Times New Roman" w:hAnsi="Times New Roman" w:eastAsia="宋体"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t>27.483820712</w:t>
      </w:r>
      <w:r>
        <w:rPr>
          <w:rFonts w:hint="eastAsia" w:ascii="Times New Roman" w:hAnsi="Times New Roman" w:eastAsia="宋体" w:cs="Times New Roman"/>
          <w:color w:val="auto"/>
          <w:sz w:val="24"/>
          <w:szCs w:val="24"/>
          <w:highlight w:val="none"/>
          <w:u w:val="none" w:color="auto"/>
          <w:lang w:val="en-US" w:eastAsia="zh-CN"/>
        </w:rPr>
        <w:t>，青山桥镇入河排污口排污量为COD18.25t/a、氨氮1.825t/a，本项目入河排污新增COD0.277t/a，氨氮0.042t/a，总计排污总量为18.522t/a、氨氮1.867t/a，远小于青山河河道段纳污能力（水域纳污能力为</w:t>
      </w:r>
      <w:r>
        <w:rPr>
          <w:rFonts w:hint="default" w:ascii="Times New Roman" w:hAnsi="Times New Roman" w:eastAsia="宋体" w:cs="Times New Roman"/>
          <w:color w:val="auto"/>
          <w:spacing w:val="0"/>
          <w:sz w:val="24"/>
          <w:szCs w:val="24"/>
          <w:highlight w:val="none"/>
          <w:u w:val="none" w:color="auto"/>
          <w:lang w:val="zh-CN" w:eastAsia="zh-CN"/>
        </w:rPr>
        <w:t>COD</w:t>
      </w:r>
      <w:r>
        <w:rPr>
          <w:rFonts w:hint="default" w:ascii="Times New Roman" w:hAnsi="Times New Roman" w:eastAsia="宋体" w:cs="Times New Roman"/>
          <w:color w:val="auto"/>
          <w:spacing w:val="0"/>
          <w:sz w:val="24"/>
          <w:szCs w:val="24"/>
          <w:highlight w:val="none"/>
          <w:u w:val="none" w:color="auto"/>
          <w:vertAlign w:val="subscript"/>
          <w:lang w:val="zh-CN" w:eastAsia="zh-CN"/>
        </w:rPr>
        <w:t>cr</w:t>
      </w:r>
      <w:r>
        <w:rPr>
          <w:rFonts w:hint="eastAsia" w:ascii="Times New Roman" w:hAnsi="Times New Roman" w:eastAsia="宋体" w:cs="Times New Roman"/>
          <w:color w:val="auto"/>
          <w:spacing w:val="0"/>
          <w:sz w:val="24"/>
          <w:szCs w:val="24"/>
          <w:highlight w:val="none"/>
          <w:u w:val="none" w:color="auto"/>
          <w:lang w:val="en-US" w:eastAsia="zh-CN"/>
        </w:rPr>
        <w:t>645.712</w:t>
      </w:r>
      <w:r>
        <w:rPr>
          <w:rFonts w:hint="default" w:ascii="Times New Roman" w:hAnsi="Times New Roman" w:eastAsia="宋体" w:cs="Times New Roman"/>
          <w:color w:val="auto"/>
          <w:spacing w:val="0"/>
          <w:sz w:val="24"/>
          <w:szCs w:val="24"/>
          <w:highlight w:val="none"/>
          <w:u w:val="none" w:color="auto"/>
          <w:lang w:val="zh-CN" w:eastAsia="zh-CN"/>
        </w:rPr>
        <w:t>t/a，NH</w:t>
      </w:r>
      <w:r>
        <w:rPr>
          <w:rFonts w:hint="default" w:ascii="Times New Roman" w:hAnsi="Times New Roman" w:eastAsia="宋体" w:cs="Times New Roman"/>
          <w:color w:val="auto"/>
          <w:spacing w:val="0"/>
          <w:sz w:val="24"/>
          <w:szCs w:val="24"/>
          <w:highlight w:val="none"/>
          <w:u w:val="none" w:color="auto"/>
          <w:vertAlign w:val="subscript"/>
          <w:lang w:val="zh-CN" w:eastAsia="zh-CN"/>
        </w:rPr>
        <w:t>3</w:t>
      </w:r>
      <w:r>
        <w:rPr>
          <w:rFonts w:hint="default" w:ascii="Times New Roman" w:hAnsi="Times New Roman" w:eastAsia="宋体" w:cs="Times New Roman"/>
          <w:color w:val="auto"/>
          <w:spacing w:val="0"/>
          <w:sz w:val="24"/>
          <w:szCs w:val="24"/>
          <w:highlight w:val="none"/>
          <w:u w:val="none" w:color="auto"/>
          <w:lang w:val="zh-CN" w:eastAsia="zh-CN"/>
        </w:rPr>
        <w:t>-N</w:t>
      </w:r>
      <w:r>
        <w:rPr>
          <w:rFonts w:hint="eastAsia" w:ascii="Times New Roman" w:hAnsi="Times New Roman" w:eastAsia="宋体" w:cs="Times New Roman"/>
          <w:color w:val="auto"/>
          <w:spacing w:val="0"/>
          <w:sz w:val="24"/>
          <w:szCs w:val="24"/>
          <w:highlight w:val="none"/>
          <w:u w:val="none" w:color="auto"/>
          <w:lang w:val="en-US" w:eastAsia="zh-CN"/>
        </w:rPr>
        <w:t>65.507</w:t>
      </w:r>
      <w:r>
        <w:rPr>
          <w:rFonts w:hint="default" w:ascii="Times New Roman" w:hAnsi="Times New Roman" w:eastAsia="宋体" w:cs="Times New Roman"/>
          <w:color w:val="auto"/>
          <w:spacing w:val="0"/>
          <w:sz w:val="24"/>
          <w:szCs w:val="24"/>
          <w:highlight w:val="none"/>
          <w:u w:val="none" w:color="auto"/>
          <w:lang w:val="zh-CN" w:eastAsia="zh-CN"/>
        </w:rPr>
        <w:t>t/a</w:t>
      </w:r>
      <w:r>
        <w:rPr>
          <w:rFonts w:hint="eastAsia" w:ascii="Times New Roman" w:hAnsi="Times New Roman" w:eastAsia="宋体" w:cs="Times New Roman"/>
          <w:color w:val="auto"/>
          <w:spacing w:val="0"/>
          <w:sz w:val="24"/>
          <w:szCs w:val="24"/>
          <w:highlight w:val="none"/>
          <w:u w:val="none" w:color="auto"/>
          <w:lang w:val="zh-CN" w:eastAsia="zh-CN"/>
        </w:rPr>
        <w:t>，</w:t>
      </w:r>
      <w:r>
        <w:rPr>
          <w:rFonts w:hint="eastAsia" w:ascii="Times New Roman" w:hAnsi="Times New Roman" w:eastAsia="宋体" w:cs="Times New Roman"/>
          <w:color w:val="auto"/>
          <w:spacing w:val="0"/>
          <w:sz w:val="24"/>
          <w:szCs w:val="24"/>
          <w:highlight w:val="none"/>
          <w:u w:val="none" w:color="auto"/>
          <w:lang w:val="en-US" w:eastAsia="zh-CN"/>
        </w:rPr>
        <w:t>总磷12.914</w:t>
      </w:r>
      <w:r>
        <w:rPr>
          <w:rFonts w:hint="default" w:ascii="Times New Roman" w:hAnsi="Times New Roman" w:eastAsia="宋体" w:cs="Times New Roman"/>
          <w:color w:val="auto"/>
          <w:spacing w:val="0"/>
          <w:sz w:val="24"/>
          <w:szCs w:val="24"/>
          <w:highlight w:val="none"/>
          <w:u w:val="none" w:color="auto"/>
          <w:lang w:val="zh-CN" w:eastAsia="zh-CN"/>
        </w:rPr>
        <w:t>t/a</w:t>
      </w:r>
      <w:r>
        <w:rPr>
          <w:rFonts w:hint="eastAsia" w:ascii="Times New Roman" w:hAnsi="Times New Roman" w:eastAsia="宋体" w:cs="Times New Roman"/>
          <w:color w:val="auto"/>
          <w:sz w:val="24"/>
          <w:szCs w:val="24"/>
          <w:highlight w:val="none"/>
          <w:u w:val="none" w:color="auto"/>
          <w:lang w:val="en-US" w:eastAsia="zh-CN"/>
        </w:rPr>
        <w:t>），且青山桥镇处理厂主要服务于镇生活污水，有利于区域地表水污染物减排。本项目废水量较小，水质无重金属、持久性污染因子，经处理达标后排入青山河，两者排污累积对水质、生态等影响较小。</w:t>
      </w:r>
    </w:p>
    <w:p w14:paraId="0023CFC6">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cs="Times New Roman"/>
          <w:sz w:val="24"/>
          <w:szCs w:val="24"/>
          <w:lang w:val="en-US" w:eastAsia="zh-CN"/>
        </w:rPr>
        <w:sectPr>
          <w:footerReference r:id="rId11" w:type="default"/>
          <w:pgSz w:w="11905" w:h="16838"/>
          <w:pgMar w:top="1440" w:right="1803" w:bottom="1440" w:left="1803" w:header="828" w:footer="794" w:gutter="0"/>
          <w:pgNumType w:fmt="decimal"/>
          <w:cols w:space="0" w:num="1"/>
          <w:rtlGutter w:val="0"/>
          <w:docGrid w:linePitch="0" w:charSpace="0"/>
        </w:sectPr>
      </w:pPr>
    </w:p>
    <w:p w14:paraId="532DCC52">
      <w:pPr>
        <w:keepNext w:val="0"/>
        <w:keepLines w:val="0"/>
        <w:pageBreakBefore w:val="0"/>
        <w:widowControl/>
        <w:kinsoku w:val="0"/>
        <w:wordWrap/>
        <w:overflowPunct/>
        <w:topLinePunct w:val="0"/>
        <w:autoSpaceDE w:val="0"/>
        <w:autoSpaceDN w:val="0"/>
        <w:bidi w:val="0"/>
        <w:adjustRightInd w:val="0"/>
        <w:snapToGrid w:val="0"/>
        <w:spacing w:before="334" w:line="360" w:lineRule="auto"/>
        <w:jc w:val="center"/>
        <w:textAlignment w:val="baseline"/>
        <w:outlineLvl w:val="0"/>
        <w:rPr>
          <w:rFonts w:hint="default" w:ascii="Times New Roman" w:hAnsi="Times New Roman" w:eastAsia="宋体" w:cs="Times New Roman"/>
          <w:b/>
          <w:bCs/>
          <w:spacing w:val="6"/>
          <w:sz w:val="31"/>
          <w:szCs w:val="31"/>
          <w:lang w:eastAsia="zh-CN"/>
        </w:rPr>
      </w:pPr>
      <w:r>
        <w:rPr>
          <w:rFonts w:hint="default" w:ascii="Times New Roman" w:hAnsi="Times New Roman" w:eastAsia="宋体" w:cs="Times New Roman"/>
          <w:b/>
          <w:bCs/>
          <w:spacing w:val="6"/>
          <w:sz w:val="31"/>
          <w:szCs w:val="31"/>
          <w:lang w:eastAsia="zh-CN"/>
        </w:rPr>
        <w:t>7入河排污口设置水生态影响分析</w:t>
      </w:r>
      <w:bookmarkEnd w:id="193"/>
      <w:bookmarkEnd w:id="194"/>
    </w:p>
    <w:p w14:paraId="5C2BCAEE">
      <w:pPr>
        <w:keepNext w:val="0"/>
        <w:keepLines w:val="0"/>
        <w:pageBreakBefore w:val="0"/>
        <w:widowControl/>
        <w:wordWrap/>
        <w:overflowPunct/>
        <w:topLinePunct w:val="0"/>
        <w:autoSpaceDE w:val="0"/>
        <w:autoSpaceDN w:val="0"/>
        <w:bidi w:val="0"/>
        <w:adjustRightInd w:val="0"/>
        <w:snapToGrid w:val="0"/>
        <w:spacing w:line="360" w:lineRule="auto"/>
        <w:ind w:left="0"/>
        <w:jc w:val="both"/>
        <w:textAlignment w:val="baseline"/>
        <w:outlineLvl w:val="1"/>
        <w:rPr>
          <w:rFonts w:hint="default" w:ascii="Times New Roman" w:hAnsi="Times New Roman" w:eastAsia="宋体" w:cs="Times New Roman"/>
          <w:b/>
          <w:bCs/>
          <w:spacing w:val="-3"/>
          <w:sz w:val="28"/>
          <w:szCs w:val="28"/>
          <w:lang w:val="en-US" w:eastAsia="zh-CN"/>
        </w:rPr>
      </w:pPr>
      <w:bookmarkStart w:id="195" w:name="_Toc23257"/>
      <w:bookmarkStart w:id="196" w:name="_Toc7341"/>
      <w:r>
        <w:rPr>
          <w:rFonts w:hint="default" w:ascii="Times New Roman" w:hAnsi="Times New Roman" w:eastAsia="宋体" w:cs="Times New Roman"/>
          <w:b/>
          <w:bCs/>
          <w:spacing w:val="-3"/>
          <w:sz w:val="28"/>
          <w:szCs w:val="28"/>
          <w:lang w:val="en-US" w:eastAsia="zh-CN"/>
        </w:rPr>
        <w:t>7.1对水生态影响的分析</w:t>
      </w:r>
      <w:bookmarkEnd w:id="195"/>
      <w:bookmarkEnd w:id="196"/>
    </w:p>
    <w:p w14:paraId="3980DC56">
      <w:pPr>
        <w:pStyle w:val="58"/>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both"/>
        <w:textAlignment w:val="baseline"/>
        <w:rPr>
          <w:rFonts w:hint="default" w:ascii="Times New Roman" w:hAnsi="Times New Roman" w:eastAsia="宋体" w:cs="Times New Roman"/>
          <w:color w:val="auto"/>
          <w:sz w:val="24"/>
          <w:szCs w:val="24"/>
          <w:highlight w:val="none"/>
          <w:u w:val="none" w:color="auto"/>
          <w:lang w:val="en-US" w:eastAsia="zh-CN"/>
        </w:rPr>
      </w:pPr>
      <w:bookmarkStart w:id="197" w:name="_Toc25416"/>
      <w:bookmarkStart w:id="198" w:name="_Toc9171"/>
      <w:bookmarkStart w:id="199" w:name="_Toc25467"/>
      <w:r>
        <w:rPr>
          <w:rFonts w:hint="eastAsia" w:ascii="Times New Roman" w:hAnsi="Times New Roman" w:eastAsia="宋体" w:cs="Times New Roman"/>
          <w:color w:val="auto"/>
          <w:sz w:val="24"/>
          <w:szCs w:val="24"/>
          <w:highlight w:val="none"/>
          <w:u w:val="none" w:color="auto"/>
          <w:lang w:val="en-US" w:eastAsia="zh-CN"/>
        </w:rPr>
        <w:t>7.1.1</w:t>
      </w:r>
      <w:r>
        <w:rPr>
          <w:rFonts w:hint="default" w:ascii="Times New Roman" w:hAnsi="Times New Roman" w:eastAsia="宋体" w:cs="Times New Roman"/>
          <w:color w:val="auto"/>
          <w:sz w:val="24"/>
          <w:szCs w:val="24"/>
          <w:highlight w:val="none"/>
          <w:u w:val="none" w:color="auto"/>
          <w:lang w:val="en-US" w:eastAsia="zh-CN"/>
        </w:rPr>
        <w:t>对水生生物区系组成的影响分析</w:t>
      </w:r>
      <w:bookmarkEnd w:id="197"/>
      <w:bookmarkEnd w:id="198"/>
      <w:bookmarkEnd w:id="199"/>
    </w:p>
    <w:p w14:paraId="588B09F5">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cs="Times New Roman"/>
          <w:color w:val="auto"/>
          <w:kern w:val="0"/>
          <w:sz w:val="24"/>
          <w:highlight w:val="none"/>
          <w:u w:val="none" w:color="auto"/>
        </w:rPr>
      </w:pPr>
      <w:bookmarkStart w:id="200" w:name="_Toc25656"/>
      <w:bookmarkStart w:id="201" w:name="_Toc12922"/>
      <w:bookmarkStart w:id="202" w:name="_Toc20293"/>
      <w:r>
        <w:rPr>
          <w:rFonts w:hint="eastAsia" w:ascii="Times New Roman" w:hAnsi="Times New Roman" w:cs="Times New Roman"/>
          <w:color w:val="auto"/>
          <w:kern w:val="0"/>
          <w:sz w:val="24"/>
          <w:highlight w:val="none"/>
          <w:u w:val="none" w:color="auto"/>
          <w:lang w:val="en-US" w:eastAsia="zh-CN"/>
        </w:rPr>
        <w:t>本项目</w:t>
      </w:r>
      <w:r>
        <w:rPr>
          <w:rFonts w:hint="default" w:ascii="Times New Roman" w:hAnsi="Times New Roman" w:cs="Times New Roman"/>
          <w:color w:val="auto"/>
          <w:kern w:val="0"/>
          <w:sz w:val="24"/>
          <w:highlight w:val="none"/>
          <w:u w:val="none" w:color="auto"/>
        </w:rPr>
        <w:t>尾水</w:t>
      </w:r>
      <w:r>
        <w:rPr>
          <w:rFonts w:hint="default" w:ascii="Times New Roman" w:hAnsi="Times New Roman" w:cs="Times New Roman"/>
          <w:color w:val="auto"/>
          <w:kern w:val="0"/>
          <w:sz w:val="24"/>
          <w:highlight w:val="none"/>
          <w:u w:val="none" w:color="auto"/>
          <w:lang w:eastAsia="zh-CN"/>
        </w:rPr>
        <w:t>正常</w:t>
      </w:r>
      <w:r>
        <w:rPr>
          <w:rFonts w:hint="default" w:ascii="Times New Roman" w:hAnsi="Times New Roman" w:cs="Times New Roman"/>
          <w:color w:val="auto"/>
          <w:kern w:val="0"/>
          <w:sz w:val="24"/>
          <w:highlight w:val="none"/>
          <w:u w:val="none" w:color="auto"/>
        </w:rPr>
        <w:t>排放进入</w:t>
      </w:r>
      <w:r>
        <w:rPr>
          <w:rFonts w:hint="eastAsia" w:ascii="Times New Roman" w:hAnsi="Times New Roman" w:cs="Times New Roman"/>
          <w:color w:val="auto"/>
          <w:kern w:val="0"/>
          <w:sz w:val="24"/>
          <w:highlight w:val="none"/>
          <w:u w:val="none" w:color="auto"/>
          <w:lang w:val="en-US" w:eastAsia="zh-CN"/>
        </w:rPr>
        <w:t>青山河</w:t>
      </w:r>
      <w:r>
        <w:rPr>
          <w:rFonts w:hint="default" w:ascii="Times New Roman" w:hAnsi="Times New Roman" w:cs="Times New Roman"/>
          <w:color w:val="auto"/>
          <w:kern w:val="0"/>
          <w:sz w:val="24"/>
          <w:highlight w:val="none"/>
          <w:u w:val="none" w:color="auto"/>
        </w:rPr>
        <w:t>，</w:t>
      </w:r>
      <w:r>
        <w:rPr>
          <w:rFonts w:hint="default" w:ascii="Times New Roman" w:hAnsi="Times New Roman" w:cs="Times New Roman"/>
          <w:color w:val="auto"/>
          <w:kern w:val="0"/>
          <w:sz w:val="24"/>
          <w:highlight w:val="none"/>
          <w:u w:val="none" w:color="auto"/>
          <w:lang w:eastAsia="zh-CN"/>
        </w:rPr>
        <w:t>根据预测结果，在下游水域内</w:t>
      </w:r>
      <w:r>
        <w:rPr>
          <w:rFonts w:hint="default" w:ascii="Times New Roman" w:hAnsi="Times New Roman" w:cs="Times New Roman"/>
          <w:color w:val="auto"/>
          <w:kern w:val="0"/>
          <w:sz w:val="24"/>
          <w:highlight w:val="none"/>
          <w:u w:val="none" w:color="auto"/>
          <w:lang w:val="en-US" w:eastAsia="zh-CN"/>
        </w:rPr>
        <w:t>CODcr、氨氮、总磷增幅各约为</w:t>
      </w:r>
      <w:r>
        <w:rPr>
          <w:rFonts w:hint="eastAsia" w:ascii="Times New Roman" w:hAnsi="Times New Roman" w:cs="Times New Roman"/>
          <w:color w:val="auto"/>
          <w:kern w:val="0"/>
          <w:sz w:val="24"/>
          <w:highlight w:val="none"/>
          <w:u w:val="none" w:color="auto"/>
          <w:lang w:val="en-US" w:eastAsia="zh-CN"/>
        </w:rPr>
        <w:t>0.0017</w:t>
      </w:r>
      <w:r>
        <w:rPr>
          <w:rFonts w:hint="default" w:ascii="Times New Roman" w:hAnsi="Times New Roman" w:cs="Times New Roman"/>
          <w:color w:val="auto"/>
          <w:kern w:val="0"/>
          <w:sz w:val="24"/>
          <w:highlight w:val="none"/>
          <w:u w:val="none" w:color="auto"/>
          <w:lang w:val="en-US" w:eastAsia="zh-CN"/>
        </w:rPr>
        <w:t>mg/L、0.0000</w:t>
      </w:r>
      <w:r>
        <w:rPr>
          <w:rFonts w:hint="eastAsia" w:ascii="Times New Roman" w:hAnsi="Times New Roman" w:cs="Times New Roman"/>
          <w:color w:val="auto"/>
          <w:kern w:val="0"/>
          <w:sz w:val="24"/>
          <w:highlight w:val="none"/>
          <w:u w:val="none" w:color="auto"/>
          <w:lang w:val="en-US" w:eastAsia="zh-CN"/>
        </w:rPr>
        <w:t>2</w:t>
      </w:r>
      <w:r>
        <w:rPr>
          <w:rFonts w:hint="default" w:ascii="Times New Roman" w:hAnsi="Times New Roman" w:cs="Times New Roman"/>
          <w:color w:val="auto"/>
          <w:kern w:val="0"/>
          <w:sz w:val="24"/>
          <w:highlight w:val="none"/>
          <w:u w:val="none" w:color="auto"/>
          <w:lang w:val="en-US" w:eastAsia="zh-CN"/>
        </w:rPr>
        <w:t>mg/L、</w:t>
      </w:r>
      <w:r>
        <w:rPr>
          <w:rFonts w:hint="eastAsia" w:ascii="Times New Roman" w:hAnsi="Times New Roman" w:cs="Times New Roman"/>
          <w:color w:val="auto"/>
          <w:kern w:val="0"/>
          <w:sz w:val="24"/>
          <w:highlight w:val="none"/>
          <w:u w:val="none" w:color="auto"/>
          <w:lang w:val="en-US" w:eastAsia="zh-CN"/>
        </w:rPr>
        <w:t>0.000003</w:t>
      </w:r>
      <w:r>
        <w:rPr>
          <w:rFonts w:hint="default" w:ascii="Times New Roman" w:hAnsi="Times New Roman" w:cs="Times New Roman"/>
          <w:color w:val="auto"/>
          <w:kern w:val="0"/>
          <w:sz w:val="24"/>
          <w:highlight w:val="none"/>
          <w:u w:val="none" w:color="auto"/>
          <w:lang w:val="en-US" w:eastAsia="zh-CN"/>
        </w:rPr>
        <w:t>mg/L，增幅较小，河流水质可满足《地表水环境质量标准》（GB3838-2002）</w:t>
      </w:r>
      <w:r>
        <w:rPr>
          <w:rFonts w:hint="default" w:ascii="Times New Roman" w:hAnsi="Times New Roman" w:cs="Times New Roman"/>
          <w:color w:val="auto"/>
          <w:kern w:val="0"/>
          <w:sz w:val="24"/>
          <w:highlight w:val="none"/>
          <w:u w:val="none" w:color="auto"/>
          <w:lang w:val="en-US" w:eastAsia="zh-CN"/>
        </w:rPr>
        <w:fldChar w:fldCharType="begin"/>
      </w:r>
      <w:r>
        <w:rPr>
          <w:rFonts w:hint="default" w:ascii="Times New Roman" w:hAnsi="Times New Roman" w:cs="Times New Roman"/>
          <w:color w:val="auto"/>
          <w:kern w:val="0"/>
          <w:sz w:val="24"/>
          <w:highlight w:val="none"/>
          <w:u w:val="none" w:color="auto"/>
          <w:lang w:val="en-US" w:eastAsia="zh-CN"/>
        </w:rPr>
        <w:instrText xml:space="preserve"> = 3 \* ROMAN \* MERGEFORMAT </w:instrText>
      </w:r>
      <w:r>
        <w:rPr>
          <w:rFonts w:hint="default" w:ascii="Times New Roman" w:hAnsi="Times New Roman" w:cs="Times New Roman"/>
          <w:color w:val="auto"/>
          <w:kern w:val="0"/>
          <w:sz w:val="24"/>
          <w:highlight w:val="none"/>
          <w:u w:val="none" w:color="auto"/>
          <w:lang w:val="en-US" w:eastAsia="zh-CN"/>
        </w:rPr>
        <w:fldChar w:fldCharType="separate"/>
      </w:r>
      <w:r>
        <w:rPr>
          <w:rFonts w:hint="default" w:ascii="Times New Roman" w:hAnsi="Times New Roman" w:cs="Times New Roman"/>
          <w:color w:val="auto"/>
          <w:kern w:val="0"/>
          <w:sz w:val="24"/>
          <w:highlight w:val="none"/>
          <w:u w:val="none" w:color="auto"/>
          <w:lang w:val="en-US" w:eastAsia="zh-CN"/>
        </w:rPr>
        <w:t>Ⅲ</w:t>
      </w:r>
      <w:r>
        <w:rPr>
          <w:rFonts w:hint="default" w:ascii="Times New Roman" w:hAnsi="Times New Roman" w:cs="Times New Roman"/>
          <w:color w:val="auto"/>
          <w:kern w:val="0"/>
          <w:sz w:val="24"/>
          <w:highlight w:val="none"/>
          <w:u w:val="none" w:color="auto"/>
          <w:lang w:val="en-US" w:eastAsia="zh-CN"/>
        </w:rPr>
        <w:fldChar w:fldCharType="end"/>
      </w:r>
      <w:r>
        <w:rPr>
          <w:rFonts w:hint="default" w:ascii="Times New Roman" w:hAnsi="Times New Roman" w:cs="Times New Roman"/>
          <w:color w:val="auto"/>
          <w:kern w:val="0"/>
          <w:sz w:val="24"/>
          <w:highlight w:val="none"/>
          <w:u w:val="none" w:color="auto"/>
          <w:lang w:val="en-US" w:eastAsia="zh-CN"/>
        </w:rPr>
        <w:t>类标准。据调查，</w:t>
      </w:r>
      <w:r>
        <w:rPr>
          <w:rFonts w:hint="eastAsia" w:ascii="Times New Roman" w:hAnsi="Times New Roman" w:cs="Times New Roman"/>
          <w:color w:val="auto"/>
          <w:kern w:val="0"/>
          <w:sz w:val="24"/>
          <w:highlight w:val="none"/>
          <w:u w:val="none" w:color="auto"/>
          <w:lang w:val="en-US" w:eastAsia="zh-CN"/>
        </w:rPr>
        <w:t>青山河</w:t>
      </w:r>
      <w:r>
        <w:rPr>
          <w:rFonts w:hint="default" w:ascii="Times New Roman" w:hAnsi="Times New Roman" w:cs="Times New Roman"/>
          <w:color w:val="auto"/>
          <w:kern w:val="0"/>
          <w:sz w:val="24"/>
          <w:highlight w:val="none"/>
          <w:u w:val="none" w:color="auto"/>
          <w:lang w:val="en-US" w:eastAsia="zh-CN"/>
        </w:rPr>
        <w:t>水域内</w:t>
      </w:r>
      <w:r>
        <w:rPr>
          <w:rFonts w:hint="default" w:ascii="Times New Roman" w:hAnsi="Times New Roman" w:cs="Times New Roman"/>
          <w:color w:val="auto"/>
          <w:kern w:val="0"/>
          <w:sz w:val="24"/>
          <w:highlight w:val="none"/>
          <w:u w:val="none" w:color="auto"/>
          <w:lang w:eastAsia="zh-CN"/>
        </w:rPr>
        <w:t>鱼类</w:t>
      </w:r>
      <w:r>
        <w:rPr>
          <w:rFonts w:hint="eastAsia" w:ascii="Times New Roman" w:hAnsi="Times New Roman" w:cs="Times New Roman"/>
          <w:color w:val="auto"/>
          <w:kern w:val="0"/>
          <w:sz w:val="24"/>
          <w:highlight w:val="none"/>
          <w:u w:val="none" w:color="auto"/>
          <w:lang w:val="en-US" w:eastAsia="zh-CN"/>
        </w:rPr>
        <w:t>以鲫鱼、草鱼等常见鱼类为主</w:t>
      </w:r>
      <w:r>
        <w:rPr>
          <w:rFonts w:hint="default" w:ascii="Times New Roman" w:hAnsi="Times New Roman" w:cs="Times New Roman"/>
          <w:color w:val="auto"/>
          <w:kern w:val="0"/>
          <w:sz w:val="24"/>
          <w:highlight w:val="none"/>
          <w:u w:val="none" w:color="auto"/>
          <w:lang w:val="en-US" w:eastAsia="zh-CN"/>
        </w:rPr>
        <w:t>，</w:t>
      </w:r>
      <w:r>
        <w:rPr>
          <w:rFonts w:hint="default" w:ascii="Times New Roman" w:hAnsi="Times New Roman" w:cs="Times New Roman"/>
          <w:color w:val="auto"/>
          <w:kern w:val="0"/>
          <w:sz w:val="24"/>
          <w:highlight w:val="none"/>
          <w:u w:val="none" w:color="auto"/>
        </w:rPr>
        <w:t>由于河水自身的稀释作用，污染物进入水体后被迅速稀释至地表水环境质量标准范围内。因此运营期正常排放时，尾水排放对</w:t>
      </w:r>
      <w:r>
        <w:rPr>
          <w:rFonts w:hint="eastAsia" w:ascii="Times New Roman" w:hAnsi="Times New Roman" w:cs="Times New Roman"/>
          <w:color w:val="auto"/>
          <w:kern w:val="0"/>
          <w:sz w:val="24"/>
          <w:highlight w:val="none"/>
          <w:u w:val="none" w:color="auto"/>
          <w:lang w:eastAsia="zh-CN"/>
        </w:rPr>
        <w:t>青山河</w:t>
      </w:r>
      <w:r>
        <w:rPr>
          <w:rFonts w:hint="default" w:ascii="Times New Roman" w:hAnsi="Times New Roman" w:cs="Times New Roman"/>
          <w:color w:val="auto"/>
          <w:kern w:val="0"/>
          <w:sz w:val="24"/>
          <w:highlight w:val="none"/>
          <w:u w:val="none" w:color="auto"/>
        </w:rPr>
        <w:t>鱼类区系组成的直接影响有限。</w:t>
      </w:r>
    </w:p>
    <w:p w14:paraId="14CE0AF0">
      <w:pPr>
        <w:pStyle w:val="58"/>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both"/>
        <w:textAlignment w:val="baseline"/>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7.1.2</w:t>
      </w:r>
      <w:r>
        <w:rPr>
          <w:rFonts w:hint="default" w:ascii="Times New Roman" w:hAnsi="Times New Roman" w:eastAsia="宋体" w:cs="Times New Roman"/>
          <w:color w:val="auto"/>
          <w:sz w:val="24"/>
          <w:szCs w:val="24"/>
          <w:highlight w:val="none"/>
          <w:u w:val="none" w:color="auto"/>
          <w:lang w:val="en-US" w:eastAsia="zh-CN"/>
        </w:rPr>
        <w:t>对水生生物种群结构的影响分析</w:t>
      </w:r>
      <w:bookmarkEnd w:id="200"/>
      <w:bookmarkEnd w:id="201"/>
      <w:bookmarkEnd w:id="202"/>
    </w:p>
    <w:p w14:paraId="395B5D35">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cs="Times New Roman"/>
          <w:color w:val="auto"/>
          <w:kern w:val="0"/>
          <w:sz w:val="24"/>
          <w:highlight w:val="none"/>
          <w:u w:val="none" w:color="auto"/>
        </w:rPr>
      </w:pPr>
      <w:r>
        <w:rPr>
          <w:rFonts w:hint="default" w:ascii="Times New Roman" w:hAnsi="Times New Roman" w:cs="Times New Roman"/>
          <w:color w:val="auto"/>
          <w:kern w:val="0"/>
          <w:sz w:val="24"/>
          <w:highlight w:val="none"/>
          <w:u w:val="none" w:color="auto"/>
        </w:rPr>
        <w:t>运营期尾水排放将导致氮磷增加，富营养化风险增加。排污口附近浮游生物、底栖动物耐污性种类比例升高，寡污性种类减少或消失，种群结构发生改变。尾水排放对鱼类的影响主要是通过饵料基础产生的间接影响，浮游生物的增加将导致滤食性种类比例升高，而杂食性、草食性鱼类的比例将下降。由于尾水排放量占</w:t>
      </w:r>
      <w:r>
        <w:rPr>
          <w:rFonts w:hint="eastAsia" w:cs="Times New Roman"/>
          <w:color w:val="auto"/>
          <w:kern w:val="0"/>
          <w:sz w:val="24"/>
          <w:highlight w:val="none"/>
          <w:u w:val="none" w:color="auto"/>
          <w:lang w:val="en-US" w:eastAsia="zh-CN"/>
        </w:rPr>
        <w:t>青山河</w:t>
      </w:r>
      <w:r>
        <w:rPr>
          <w:rFonts w:hint="default" w:ascii="Times New Roman" w:hAnsi="Times New Roman" w:cs="Times New Roman"/>
          <w:color w:val="auto"/>
          <w:kern w:val="0"/>
          <w:sz w:val="24"/>
          <w:highlight w:val="none"/>
          <w:u w:val="none" w:color="auto"/>
        </w:rPr>
        <w:t>径流量的比例很小，污染物进入水体后被迅速稀释至河流污染物本底值附近，影响范围主要是排水口附近水域。</w:t>
      </w:r>
    </w:p>
    <w:p w14:paraId="5556FBF3">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cs="Times New Roman"/>
          <w:color w:val="auto"/>
          <w:kern w:val="0"/>
          <w:sz w:val="24"/>
          <w:highlight w:val="none"/>
          <w:u w:val="none" w:color="auto"/>
        </w:rPr>
      </w:pPr>
      <w:r>
        <w:rPr>
          <w:rFonts w:hint="default" w:ascii="Times New Roman" w:hAnsi="Times New Roman" w:cs="Times New Roman"/>
          <w:color w:val="auto"/>
          <w:kern w:val="0"/>
          <w:sz w:val="24"/>
          <w:highlight w:val="none"/>
          <w:u w:val="none" w:color="auto"/>
        </w:rPr>
        <w:t>因此，运营期对鱼类等水生生物种群结构的影响在可控范围内。</w:t>
      </w:r>
    </w:p>
    <w:p w14:paraId="2C1D79E8">
      <w:pPr>
        <w:pStyle w:val="58"/>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both"/>
        <w:textAlignment w:val="baseline"/>
        <w:rPr>
          <w:rFonts w:hint="default" w:ascii="Times New Roman" w:hAnsi="Times New Roman" w:eastAsia="宋体" w:cs="Times New Roman"/>
          <w:color w:val="auto"/>
          <w:sz w:val="24"/>
          <w:szCs w:val="24"/>
          <w:highlight w:val="none"/>
          <w:u w:val="none" w:color="auto"/>
          <w:lang w:val="en-US" w:eastAsia="zh-CN"/>
        </w:rPr>
      </w:pPr>
      <w:bookmarkStart w:id="203" w:name="_Toc11653"/>
      <w:bookmarkStart w:id="204" w:name="_Toc1086"/>
      <w:bookmarkStart w:id="205" w:name="_Toc7697"/>
      <w:r>
        <w:rPr>
          <w:rFonts w:hint="eastAsia" w:ascii="Times New Roman" w:hAnsi="Times New Roman" w:eastAsia="宋体" w:cs="Times New Roman"/>
          <w:color w:val="auto"/>
          <w:sz w:val="24"/>
          <w:szCs w:val="24"/>
          <w:highlight w:val="none"/>
          <w:u w:val="none" w:color="auto"/>
          <w:lang w:val="en-US" w:eastAsia="zh-CN"/>
        </w:rPr>
        <w:t>7.1.3</w:t>
      </w:r>
      <w:r>
        <w:rPr>
          <w:rFonts w:hint="default" w:ascii="Times New Roman" w:hAnsi="Times New Roman" w:eastAsia="宋体" w:cs="Times New Roman"/>
          <w:color w:val="auto"/>
          <w:sz w:val="24"/>
          <w:szCs w:val="24"/>
          <w:highlight w:val="none"/>
          <w:u w:val="none" w:color="auto"/>
          <w:lang w:val="en-US" w:eastAsia="zh-CN"/>
        </w:rPr>
        <w:t>对鱼类等的影响分析</w:t>
      </w:r>
      <w:bookmarkEnd w:id="203"/>
      <w:bookmarkEnd w:id="204"/>
      <w:bookmarkEnd w:id="205"/>
    </w:p>
    <w:p w14:paraId="38A8852B">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cs="Times New Roman"/>
          <w:color w:val="auto"/>
          <w:kern w:val="0"/>
          <w:sz w:val="24"/>
          <w:highlight w:val="none"/>
          <w:u w:val="none" w:color="auto"/>
        </w:rPr>
      </w:pPr>
      <w:r>
        <w:rPr>
          <w:rFonts w:hint="default" w:ascii="Times New Roman" w:hAnsi="Times New Roman" w:cs="Times New Roman"/>
          <w:color w:val="auto"/>
          <w:kern w:val="0"/>
          <w:sz w:val="24"/>
          <w:highlight w:val="none"/>
          <w:u w:val="none" w:color="auto"/>
        </w:rPr>
        <w:t>根据废污水性质，对下游鱼类影响较大的水质因子为有机污染物，经过模拟计算，</w:t>
      </w:r>
      <w:r>
        <w:rPr>
          <w:rFonts w:hint="default" w:ascii="Times New Roman" w:hAnsi="Times New Roman" w:cs="Times New Roman"/>
          <w:color w:val="auto"/>
          <w:kern w:val="0"/>
          <w:sz w:val="24"/>
          <w:highlight w:val="none"/>
          <w:u w:val="none" w:color="auto"/>
          <w:lang w:val="en-US" w:eastAsia="zh-CN"/>
        </w:rPr>
        <w:t>自建污水处理站</w:t>
      </w:r>
      <w:r>
        <w:rPr>
          <w:rFonts w:hint="default" w:ascii="Times New Roman" w:hAnsi="Times New Roman" w:cs="Times New Roman"/>
          <w:color w:val="auto"/>
          <w:kern w:val="0"/>
          <w:sz w:val="24"/>
          <w:highlight w:val="none"/>
          <w:u w:val="none" w:color="auto"/>
        </w:rPr>
        <w:t>建成以后，正常排放情况下，所排污水中COD、NH</w:t>
      </w:r>
      <w:r>
        <w:rPr>
          <w:rFonts w:hint="default" w:ascii="Times New Roman" w:hAnsi="Times New Roman" w:cs="Times New Roman"/>
          <w:color w:val="auto"/>
          <w:kern w:val="0"/>
          <w:sz w:val="24"/>
          <w:highlight w:val="none"/>
          <w:u w:val="none" w:color="auto"/>
          <w:vertAlign w:val="subscript"/>
        </w:rPr>
        <w:t>3</w:t>
      </w:r>
      <w:r>
        <w:rPr>
          <w:rFonts w:hint="default" w:ascii="Times New Roman" w:hAnsi="Times New Roman" w:cs="Times New Roman"/>
          <w:color w:val="auto"/>
          <w:kern w:val="0"/>
          <w:sz w:val="24"/>
          <w:highlight w:val="none"/>
          <w:u w:val="none" w:color="auto"/>
        </w:rPr>
        <w:t>-N</w:t>
      </w:r>
      <w:r>
        <w:rPr>
          <w:rFonts w:hint="eastAsia" w:ascii="Times New Roman" w:hAnsi="Times New Roman" w:cs="Times New Roman"/>
          <w:color w:val="auto"/>
          <w:kern w:val="0"/>
          <w:sz w:val="24"/>
          <w:highlight w:val="none"/>
          <w:u w:val="none" w:color="auto"/>
          <w:lang w:eastAsia="zh-CN"/>
        </w:rPr>
        <w:t>、</w:t>
      </w:r>
      <w:r>
        <w:rPr>
          <w:rFonts w:hint="eastAsia" w:ascii="Times New Roman" w:hAnsi="Times New Roman" w:cs="Times New Roman"/>
          <w:color w:val="auto"/>
          <w:kern w:val="0"/>
          <w:sz w:val="24"/>
          <w:highlight w:val="none"/>
          <w:u w:val="none" w:color="auto"/>
          <w:lang w:val="en-US" w:eastAsia="zh-CN"/>
        </w:rPr>
        <w:t>总磷</w:t>
      </w:r>
      <w:r>
        <w:rPr>
          <w:rFonts w:hint="default" w:ascii="Times New Roman" w:hAnsi="Times New Roman" w:cs="Times New Roman"/>
          <w:color w:val="auto"/>
          <w:kern w:val="0"/>
          <w:sz w:val="24"/>
          <w:highlight w:val="none"/>
          <w:u w:val="none" w:color="auto"/>
        </w:rPr>
        <w:t>使评价段河水浓度有所增加，但是能够满足河道水质管理目标。因此，在废污水正常排放情况下，工程实施所造成的水质变化幅度是鱼类可以承受的。在非正常排放情况下对河道的污染相对较大，对鱼类会造成一定的影响。</w:t>
      </w:r>
    </w:p>
    <w:p w14:paraId="097687A7">
      <w:pPr>
        <w:pStyle w:val="58"/>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both"/>
        <w:textAlignment w:val="baseline"/>
        <w:rPr>
          <w:rFonts w:hint="default" w:ascii="Times New Roman" w:hAnsi="Times New Roman" w:eastAsia="宋体" w:cs="Times New Roman"/>
          <w:color w:val="auto"/>
          <w:sz w:val="24"/>
          <w:szCs w:val="24"/>
          <w:highlight w:val="none"/>
          <w:u w:val="none" w:color="auto"/>
          <w:lang w:val="en-US" w:eastAsia="zh-CN"/>
        </w:rPr>
      </w:pPr>
      <w:bookmarkStart w:id="206" w:name="_Toc15295"/>
      <w:bookmarkStart w:id="207" w:name="_Toc17107"/>
      <w:bookmarkStart w:id="208" w:name="_Toc9977"/>
      <w:r>
        <w:rPr>
          <w:rFonts w:hint="eastAsia" w:ascii="Times New Roman" w:hAnsi="Times New Roman" w:eastAsia="宋体" w:cs="Times New Roman"/>
          <w:color w:val="auto"/>
          <w:sz w:val="24"/>
          <w:szCs w:val="24"/>
          <w:highlight w:val="none"/>
          <w:u w:val="none" w:color="auto"/>
          <w:lang w:val="en-US" w:eastAsia="zh-CN"/>
        </w:rPr>
        <w:t>7.1.4</w:t>
      </w:r>
      <w:r>
        <w:rPr>
          <w:rFonts w:hint="default" w:ascii="Times New Roman" w:hAnsi="Times New Roman" w:eastAsia="宋体" w:cs="Times New Roman"/>
          <w:color w:val="auto"/>
          <w:sz w:val="24"/>
          <w:szCs w:val="24"/>
          <w:highlight w:val="none"/>
          <w:u w:val="none" w:color="auto"/>
          <w:lang w:val="en-US" w:eastAsia="zh-CN"/>
        </w:rPr>
        <w:t>对其他水生生物的影响分析</w:t>
      </w:r>
      <w:bookmarkEnd w:id="206"/>
      <w:bookmarkEnd w:id="207"/>
      <w:bookmarkEnd w:id="208"/>
    </w:p>
    <w:p w14:paraId="2FE335B9">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cs="Times New Roman"/>
          <w:color w:val="auto"/>
          <w:kern w:val="0"/>
          <w:sz w:val="24"/>
          <w:highlight w:val="none"/>
          <w:u w:val="none" w:color="auto"/>
        </w:rPr>
      </w:pPr>
      <w:r>
        <w:rPr>
          <w:rFonts w:hint="default" w:ascii="Times New Roman" w:hAnsi="Times New Roman" w:cs="Times New Roman"/>
          <w:color w:val="auto"/>
          <w:kern w:val="0"/>
          <w:sz w:val="24"/>
          <w:highlight w:val="none"/>
          <w:u w:val="none" w:color="auto"/>
        </w:rPr>
        <w:t>经过论证计算可知，正常排放情况下，对直接或间接受纳的水体水质类别没有发生显著变化，不会对该河饵料生物群落结构和生物量产生明显影响；在非正常排放情况下，由于有机污染物浓度较高，可能引起浮游植物与浮游动物数量和组成的变化，耐污种数量和种类可能会增加。</w:t>
      </w:r>
    </w:p>
    <w:p w14:paraId="17A2E5FB">
      <w:pPr>
        <w:pStyle w:val="58"/>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both"/>
        <w:textAlignment w:val="baseline"/>
        <w:rPr>
          <w:rFonts w:hint="default" w:ascii="Times New Roman" w:hAnsi="Times New Roman" w:eastAsia="宋体" w:cs="Times New Roman"/>
          <w:color w:val="auto"/>
          <w:sz w:val="24"/>
          <w:szCs w:val="24"/>
          <w:highlight w:val="none"/>
          <w:u w:val="none" w:color="auto"/>
          <w:lang w:val="en-US" w:eastAsia="zh-CN"/>
        </w:rPr>
      </w:pPr>
      <w:bookmarkStart w:id="209" w:name="_Toc1230"/>
      <w:bookmarkStart w:id="210" w:name="_Toc11441"/>
      <w:bookmarkStart w:id="211" w:name="_Toc790"/>
      <w:r>
        <w:rPr>
          <w:rFonts w:hint="eastAsia" w:ascii="Times New Roman" w:hAnsi="Times New Roman" w:eastAsia="宋体" w:cs="Times New Roman"/>
          <w:color w:val="auto"/>
          <w:sz w:val="24"/>
          <w:szCs w:val="24"/>
          <w:highlight w:val="none"/>
          <w:u w:val="none" w:color="auto"/>
          <w:lang w:val="en-US" w:eastAsia="zh-CN"/>
        </w:rPr>
        <w:t>7.1.5</w:t>
      </w:r>
      <w:r>
        <w:rPr>
          <w:rFonts w:hint="default" w:ascii="Times New Roman" w:hAnsi="Times New Roman" w:eastAsia="宋体" w:cs="Times New Roman"/>
          <w:color w:val="auto"/>
          <w:sz w:val="24"/>
          <w:szCs w:val="24"/>
          <w:highlight w:val="none"/>
          <w:u w:val="none" w:color="auto"/>
          <w:lang w:val="en-US" w:eastAsia="zh-CN"/>
        </w:rPr>
        <w:t>对水生生物繁殖的影响分析</w:t>
      </w:r>
      <w:bookmarkEnd w:id="209"/>
      <w:bookmarkEnd w:id="210"/>
      <w:bookmarkEnd w:id="211"/>
    </w:p>
    <w:p w14:paraId="52527917">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Times New Roman" w:hAnsi="Times New Roman" w:cs="Times New Roman"/>
          <w:color w:val="auto"/>
          <w:kern w:val="0"/>
          <w:sz w:val="24"/>
          <w:highlight w:val="none"/>
          <w:u w:val="none" w:color="auto"/>
        </w:rPr>
      </w:pPr>
      <w:r>
        <w:rPr>
          <w:rFonts w:hint="default" w:ascii="Times New Roman" w:hAnsi="Times New Roman" w:cs="Times New Roman"/>
          <w:color w:val="auto"/>
          <w:kern w:val="0"/>
          <w:sz w:val="24"/>
          <w:highlight w:val="none"/>
          <w:u w:val="none" w:color="auto"/>
        </w:rPr>
        <w:t>水污染对鱼类的生理活动会产生一定影响，一般分为急性毒性、亚急性毒性、慢性毒性。在COD、总氮、氨氮、总磷这几个指标中，对鱼卵孵化和仔稚鱼早期发育毒性最大的是氨氮。污染物在排污口附近即可达到</w:t>
      </w:r>
      <w:r>
        <w:rPr>
          <w:rFonts w:hint="default" w:ascii="Times New Roman" w:hAnsi="Times New Roman" w:cs="Times New Roman"/>
          <w:color w:val="auto"/>
          <w:kern w:val="0"/>
          <w:sz w:val="24"/>
          <w:highlight w:val="none"/>
          <w:u w:val="none" w:color="auto"/>
          <w:lang w:eastAsia="zh-CN"/>
        </w:rPr>
        <w:t>Ⅲ类</w:t>
      </w:r>
      <w:r>
        <w:rPr>
          <w:rFonts w:hint="default" w:ascii="Times New Roman" w:hAnsi="Times New Roman" w:cs="Times New Roman"/>
          <w:color w:val="auto"/>
          <w:kern w:val="0"/>
          <w:sz w:val="24"/>
          <w:highlight w:val="none"/>
          <w:u w:val="none" w:color="auto"/>
        </w:rPr>
        <w:t>标准，因此其运营期对鱼类产卵繁殖影响有限。</w:t>
      </w:r>
    </w:p>
    <w:p w14:paraId="742381FB">
      <w:pPr>
        <w:pStyle w:val="63"/>
        <w:numPr>
          <w:ilvl w:val="0"/>
          <w:numId w:val="0"/>
        </w:numPr>
        <w:spacing w:beforeLines="0"/>
        <w:rPr>
          <w:rFonts w:hint="default" w:ascii="Times New Roman" w:hAnsi="Times New Roman" w:eastAsia="宋体" w:cs="Times New Roman"/>
          <w:color w:val="auto"/>
          <w:sz w:val="28"/>
          <w:szCs w:val="28"/>
          <w:highlight w:val="none"/>
          <w:u w:val="none" w:color="auto"/>
          <w:lang w:val="en-US" w:eastAsia="zh-CN"/>
        </w:rPr>
      </w:pPr>
      <w:bookmarkStart w:id="212" w:name="_Toc31685"/>
      <w:bookmarkStart w:id="213" w:name="_Toc17163"/>
      <w:bookmarkStart w:id="214" w:name="_Toc31211"/>
      <w:r>
        <w:rPr>
          <w:rFonts w:hint="eastAsia" w:ascii="Times New Roman" w:hAnsi="Times New Roman" w:cs="Times New Roman"/>
          <w:color w:val="auto"/>
          <w:sz w:val="28"/>
          <w:szCs w:val="28"/>
          <w:highlight w:val="none"/>
          <w:u w:val="none" w:color="auto"/>
          <w:lang w:val="en-US" w:eastAsia="zh-CN"/>
        </w:rPr>
        <w:t>7.2</w:t>
      </w:r>
      <w:r>
        <w:rPr>
          <w:rFonts w:hint="default" w:ascii="Times New Roman" w:hAnsi="Times New Roman" w:eastAsia="宋体" w:cs="Times New Roman"/>
          <w:color w:val="auto"/>
          <w:sz w:val="28"/>
          <w:szCs w:val="28"/>
          <w:highlight w:val="none"/>
          <w:u w:val="none" w:color="auto"/>
          <w:lang w:val="zh-CN" w:eastAsia="zh-CN"/>
        </w:rPr>
        <w:t>对地下水影响的分析</w:t>
      </w:r>
      <w:bookmarkEnd w:id="212"/>
      <w:bookmarkEnd w:id="213"/>
      <w:bookmarkEnd w:id="214"/>
    </w:p>
    <w:p w14:paraId="0C575121">
      <w:pPr>
        <w:keepNext w:val="0"/>
        <w:keepLines w:val="0"/>
        <w:pageBreakBefore w:val="0"/>
        <w:widowControl w:val="0"/>
        <w:kinsoku/>
        <w:wordWrap/>
        <w:overflowPunct/>
        <w:topLinePunct w:val="0"/>
        <w:autoSpaceDE w:val="0"/>
        <w:autoSpaceDN w:val="0"/>
        <w:bidi w:val="0"/>
        <w:adjustRightInd w:val="0"/>
        <w:snapToGrid w:val="0"/>
        <w:spacing w:line="360" w:lineRule="auto"/>
        <w:ind w:right="0" w:firstLine="480" w:firstLineChars="200"/>
        <w:jc w:val="both"/>
        <w:textAlignment w:val="auto"/>
        <w:rPr>
          <w:rFonts w:hint="default" w:ascii="Times New Roman" w:hAnsi="Times New Roman" w:cs="Times New Roman"/>
          <w:color w:val="auto"/>
          <w:sz w:val="24"/>
          <w:szCs w:val="24"/>
          <w:highlight w:val="none"/>
          <w:u w:val="none" w:color="auto"/>
        </w:rPr>
      </w:pPr>
      <w:r>
        <w:rPr>
          <w:rFonts w:hint="default" w:ascii="Times New Roman" w:hAnsi="Times New Roman" w:cs="Times New Roman"/>
          <w:color w:val="auto"/>
          <w:sz w:val="24"/>
          <w:szCs w:val="24"/>
          <w:highlight w:val="none"/>
          <w:u w:val="none" w:color="auto"/>
        </w:rPr>
        <w:t>本项目不开采地下水，同时也无注入地下水，不会引起地下水流场或地下水水位变化，因此也不会导致因水位的变化而产生的环境水文地质问题。</w:t>
      </w:r>
      <w:r>
        <w:rPr>
          <w:rFonts w:hint="default" w:ascii="Times New Roman" w:hAnsi="Times New Roman" w:cs="Times New Roman"/>
          <w:color w:val="auto"/>
          <w:sz w:val="24"/>
          <w:szCs w:val="24"/>
          <w:highlight w:val="none"/>
          <w:u w:val="none" w:color="auto"/>
          <w:lang w:eastAsia="zh-CN"/>
        </w:rPr>
        <w:t>同时，</w:t>
      </w:r>
      <w:r>
        <w:rPr>
          <w:rFonts w:hint="default" w:ascii="Times New Roman" w:hAnsi="Times New Roman" w:cs="Times New Roman"/>
          <w:color w:val="auto"/>
          <w:sz w:val="24"/>
          <w:szCs w:val="24"/>
          <w:highlight w:val="none"/>
          <w:u w:val="none" w:color="auto"/>
          <w:lang w:val="zh-CN"/>
        </w:rPr>
        <w:t>本项目废水经管道输送，管道和</w:t>
      </w:r>
      <w:r>
        <w:rPr>
          <w:rFonts w:hint="eastAsia" w:cs="Times New Roman"/>
          <w:color w:val="auto"/>
          <w:sz w:val="24"/>
          <w:szCs w:val="24"/>
          <w:highlight w:val="none"/>
          <w:u w:val="none" w:color="auto"/>
          <w:lang w:val="en-US" w:eastAsia="zh-CN"/>
        </w:rPr>
        <w:t>污水处理</w:t>
      </w:r>
      <w:r>
        <w:rPr>
          <w:rFonts w:hint="default" w:ascii="Times New Roman" w:hAnsi="Times New Roman" w:cs="Times New Roman"/>
          <w:color w:val="auto"/>
          <w:sz w:val="24"/>
          <w:szCs w:val="24"/>
          <w:highlight w:val="none"/>
          <w:u w:val="none" w:color="auto"/>
          <w:lang w:val="zh-CN"/>
        </w:rPr>
        <w:t>设施均做好防渗防腐措施，固废按照规范设置临时堆放点，实现无害化处理，因此本项目污染地下水的可能途径较少。</w:t>
      </w:r>
    </w:p>
    <w:p w14:paraId="465081A5">
      <w:pPr>
        <w:pStyle w:val="9"/>
        <w:keepNext w:val="0"/>
        <w:keepLines w:val="0"/>
        <w:pageBreakBefore w:val="0"/>
        <w:widowControl w:val="0"/>
        <w:tabs>
          <w:tab w:val="left" w:pos="-2486"/>
        </w:tabs>
        <w:kinsoku/>
        <w:wordWrap/>
        <w:overflowPunct/>
        <w:topLinePunct w:val="0"/>
        <w:bidi w:val="0"/>
        <w:adjustRightInd w:val="0"/>
        <w:snapToGrid w:val="0"/>
        <w:spacing w:before="0" w:after="0" w:line="360" w:lineRule="auto"/>
        <w:ind w:right="0" w:firstLine="480" w:firstLineChars="200"/>
        <w:jc w:val="both"/>
        <w:textAlignment w:val="auto"/>
        <w:rPr>
          <w:rFonts w:hint="default" w:ascii="Times New Roman" w:hAnsi="Times New Roman" w:cs="Times New Roman"/>
          <w:color w:val="auto"/>
          <w:sz w:val="24"/>
          <w:szCs w:val="24"/>
          <w:highlight w:val="none"/>
          <w:u w:val="none" w:color="auto"/>
        </w:rPr>
      </w:pPr>
      <w:r>
        <w:rPr>
          <w:rFonts w:hint="default" w:ascii="Times New Roman" w:hAnsi="Times New Roman" w:cs="Times New Roman"/>
          <w:color w:val="auto"/>
          <w:sz w:val="24"/>
          <w:szCs w:val="24"/>
          <w:highlight w:val="none"/>
          <w:u w:val="none" w:color="auto"/>
        </w:rPr>
        <w:t>根据</w:t>
      </w:r>
      <w:r>
        <w:rPr>
          <w:rFonts w:hint="default" w:ascii="Times New Roman" w:hAnsi="Times New Roman" w:cs="Times New Roman"/>
          <w:color w:val="auto"/>
          <w:sz w:val="24"/>
          <w:szCs w:val="24"/>
          <w:highlight w:val="none"/>
          <w:u w:val="none" w:color="auto"/>
          <w:lang w:val="en-US" w:eastAsia="zh-CN"/>
        </w:rPr>
        <w:t>区域</w:t>
      </w:r>
      <w:r>
        <w:rPr>
          <w:rFonts w:hint="default" w:ascii="Times New Roman" w:hAnsi="Times New Roman" w:cs="Times New Roman"/>
          <w:color w:val="auto"/>
          <w:sz w:val="24"/>
          <w:szCs w:val="24"/>
          <w:highlight w:val="none"/>
          <w:u w:val="none" w:color="auto"/>
        </w:rPr>
        <w:t>水文地质资料可知，贮存在收集管网中污水发生渗漏时，大的单个污染物溶质质点通过孔隙在地下水中发生运移，上层滞水埋藏于粘性层中，粘性土层渗透性较差，因此流速较小，污染物以分子扩散的水动力弥散型式在地下水中缓慢行进。厂区孔隙承压水含水层为粉质粘土层，防渗性能较好，通过项目建设地场地地基采取防渗处理，厂区地面水泥硬化，污水管道按规范工防止渗漏，</w:t>
      </w:r>
      <w:r>
        <w:rPr>
          <w:rFonts w:hint="default" w:ascii="Times New Roman" w:hAnsi="Times New Roman" w:cs="Times New Roman"/>
          <w:color w:val="auto"/>
          <w:sz w:val="24"/>
          <w:szCs w:val="24"/>
          <w:highlight w:val="none"/>
          <w:u w:val="none" w:color="auto"/>
          <w:lang w:eastAsia="zh-CN"/>
        </w:rPr>
        <w:t>对地下水影响较小</w:t>
      </w:r>
      <w:r>
        <w:rPr>
          <w:rFonts w:hint="default" w:ascii="Times New Roman" w:hAnsi="Times New Roman" w:cs="Times New Roman"/>
          <w:color w:val="auto"/>
          <w:sz w:val="24"/>
          <w:szCs w:val="24"/>
          <w:highlight w:val="none"/>
          <w:u w:val="none" w:color="auto"/>
        </w:rPr>
        <w:t>。</w:t>
      </w:r>
    </w:p>
    <w:p w14:paraId="1EDC1CE1">
      <w:pPr>
        <w:pStyle w:val="63"/>
        <w:numPr>
          <w:ilvl w:val="0"/>
          <w:numId w:val="0"/>
        </w:numPr>
        <w:spacing w:beforeLines="0"/>
        <w:rPr>
          <w:rFonts w:hint="default" w:ascii="Times New Roman" w:hAnsi="Times New Roman" w:eastAsia="宋体" w:cs="Times New Roman"/>
          <w:color w:val="auto"/>
          <w:sz w:val="28"/>
          <w:szCs w:val="28"/>
          <w:highlight w:val="none"/>
          <w:u w:val="none" w:color="auto"/>
          <w:lang w:val="zh-CN" w:eastAsia="zh-CN"/>
        </w:rPr>
      </w:pPr>
      <w:bookmarkStart w:id="215" w:name="_Toc6459"/>
      <w:bookmarkStart w:id="216" w:name="_Toc31993"/>
      <w:bookmarkStart w:id="217" w:name="_Toc7379"/>
      <w:r>
        <w:rPr>
          <w:rFonts w:hint="eastAsia" w:ascii="Times New Roman" w:hAnsi="Times New Roman" w:cs="Times New Roman"/>
          <w:color w:val="auto"/>
          <w:sz w:val="28"/>
          <w:szCs w:val="28"/>
          <w:highlight w:val="none"/>
          <w:u w:val="none" w:color="auto"/>
          <w:lang w:val="en-US" w:eastAsia="zh-CN"/>
        </w:rPr>
        <w:t>7.3</w:t>
      </w:r>
      <w:r>
        <w:rPr>
          <w:rFonts w:hint="default" w:ascii="Times New Roman" w:hAnsi="Times New Roman" w:eastAsia="宋体" w:cs="Times New Roman"/>
          <w:color w:val="auto"/>
          <w:sz w:val="28"/>
          <w:szCs w:val="28"/>
          <w:highlight w:val="none"/>
          <w:u w:val="none" w:color="auto"/>
          <w:lang w:val="zh-CN" w:eastAsia="zh-CN"/>
        </w:rPr>
        <w:t>对第三者影响的分析</w:t>
      </w:r>
      <w:bookmarkEnd w:id="215"/>
      <w:bookmarkEnd w:id="216"/>
      <w:bookmarkEnd w:id="217"/>
    </w:p>
    <w:p w14:paraId="50C05988">
      <w:pPr>
        <w:pStyle w:val="58"/>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both"/>
        <w:textAlignment w:val="baseline"/>
        <w:rPr>
          <w:rFonts w:hint="default" w:ascii="Times New Roman" w:hAnsi="Times New Roman" w:eastAsia="宋体" w:cs="Times New Roman"/>
          <w:color w:val="auto"/>
          <w:sz w:val="24"/>
          <w:szCs w:val="24"/>
          <w:highlight w:val="none"/>
          <w:u w:val="none" w:color="auto"/>
          <w:lang w:val="en-US" w:eastAsia="zh-CN"/>
        </w:rPr>
      </w:pPr>
      <w:bookmarkStart w:id="218" w:name="_Toc12476"/>
      <w:bookmarkStart w:id="219" w:name="_Toc16840"/>
      <w:bookmarkStart w:id="220" w:name="_Toc11698"/>
      <w:r>
        <w:rPr>
          <w:rFonts w:hint="eastAsia" w:ascii="Times New Roman" w:hAnsi="Times New Roman" w:eastAsia="宋体" w:cs="Times New Roman"/>
          <w:color w:val="auto"/>
          <w:sz w:val="24"/>
          <w:szCs w:val="24"/>
          <w:highlight w:val="none"/>
          <w:u w:val="none" w:color="auto"/>
          <w:lang w:val="en-US" w:eastAsia="zh-CN"/>
        </w:rPr>
        <w:t>7.3.1</w:t>
      </w:r>
      <w:r>
        <w:rPr>
          <w:rFonts w:hint="default" w:ascii="Times New Roman" w:hAnsi="Times New Roman" w:eastAsia="宋体" w:cs="Times New Roman"/>
          <w:color w:val="auto"/>
          <w:sz w:val="24"/>
          <w:szCs w:val="24"/>
          <w:highlight w:val="none"/>
          <w:u w:val="none" w:color="auto"/>
          <w:lang w:val="en-US" w:eastAsia="zh-CN"/>
        </w:rPr>
        <w:t>对生活饮用水水源的影响</w:t>
      </w:r>
      <w:bookmarkEnd w:id="218"/>
      <w:bookmarkEnd w:id="219"/>
      <w:bookmarkEnd w:id="220"/>
    </w:p>
    <w:p w14:paraId="51B1932C">
      <w:pPr>
        <w:snapToGrid w:val="0"/>
        <w:spacing w:line="360" w:lineRule="auto"/>
        <w:ind w:firstLine="480" w:firstLineChars="200"/>
        <w:rPr>
          <w:rFonts w:hint="default" w:ascii="Times New Roman" w:hAnsi="Times New Roman" w:eastAsia="宋体" w:cs="Times New Roman"/>
          <w:i w:val="0"/>
          <w:iCs w:val="0"/>
          <w:color w:val="auto"/>
          <w:sz w:val="24"/>
          <w:szCs w:val="24"/>
          <w:highlight w:val="none"/>
          <w:u w:val="none" w:color="auto"/>
          <w:lang w:val="en-US" w:eastAsia="zh-CN" w:bidi="zh-CN"/>
        </w:rPr>
      </w:pPr>
      <w:bookmarkStart w:id="221" w:name="_Toc10905"/>
      <w:r>
        <w:rPr>
          <w:rFonts w:hint="default" w:ascii="Times New Roman" w:hAnsi="Times New Roman" w:eastAsia="宋体" w:cs="Times New Roman"/>
          <w:color w:val="auto"/>
          <w:sz w:val="24"/>
          <w:szCs w:val="24"/>
          <w:highlight w:val="none"/>
          <w:u w:val="none" w:color="auto"/>
          <w:lang w:val="en-US" w:eastAsia="zh-CN"/>
        </w:rPr>
        <w:t>根据现状调查，本项目论证范围内无饮用水源</w:t>
      </w:r>
      <w:r>
        <w:rPr>
          <w:rFonts w:hint="eastAsia" w:cs="Times New Roman"/>
          <w:color w:val="auto"/>
          <w:sz w:val="24"/>
          <w:szCs w:val="24"/>
          <w:highlight w:val="none"/>
          <w:u w:val="none" w:color="auto"/>
          <w:lang w:val="en-US" w:eastAsia="zh-CN"/>
        </w:rPr>
        <w:t>取水口</w:t>
      </w:r>
      <w:r>
        <w:rPr>
          <w:rFonts w:hint="default" w:ascii="Times New Roman" w:hAnsi="Times New Roman" w:eastAsia="宋体" w:cs="Times New Roman"/>
          <w:color w:val="auto"/>
          <w:sz w:val="24"/>
          <w:szCs w:val="24"/>
          <w:highlight w:val="none"/>
          <w:u w:val="none" w:color="auto"/>
          <w:lang w:val="en-US" w:eastAsia="zh-CN"/>
        </w:rPr>
        <w:t>。因此，本排污口的设置对排污口附近取水单位用水不会产生不良影响。因此，本项目入河排污口的设置不影响第三者的合法权益。</w:t>
      </w:r>
    </w:p>
    <w:p w14:paraId="14309BD0">
      <w:pPr>
        <w:pStyle w:val="58"/>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both"/>
        <w:textAlignment w:val="baseline"/>
        <w:rPr>
          <w:rFonts w:hint="default" w:ascii="Times New Roman" w:hAnsi="Times New Roman" w:eastAsia="宋体" w:cs="Times New Roman"/>
          <w:color w:val="auto"/>
          <w:sz w:val="24"/>
          <w:szCs w:val="24"/>
          <w:highlight w:val="none"/>
          <w:u w:val="none" w:color="auto"/>
          <w:lang w:val="en-US" w:eastAsia="zh-CN"/>
        </w:rPr>
      </w:pPr>
      <w:bookmarkStart w:id="222" w:name="_Toc2734"/>
      <w:bookmarkStart w:id="223" w:name="_Toc32320"/>
      <w:r>
        <w:rPr>
          <w:rFonts w:hint="eastAsia" w:ascii="Times New Roman" w:hAnsi="Times New Roman" w:eastAsia="宋体" w:cs="Times New Roman"/>
          <w:color w:val="auto"/>
          <w:sz w:val="24"/>
          <w:szCs w:val="24"/>
          <w:highlight w:val="none"/>
          <w:u w:val="none" w:color="auto"/>
          <w:lang w:val="en-US" w:eastAsia="zh-CN"/>
        </w:rPr>
        <w:t>7.3.2</w:t>
      </w:r>
      <w:r>
        <w:rPr>
          <w:rFonts w:hint="default" w:ascii="Times New Roman" w:hAnsi="Times New Roman" w:eastAsia="宋体" w:cs="Times New Roman"/>
          <w:color w:val="auto"/>
          <w:sz w:val="24"/>
          <w:szCs w:val="24"/>
          <w:highlight w:val="none"/>
          <w:u w:val="none" w:color="auto"/>
          <w:lang w:val="en-US" w:eastAsia="zh-CN"/>
        </w:rPr>
        <w:t>对上下游取水安全的影响</w:t>
      </w:r>
      <w:bookmarkEnd w:id="221"/>
      <w:bookmarkEnd w:id="222"/>
      <w:bookmarkEnd w:id="223"/>
    </w:p>
    <w:p w14:paraId="794F9719">
      <w:pPr>
        <w:snapToGrid w:val="0"/>
        <w:spacing w:line="360" w:lineRule="auto"/>
        <w:ind w:firstLine="480" w:firstLineChars="200"/>
        <w:rPr>
          <w:rFonts w:hint="default" w:ascii="Times New Roman" w:hAnsi="Times New Roman" w:eastAsia="宋体" w:cs="Times New Roman"/>
          <w:color w:val="auto"/>
          <w:sz w:val="24"/>
          <w:szCs w:val="24"/>
          <w:highlight w:val="none"/>
          <w:u w:val="none" w:color="auto"/>
          <w:lang w:val="en-US" w:eastAsia="zh-CN"/>
        </w:rPr>
      </w:pPr>
      <w:bookmarkStart w:id="224" w:name="_Toc17970"/>
      <w:bookmarkStart w:id="225" w:name="_Toc15296"/>
      <w:bookmarkStart w:id="226" w:name="_Toc22999"/>
      <w:r>
        <w:rPr>
          <w:rFonts w:hint="eastAsia" w:cs="Times New Roman"/>
          <w:color w:val="auto"/>
          <w:sz w:val="24"/>
          <w:szCs w:val="24"/>
          <w:highlight w:val="none"/>
          <w:u w:val="none" w:color="auto"/>
          <w:lang w:val="en-US" w:eastAsia="zh-CN"/>
        </w:rPr>
        <w:t>项目</w:t>
      </w:r>
      <w:r>
        <w:rPr>
          <w:rFonts w:hint="default" w:ascii="Times New Roman" w:hAnsi="Times New Roman" w:eastAsia="宋体" w:cs="Times New Roman"/>
          <w:color w:val="auto"/>
          <w:sz w:val="24"/>
          <w:szCs w:val="24"/>
          <w:highlight w:val="none"/>
          <w:u w:val="none" w:color="auto"/>
          <w:lang w:val="en-US" w:eastAsia="zh-CN"/>
        </w:rPr>
        <w:t>排放的水污染因子主要为常规污染物，不涉及重金属、不涉及有毒有机污染物及持久性有毒化学污染，本项目排污口经排水</w:t>
      </w:r>
      <w:r>
        <w:rPr>
          <w:rFonts w:hint="eastAsia" w:eastAsia="宋体" w:cs="Times New Roman"/>
          <w:color w:val="auto"/>
          <w:sz w:val="24"/>
          <w:szCs w:val="24"/>
          <w:highlight w:val="none"/>
          <w:u w:val="none" w:color="auto"/>
          <w:lang w:val="en-US" w:eastAsia="zh-CN"/>
        </w:rPr>
        <w:t>管道</w:t>
      </w:r>
      <w:r>
        <w:rPr>
          <w:rFonts w:hint="default" w:ascii="Times New Roman" w:hAnsi="Times New Roman" w:eastAsia="宋体" w:cs="Times New Roman"/>
          <w:color w:val="auto"/>
          <w:sz w:val="24"/>
          <w:szCs w:val="24"/>
          <w:highlight w:val="none"/>
          <w:u w:val="none" w:color="auto"/>
          <w:lang w:val="en-US" w:eastAsia="zh-CN"/>
        </w:rPr>
        <w:t>汇入</w:t>
      </w:r>
      <w:r>
        <w:rPr>
          <w:rFonts w:hint="eastAsia" w:cs="Times New Roman"/>
          <w:color w:val="auto"/>
          <w:sz w:val="24"/>
          <w:szCs w:val="24"/>
          <w:highlight w:val="none"/>
          <w:u w:val="none" w:color="auto"/>
          <w:lang w:val="en-US" w:eastAsia="zh-CN"/>
        </w:rPr>
        <w:t>青山河</w:t>
      </w:r>
      <w:r>
        <w:rPr>
          <w:rFonts w:hint="default" w:ascii="Times New Roman" w:hAnsi="Times New Roman" w:eastAsia="宋体" w:cs="Times New Roman"/>
          <w:color w:val="auto"/>
          <w:sz w:val="24"/>
          <w:szCs w:val="24"/>
          <w:highlight w:val="none"/>
          <w:u w:val="none" w:color="auto"/>
          <w:lang w:val="en-US" w:eastAsia="zh-CN"/>
        </w:rPr>
        <w:t>；</w:t>
      </w:r>
      <w:r>
        <w:rPr>
          <w:rFonts w:hint="eastAsia" w:cs="Times New Roman"/>
          <w:color w:val="auto"/>
          <w:sz w:val="24"/>
          <w:szCs w:val="24"/>
          <w:highlight w:val="none"/>
          <w:u w:val="none" w:color="auto"/>
          <w:lang w:val="en-US" w:eastAsia="zh-CN"/>
        </w:rPr>
        <w:t>青山河</w:t>
      </w:r>
      <w:r>
        <w:rPr>
          <w:rFonts w:hint="default" w:ascii="Times New Roman" w:hAnsi="Times New Roman" w:eastAsia="宋体" w:cs="Times New Roman"/>
          <w:color w:val="auto"/>
          <w:sz w:val="24"/>
          <w:szCs w:val="24"/>
          <w:highlight w:val="none"/>
          <w:u w:val="none" w:color="auto"/>
          <w:lang w:val="en-US" w:eastAsia="zh-CN"/>
        </w:rPr>
        <w:t>上下游无饮用水源取水口，项目污染物的排放不会影响上下游农业灌溉取排水。</w:t>
      </w:r>
    </w:p>
    <w:p w14:paraId="10C95060">
      <w:pPr>
        <w:snapToGrid w:val="0"/>
        <w:spacing w:line="360" w:lineRule="auto"/>
        <w:ind w:firstLine="480" w:firstLineChars="200"/>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根据模型分析，污水在正常排放下经过充分混合后，受纳水体</w:t>
      </w:r>
      <w:r>
        <w:rPr>
          <w:rFonts w:hint="eastAsia" w:cs="Times New Roman"/>
          <w:color w:val="auto"/>
          <w:sz w:val="24"/>
          <w:szCs w:val="24"/>
          <w:highlight w:val="none"/>
          <w:u w:val="none" w:color="auto"/>
          <w:lang w:val="en-US" w:eastAsia="zh-CN"/>
        </w:rPr>
        <w:t>青山河</w:t>
      </w:r>
      <w:r>
        <w:rPr>
          <w:rFonts w:hint="default" w:ascii="Times New Roman" w:hAnsi="Times New Roman" w:eastAsia="宋体" w:cs="Times New Roman"/>
          <w:color w:val="auto"/>
          <w:sz w:val="24"/>
          <w:szCs w:val="24"/>
          <w:highlight w:val="none"/>
          <w:u w:val="none" w:color="auto"/>
          <w:lang w:val="en-US" w:eastAsia="zh-CN"/>
        </w:rPr>
        <w:t>水质满足Ⅲ类目标，下游水质可达到《地表水环境质量标准》（GB3838-2002）中Ⅲ类标准要求，不影响</w:t>
      </w:r>
      <w:r>
        <w:rPr>
          <w:rFonts w:hint="eastAsia" w:cs="Times New Roman"/>
          <w:color w:val="auto"/>
          <w:sz w:val="24"/>
          <w:szCs w:val="24"/>
          <w:highlight w:val="none"/>
          <w:u w:val="none" w:color="auto"/>
          <w:lang w:val="en-US" w:eastAsia="zh-CN"/>
        </w:rPr>
        <w:t>青山河</w:t>
      </w:r>
      <w:r>
        <w:rPr>
          <w:rFonts w:hint="default" w:ascii="Times New Roman" w:hAnsi="Times New Roman" w:eastAsia="宋体" w:cs="Times New Roman"/>
          <w:color w:val="auto"/>
          <w:sz w:val="24"/>
          <w:szCs w:val="24"/>
          <w:highlight w:val="none"/>
          <w:u w:val="none" w:color="auto"/>
          <w:lang w:val="en-US" w:eastAsia="zh-CN"/>
        </w:rPr>
        <w:t>下游河段的水质，且下游无取水单位，因此排污口污水排放基本不会对下游取水安全造成影响。</w:t>
      </w:r>
    </w:p>
    <w:p w14:paraId="23558D65">
      <w:pPr>
        <w:pStyle w:val="58"/>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both"/>
        <w:textAlignment w:val="baseline"/>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7.3.3</w:t>
      </w:r>
      <w:r>
        <w:rPr>
          <w:rFonts w:hint="default" w:ascii="Times New Roman" w:hAnsi="Times New Roman" w:eastAsia="宋体" w:cs="Times New Roman"/>
          <w:color w:val="auto"/>
          <w:sz w:val="24"/>
          <w:szCs w:val="24"/>
          <w:highlight w:val="none"/>
          <w:u w:val="none" w:color="auto"/>
          <w:lang w:val="en-US" w:eastAsia="zh-CN"/>
        </w:rPr>
        <w:t>对农业灌溉用水的影响</w:t>
      </w:r>
      <w:bookmarkEnd w:id="224"/>
      <w:bookmarkEnd w:id="225"/>
      <w:bookmarkEnd w:id="226"/>
    </w:p>
    <w:p w14:paraId="2529F2C0">
      <w:pPr>
        <w:keepLines w:val="0"/>
        <w:pageBreakBefore w:val="0"/>
        <w:kinsoku/>
        <w:wordWrap/>
        <w:bidi w:val="0"/>
        <w:snapToGrid w:val="0"/>
        <w:spacing w:line="360" w:lineRule="auto"/>
        <w:ind w:firstLine="480" w:firstLineChars="200"/>
        <w:jc w:val="left"/>
        <w:rPr>
          <w:rFonts w:hint="default" w:ascii="Times New Roman" w:hAnsi="Times New Roman" w:eastAsia="宋体" w:cs="Times New Roman"/>
          <w:color w:val="auto"/>
          <w:sz w:val="24"/>
          <w:szCs w:val="24"/>
          <w:highlight w:val="none"/>
          <w:u w:val="none" w:color="auto"/>
          <w:lang w:val="en-US" w:eastAsia="zh-CN"/>
        </w:rPr>
      </w:pPr>
      <w:bookmarkStart w:id="227" w:name="_Toc31848"/>
      <w:bookmarkStart w:id="228" w:name="_Toc3004"/>
      <w:bookmarkStart w:id="229" w:name="_Toc7122"/>
      <w:r>
        <w:rPr>
          <w:rFonts w:hint="eastAsia" w:cs="Times New Roman"/>
          <w:color w:val="auto"/>
          <w:sz w:val="24"/>
          <w:szCs w:val="24"/>
          <w:highlight w:val="none"/>
          <w:u w:val="none" w:color="auto"/>
          <w:lang w:val="en-US" w:eastAsia="zh-CN" w:bidi="zh-CN"/>
        </w:rPr>
        <w:t>青山河</w:t>
      </w:r>
      <w:r>
        <w:rPr>
          <w:rFonts w:hint="default" w:ascii="Times New Roman" w:hAnsi="Times New Roman" w:eastAsia="宋体" w:cs="Times New Roman"/>
          <w:color w:val="auto"/>
          <w:sz w:val="24"/>
          <w:szCs w:val="24"/>
          <w:highlight w:val="none"/>
          <w:u w:val="none" w:color="auto"/>
          <w:lang w:val="en-US" w:eastAsia="zh-CN" w:bidi="zh-CN"/>
        </w:rPr>
        <w:t>现主要功能是灌溉，沿线的主要作物类型是水稻、油菜</w:t>
      </w:r>
      <w:r>
        <w:rPr>
          <w:rFonts w:hint="eastAsia" w:ascii="Times New Roman" w:hAnsi="Times New Roman" w:eastAsia="宋体" w:cs="Times New Roman"/>
          <w:color w:val="auto"/>
          <w:sz w:val="24"/>
          <w:szCs w:val="24"/>
          <w:highlight w:val="none"/>
          <w:u w:val="none" w:color="auto"/>
          <w:lang w:val="en-US" w:eastAsia="zh-CN" w:bidi="zh-CN"/>
        </w:rPr>
        <w:t>等</w:t>
      </w:r>
      <w:r>
        <w:rPr>
          <w:rFonts w:hint="default" w:ascii="Times New Roman" w:hAnsi="Times New Roman" w:eastAsia="宋体" w:cs="Times New Roman"/>
          <w:color w:val="auto"/>
          <w:sz w:val="24"/>
          <w:szCs w:val="24"/>
          <w:highlight w:val="none"/>
          <w:u w:val="none" w:color="auto"/>
          <w:lang w:val="en-US" w:eastAsia="zh-CN" w:bidi="zh-CN"/>
        </w:rPr>
        <w:t>。本项目外排废水经处理后</w:t>
      </w:r>
      <w:r>
        <w:rPr>
          <w:rFonts w:hint="eastAsia" w:cs="Times New Roman"/>
          <w:color w:val="auto"/>
          <w:sz w:val="24"/>
          <w:szCs w:val="24"/>
          <w:highlight w:val="none"/>
          <w:u w:val="none" w:color="auto"/>
          <w:lang w:val="en-US" w:eastAsia="zh-CN" w:bidi="zh-CN"/>
        </w:rPr>
        <w:t>达到</w:t>
      </w:r>
      <w:r>
        <w:rPr>
          <w:rFonts w:hint="eastAsia" w:ascii="Times New Roman" w:hAnsi="Times New Roman" w:eastAsia="宋体" w:cs="Times New Roman"/>
          <w:bCs/>
          <w:color w:val="000000"/>
          <w:sz w:val="24"/>
          <w:szCs w:val="24"/>
          <w:u w:val="none" w:color="auto"/>
          <w:lang w:eastAsia="zh-CN"/>
        </w:rPr>
        <w:t>《食品加工制造业水污染物排放标准》（GB46817-2025）</w:t>
      </w:r>
      <w:r>
        <w:rPr>
          <w:rFonts w:hint="default" w:ascii="Times New Roman" w:hAnsi="Times New Roman" w:cs="Times New Roman"/>
          <w:bCs/>
          <w:color w:val="000000"/>
          <w:sz w:val="24"/>
          <w:szCs w:val="24"/>
          <w:u w:val="none" w:color="auto"/>
        </w:rPr>
        <w:t>表4中的一级标准</w:t>
      </w:r>
      <w:r>
        <w:rPr>
          <w:rFonts w:hint="default" w:ascii="Times New Roman" w:hAnsi="Times New Roman" w:eastAsia="宋体" w:cs="Times New Roman"/>
          <w:color w:val="auto"/>
          <w:sz w:val="24"/>
          <w:szCs w:val="24"/>
          <w:highlight w:val="none"/>
          <w:u w:val="none" w:color="auto"/>
          <w:lang w:val="en-US" w:eastAsia="zh-CN" w:bidi="zh-CN"/>
        </w:rPr>
        <w:t>排入</w:t>
      </w:r>
      <w:r>
        <w:rPr>
          <w:rFonts w:hint="eastAsia" w:cs="Times New Roman"/>
          <w:color w:val="auto"/>
          <w:sz w:val="24"/>
          <w:szCs w:val="24"/>
          <w:highlight w:val="none"/>
          <w:u w:val="none" w:color="auto"/>
          <w:lang w:val="en-US" w:eastAsia="zh-CN" w:bidi="zh-CN"/>
        </w:rPr>
        <w:t>青山河</w:t>
      </w:r>
      <w:r>
        <w:rPr>
          <w:rFonts w:hint="default" w:ascii="Times New Roman" w:hAnsi="Times New Roman" w:eastAsia="宋体" w:cs="Times New Roman"/>
          <w:color w:val="auto"/>
          <w:sz w:val="24"/>
          <w:szCs w:val="24"/>
          <w:highlight w:val="none"/>
          <w:u w:val="none" w:color="auto"/>
          <w:lang w:val="en-US" w:eastAsia="zh-CN" w:bidi="zh-CN"/>
        </w:rPr>
        <w:t>，废水</w:t>
      </w:r>
      <w:r>
        <w:rPr>
          <w:rFonts w:hint="eastAsia" w:cs="Times New Roman"/>
          <w:color w:val="auto"/>
          <w:sz w:val="24"/>
          <w:szCs w:val="24"/>
          <w:highlight w:val="none"/>
          <w:u w:val="none" w:color="auto"/>
          <w:lang w:val="en-US" w:eastAsia="zh-CN" w:bidi="zh-CN"/>
        </w:rPr>
        <w:t>污染因子</w:t>
      </w:r>
      <w:r>
        <w:rPr>
          <w:rFonts w:hint="default" w:ascii="Times New Roman" w:hAnsi="Times New Roman" w:eastAsia="宋体" w:cs="Times New Roman"/>
          <w:color w:val="auto"/>
          <w:sz w:val="24"/>
          <w:szCs w:val="24"/>
          <w:highlight w:val="none"/>
          <w:u w:val="none" w:color="auto"/>
          <w:lang w:val="en-US" w:eastAsia="zh-CN" w:bidi="zh-CN"/>
        </w:rPr>
        <w:t>全部符合《农田灌溉水质标准》（GB 5084-2021）的要求；项目无高温废水排放，不会造成</w:t>
      </w:r>
      <w:r>
        <w:rPr>
          <w:rFonts w:hint="eastAsia" w:cs="Times New Roman"/>
          <w:color w:val="auto"/>
          <w:sz w:val="24"/>
          <w:szCs w:val="24"/>
          <w:highlight w:val="none"/>
          <w:u w:val="none" w:color="auto"/>
          <w:lang w:val="en-US" w:eastAsia="zh-CN" w:bidi="zh-CN"/>
        </w:rPr>
        <w:t>青山河</w:t>
      </w:r>
      <w:r>
        <w:rPr>
          <w:rFonts w:hint="default" w:ascii="Times New Roman" w:hAnsi="Times New Roman" w:eastAsia="宋体" w:cs="Times New Roman"/>
          <w:color w:val="auto"/>
          <w:sz w:val="24"/>
          <w:szCs w:val="24"/>
          <w:highlight w:val="none"/>
          <w:u w:val="none" w:color="auto"/>
          <w:lang w:val="en-US" w:eastAsia="zh-CN" w:bidi="zh-CN"/>
        </w:rPr>
        <w:t>水温变化</w:t>
      </w:r>
      <w:r>
        <w:rPr>
          <w:rFonts w:hint="eastAsia" w:ascii="Times New Roman" w:hAnsi="Times New Roman" w:eastAsia="宋体" w:cs="Times New Roman"/>
          <w:color w:val="auto"/>
          <w:sz w:val="24"/>
          <w:szCs w:val="24"/>
          <w:highlight w:val="none"/>
          <w:u w:val="none" w:color="auto"/>
          <w:lang w:val="en-US" w:eastAsia="zh-CN" w:bidi="zh-CN"/>
        </w:rPr>
        <w:t>。</w:t>
      </w:r>
    </w:p>
    <w:p w14:paraId="2A48894B">
      <w:pPr>
        <w:pStyle w:val="58"/>
        <w:numPr>
          <w:ilvl w:val="0"/>
          <w:numId w:val="0"/>
        </w:numPr>
        <w:snapToGrid w:val="0"/>
        <w:spacing w:after="0" w:line="360" w:lineRule="auto"/>
        <w:jc w:val="both"/>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7.3.1</w:t>
      </w:r>
      <w:r>
        <w:rPr>
          <w:rFonts w:hint="default" w:ascii="Times New Roman" w:hAnsi="Times New Roman" w:eastAsia="宋体" w:cs="Times New Roman"/>
          <w:color w:val="auto"/>
          <w:sz w:val="24"/>
          <w:szCs w:val="24"/>
          <w:highlight w:val="none"/>
          <w:u w:val="none" w:color="auto"/>
          <w:lang w:val="en-US" w:eastAsia="zh-CN"/>
        </w:rPr>
        <w:t>对区域防洪排涝的影响分析</w:t>
      </w:r>
      <w:bookmarkEnd w:id="227"/>
      <w:bookmarkEnd w:id="228"/>
      <w:bookmarkEnd w:id="229"/>
    </w:p>
    <w:p w14:paraId="0CC579B9">
      <w:pPr>
        <w:snapToGrid w:val="0"/>
        <w:spacing w:line="360" w:lineRule="auto"/>
        <w:ind w:firstLine="480" w:firstLineChars="200"/>
        <w:rPr>
          <w:rFonts w:hint="default" w:ascii="Times New Roman" w:hAnsi="Times New Roman" w:eastAsia="宋体" w:cs="Times New Roman"/>
          <w:color w:val="auto"/>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本入河排污口采用</w:t>
      </w:r>
      <w:r>
        <w:rPr>
          <w:rFonts w:hint="eastAsia" w:eastAsia="宋体" w:cs="Times New Roman"/>
          <w:color w:val="auto"/>
          <w:sz w:val="24"/>
          <w:szCs w:val="24"/>
          <w:highlight w:val="none"/>
          <w:u w:val="none" w:color="auto"/>
          <w:lang w:val="en-US" w:eastAsia="zh-CN"/>
        </w:rPr>
        <w:t>自建排水管道</w:t>
      </w:r>
      <w:r>
        <w:rPr>
          <w:rFonts w:hint="default" w:ascii="Times New Roman" w:hAnsi="Times New Roman" w:eastAsia="宋体" w:cs="Times New Roman"/>
          <w:color w:val="auto"/>
          <w:sz w:val="24"/>
          <w:szCs w:val="24"/>
          <w:highlight w:val="none"/>
          <w:u w:val="none" w:color="auto"/>
          <w:lang w:val="en-US" w:eastAsia="zh-CN"/>
        </w:rPr>
        <w:t>排放，基本不会对河流行洪及防洪产生影响，符合防洪要求。</w:t>
      </w:r>
    </w:p>
    <w:p w14:paraId="3C7F4CED">
      <w:pPr>
        <w:snapToGrid w:val="0"/>
        <w:spacing w:line="360" w:lineRule="auto"/>
        <w:ind w:firstLine="480" w:firstLineChars="200"/>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综上所述，只要建设单位对污水处理站严加管控，严格控制污水水质达标排放，则不会对</w:t>
      </w:r>
      <w:r>
        <w:rPr>
          <w:rFonts w:hint="eastAsia" w:cs="Times New Roman"/>
          <w:color w:val="auto"/>
          <w:sz w:val="24"/>
          <w:szCs w:val="24"/>
          <w:highlight w:val="none"/>
          <w:u w:val="none" w:color="auto"/>
          <w:lang w:val="en-US" w:eastAsia="zh-CN"/>
        </w:rPr>
        <w:t>青山河</w:t>
      </w:r>
      <w:r>
        <w:rPr>
          <w:rFonts w:hint="default" w:ascii="Times New Roman" w:hAnsi="Times New Roman" w:eastAsia="宋体" w:cs="Times New Roman"/>
          <w:color w:val="auto"/>
          <w:sz w:val="24"/>
          <w:szCs w:val="24"/>
          <w:highlight w:val="none"/>
          <w:u w:val="none" w:color="auto"/>
          <w:lang w:val="en-US" w:eastAsia="zh-CN"/>
        </w:rPr>
        <w:t>水功能区水质、生态以及第三者权益三方面产生不良影响。</w:t>
      </w:r>
    </w:p>
    <w:p w14:paraId="149D9546">
      <w:pPr>
        <w:spacing w:line="480" w:lineRule="exact"/>
        <w:ind w:firstLine="480" w:firstLineChars="200"/>
        <w:outlineLvl w:val="0"/>
        <w:rPr>
          <w:rFonts w:ascii="Times New Roman" w:hAnsi="Times New Roman" w:eastAsia="宋体" w:cs="Times New Roman"/>
          <w:sz w:val="24"/>
          <w:szCs w:val="24"/>
          <w:lang w:eastAsia="zh-CN"/>
        </w:rPr>
      </w:pPr>
    </w:p>
    <w:p w14:paraId="1565C68A">
      <w:pPr>
        <w:spacing w:line="196" w:lineRule="auto"/>
        <w:rPr>
          <w:rFonts w:ascii="宋体" w:hAnsi="宋体" w:eastAsia="宋体" w:cs="宋体"/>
          <w:sz w:val="28"/>
          <w:szCs w:val="28"/>
          <w:lang w:eastAsia="zh-CN"/>
        </w:rPr>
        <w:sectPr>
          <w:pgSz w:w="11905" w:h="16838"/>
          <w:pgMar w:top="1440" w:right="1803" w:bottom="1440" w:left="1803" w:header="828" w:footer="794" w:gutter="0"/>
          <w:pgNumType w:fmt="decimal"/>
          <w:cols w:space="0" w:num="1"/>
          <w:rtlGutter w:val="0"/>
          <w:docGrid w:linePitch="0" w:charSpace="0"/>
        </w:sectPr>
      </w:pPr>
    </w:p>
    <w:p w14:paraId="17AEF5F6">
      <w:pPr>
        <w:keepNext w:val="0"/>
        <w:keepLines w:val="0"/>
        <w:pageBreakBefore w:val="0"/>
        <w:widowControl/>
        <w:kinsoku w:val="0"/>
        <w:wordWrap/>
        <w:overflowPunct/>
        <w:topLinePunct w:val="0"/>
        <w:autoSpaceDE w:val="0"/>
        <w:autoSpaceDN w:val="0"/>
        <w:bidi w:val="0"/>
        <w:adjustRightInd w:val="0"/>
        <w:snapToGrid w:val="0"/>
        <w:spacing w:before="334" w:line="360" w:lineRule="auto"/>
        <w:jc w:val="center"/>
        <w:textAlignment w:val="baseline"/>
        <w:outlineLvl w:val="0"/>
        <w:rPr>
          <w:rFonts w:hint="default" w:ascii="Times New Roman" w:hAnsi="Times New Roman" w:eastAsia="宋体" w:cs="Times New Roman"/>
          <w:b/>
          <w:bCs/>
          <w:spacing w:val="6"/>
          <w:sz w:val="31"/>
          <w:szCs w:val="31"/>
          <w:lang w:eastAsia="zh-CN"/>
        </w:rPr>
      </w:pPr>
      <w:bookmarkStart w:id="230" w:name="_Toc7873"/>
      <w:bookmarkStart w:id="231" w:name="_Toc16114"/>
      <w:r>
        <w:rPr>
          <w:rFonts w:hint="default" w:ascii="Times New Roman" w:hAnsi="Times New Roman" w:eastAsia="宋体" w:cs="Times New Roman"/>
          <w:b/>
          <w:bCs/>
          <w:spacing w:val="6"/>
          <w:sz w:val="31"/>
          <w:szCs w:val="31"/>
          <w:lang w:eastAsia="zh-CN"/>
        </w:rPr>
        <w:t>8入河排污口设置水环境风险影响分析</w:t>
      </w:r>
      <w:bookmarkEnd w:id="230"/>
      <w:bookmarkEnd w:id="231"/>
    </w:p>
    <w:p w14:paraId="1C109113">
      <w:pPr>
        <w:pStyle w:val="63"/>
        <w:pageBreakBefore w:val="0"/>
        <w:numPr>
          <w:ilvl w:val="0"/>
          <w:numId w:val="0"/>
        </w:numPr>
        <w:wordWrap/>
        <w:overflowPunct/>
        <w:topLinePunct w:val="0"/>
        <w:bidi w:val="0"/>
        <w:snapToGrid w:val="0"/>
        <w:spacing w:beforeLines="0" w:line="360" w:lineRule="auto"/>
        <w:jc w:val="both"/>
        <w:rPr>
          <w:rFonts w:hint="default" w:ascii="Times New Roman" w:hAnsi="Times New Roman" w:eastAsia="宋体" w:cs="Times New Roman"/>
          <w:color w:val="auto"/>
          <w:sz w:val="28"/>
          <w:szCs w:val="28"/>
          <w:highlight w:val="none"/>
          <w:u w:val="none" w:color="auto"/>
          <w:lang w:val="zh-CN" w:eastAsia="zh-CN"/>
        </w:rPr>
      </w:pPr>
      <w:bookmarkStart w:id="232" w:name="_Toc10622"/>
      <w:bookmarkStart w:id="233" w:name="_Toc18290"/>
      <w:r>
        <w:rPr>
          <w:rFonts w:hint="default" w:ascii="Times New Roman" w:hAnsi="Times New Roman" w:eastAsia="宋体" w:cs="Times New Roman"/>
          <w:color w:val="auto"/>
          <w:sz w:val="28"/>
          <w:szCs w:val="28"/>
          <w:highlight w:val="none"/>
          <w:u w:val="none" w:color="auto"/>
          <w:lang w:val="zh-CN" w:eastAsia="zh-CN"/>
        </w:rPr>
        <w:t>8.1.水环境风险分析</w:t>
      </w:r>
      <w:bookmarkEnd w:id="232"/>
      <w:bookmarkEnd w:id="233"/>
    </w:p>
    <w:p w14:paraId="658CDB81">
      <w:pPr>
        <w:pStyle w:val="4"/>
        <w:pageBreakBefore w:val="0"/>
        <w:wordWrap/>
        <w:overflowPunct/>
        <w:topLinePunct w:val="0"/>
        <w:bidi w:val="0"/>
        <w:adjustRightInd/>
        <w:snapToGrid w:val="0"/>
        <w:spacing w:before="0" w:after="0" w:line="360" w:lineRule="auto"/>
        <w:contextualSpacing/>
        <w:jc w:val="both"/>
        <w:rPr>
          <w:rFonts w:hint="default" w:ascii="Times New Roman" w:hAnsi="Times New Roman" w:eastAsia="宋体" w:cs="Times New Roman"/>
          <w:szCs w:val="24"/>
          <w:lang w:val="en-US" w:eastAsia="zh-CN"/>
        </w:rPr>
      </w:pPr>
      <w:bookmarkStart w:id="234" w:name="_Toc28238"/>
      <w:bookmarkStart w:id="235" w:name="_Toc10256"/>
      <w:r>
        <w:rPr>
          <w:rFonts w:ascii="Times New Roman" w:hAnsi="Times New Roman" w:eastAsia="宋体" w:cs="Times New Roman"/>
          <w:szCs w:val="24"/>
          <w:lang w:eastAsia="zh-CN"/>
        </w:rPr>
        <w:t>8.1.1</w:t>
      </w:r>
      <w:r>
        <w:rPr>
          <w:rFonts w:hint="eastAsia" w:ascii="Times New Roman" w:hAnsi="Times New Roman" w:eastAsia="宋体" w:cs="Times New Roman"/>
          <w:szCs w:val="24"/>
          <w:lang w:val="en-US" w:eastAsia="zh-CN"/>
        </w:rPr>
        <w:t>水污染事件风险识别</w:t>
      </w:r>
      <w:bookmarkEnd w:id="234"/>
      <w:bookmarkEnd w:id="235"/>
    </w:p>
    <w:p w14:paraId="4B2FC533">
      <w:pPr>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u w:val="single"/>
          <w:lang w:eastAsia="zh-CN"/>
        </w:rPr>
      </w:pPr>
      <w:r>
        <w:rPr>
          <w:rFonts w:ascii="Times New Roman" w:hAnsi="Times New Roman" w:eastAsia="宋体" w:cs="Times New Roman"/>
          <w:sz w:val="24"/>
          <w:szCs w:val="24"/>
          <w:u w:val="single"/>
          <w:lang w:eastAsia="zh-CN"/>
        </w:rPr>
        <w:t xml:space="preserve">本入河排污口运行中有以下风险： </w:t>
      </w:r>
    </w:p>
    <w:p w14:paraId="36DA7E93">
      <w:pPr>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u w:val="single"/>
          <w:lang w:eastAsia="zh-CN"/>
        </w:rPr>
      </w:pPr>
      <w:r>
        <w:rPr>
          <w:rFonts w:ascii="Times New Roman" w:hAnsi="Times New Roman" w:eastAsia="宋体" w:cs="Times New Roman"/>
          <w:sz w:val="24"/>
          <w:szCs w:val="24"/>
          <w:u w:val="single"/>
          <w:lang w:eastAsia="zh-CN"/>
        </w:rPr>
        <w:t>（1）污水处理系统在运行</w:t>
      </w:r>
      <w:r>
        <w:rPr>
          <w:rFonts w:hint="eastAsia" w:ascii="Times New Roman" w:hAnsi="Times New Roman" w:eastAsia="宋体" w:cs="Times New Roman"/>
          <w:sz w:val="24"/>
          <w:szCs w:val="24"/>
          <w:u w:val="single"/>
          <w:lang w:eastAsia="zh-CN"/>
        </w:rPr>
        <w:t>、</w:t>
      </w:r>
      <w:r>
        <w:rPr>
          <w:rFonts w:ascii="Times New Roman" w:hAnsi="Times New Roman" w:eastAsia="宋体" w:cs="Times New Roman"/>
          <w:sz w:val="24"/>
          <w:szCs w:val="24"/>
          <w:u w:val="single"/>
          <w:lang w:eastAsia="zh-CN"/>
        </w:rPr>
        <w:t xml:space="preserve">输送过程中管道破裂导致的泄漏事故； </w:t>
      </w:r>
    </w:p>
    <w:p w14:paraId="4E3117A9">
      <w:pPr>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u w:val="single"/>
          <w:lang w:eastAsia="zh-CN"/>
        </w:rPr>
      </w:pPr>
      <w:r>
        <w:rPr>
          <w:rFonts w:ascii="Times New Roman" w:hAnsi="Times New Roman" w:eastAsia="宋体" w:cs="Times New Roman"/>
          <w:sz w:val="24"/>
          <w:szCs w:val="24"/>
          <w:u w:val="single"/>
          <w:lang w:eastAsia="zh-CN"/>
        </w:rPr>
        <w:t>（2）污水处理站运行过程中设备故障引起的泄漏或跑、冒、滴、漏等现象导致的事故；</w:t>
      </w:r>
    </w:p>
    <w:p w14:paraId="335B178F">
      <w:pPr>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u w:val="single"/>
          <w:lang w:eastAsia="zh-CN"/>
        </w:rPr>
      </w:pPr>
      <w:r>
        <w:rPr>
          <w:rFonts w:ascii="Times New Roman" w:hAnsi="Times New Roman" w:eastAsia="宋体" w:cs="Times New Roman"/>
          <w:sz w:val="24"/>
          <w:szCs w:val="24"/>
          <w:u w:val="single"/>
          <w:lang w:eastAsia="zh-CN"/>
        </w:rPr>
        <w:t>（3）由于突发紧急事故导致污水处理站超负荷、停电、设备故障且无法启动备用设备等引发的废水超标排放事故。</w:t>
      </w:r>
    </w:p>
    <w:p w14:paraId="79EB8C33">
      <w:pPr>
        <w:pageBreakBefore w:val="0"/>
        <w:wordWrap/>
        <w:overflowPunct/>
        <w:topLinePunct w:val="0"/>
        <w:bidi w:val="0"/>
        <w:adjustRightInd/>
        <w:snapToGrid w:val="0"/>
        <w:spacing w:line="360" w:lineRule="auto"/>
        <w:ind w:firstLine="480" w:firstLineChars="200"/>
        <w:contextualSpacing/>
        <w:jc w:val="both"/>
        <w:rPr>
          <w:rFonts w:hint="default" w:ascii="Times New Roman" w:hAnsi="Times New Roman" w:eastAsia="宋体" w:cs="Times New Roman"/>
          <w:sz w:val="24"/>
          <w:szCs w:val="24"/>
          <w:u w:val="none"/>
          <w:lang w:val="en-US" w:eastAsia="zh-CN"/>
        </w:rPr>
      </w:pPr>
      <w:r>
        <w:rPr>
          <w:rFonts w:ascii="Times New Roman" w:hAnsi="Times New Roman" w:eastAsia="宋体" w:cs="Times New Roman"/>
          <w:sz w:val="24"/>
          <w:szCs w:val="24"/>
          <w:u w:val="single"/>
          <w:lang w:eastAsia="zh-CN"/>
        </w:rPr>
        <w:t>（</w:t>
      </w:r>
      <w:r>
        <w:rPr>
          <w:rFonts w:hint="eastAsia" w:ascii="Times New Roman" w:hAnsi="Times New Roman" w:eastAsia="宋体" w:cs="Times New Roman"/>
          <w:sz w:val="24"/>
          <w:szCs w:val="24"/>
          <w:u w:val="single"/>
          <w:lang w:val="en-US" w:eastAsia="zh-CN"/>
        </w:rPr>
        <w:t>4</w:t>
      </w:r>
      <w:r>
        <w:rPr>
          <w:rFonts w:ascii="Times New Roman" w:hAnsi="Times New Roman" w:eastAsia="宋体" w:cs="Times New Roman"/>
          <w:sz w:val="24"/>
          <w:szCs w:val="24"/>
          <w:u w:val="single"/>
          <w:lang w:eastAsia="zh-CN"/>
        </w:rPr>
        <w:t>）</w:t>
      </w:r>
      <w:r>
        <w:rPr>
          <w:rFonts w:hint="eastAsia" w:ascii="Times New Roman" w:hAnsi="Times New Roman" w:eastAsia="宋体" w:cs="Times New Roman"/>
          <w:sz w:val="24"/>
          <w:szCs w:val="24"/>
          <w:u w:val="single"/>
          <w:lang w:val="en-US" w:eastAsia="zh-CN"/>
        </w:rPr>
        <w:t>废水排放埋管破裂</w:t>
      </w:r>
      <w:r>
        <w:rPr>
          <w:rFonts w:ascii="Times New Roman" w:hAnsi="Times New Roman" w:eastAsia="宋体" w:cs="Times New Roman"/>
          <w:sz w:val="24"/>
          <w:szCs w:val="24"/>
          <w:u w:val="single"/>
          <w:lang w:eastAsia="zh-CN"/>
        </w:rPr>
        <w:t>导致的泄漏事故；</w:t>
      </w:r>
    </w:p>
    <w:p w14:paraId="2ED63E41">
      <w:pPr>
        <w:pStyle w:val="4"/>
        <w:pageBreakBefore w:val="0"/>
        <w:wordWrap/>
        <w:overflowPunct/>
        <w:topLinePunct w:val="0"/>
        <w:bidi w:val="0"/>
        <w:adjustRightInd/>
        <w:snapToGrid w:val="0"/>
        <w:spacing w:before="0" w:after="0" w:line="360" w:lineRule="auto"/>
        <w:contextualSpacing/>
        <w:jc w:val="both"/>
        <w:rPr>
          <w:rFonts w:ascii="Times New Roman" w:hAnsi="Times New Roman" w:eastAsia="宋体" w:cs="Times New Roman"/>
          <w:szCs w:val="24"/>
          <w:lang w:eastAsia="zh-CN"/>
        </w:rPr>
      </w:pPr>
      <w:bookmarkStart w:id="236" w:name="8.4_水域纳污能力要求"/>
      <w:bookmarkEnd w:id="236"/>
      <w:bookmarkStart w:id="237" w:name="8.6_对水生态系统及第三者影响"/>
      <w:bookmarkEnd w:id="237"/>
      <w:bookmarkStart w:id="238" w:name="8.7_对区域社会环境效益影响"/>
      <w:bookmarkEnd w:id="238"/>
      <w:bookmarkStart w:id="239" w:name="_bookmark40"/>
      <w:bookmarkEnd w:id="239"/>
      <w:bookmarkStart w:id="240" w:name="_bookmark38"/>
      <w:bookmarkEnd w:id="240"/>
      <w:bookmarkStart w:id="241" w:name="8.5_对水功能区水质的影响"/>
      <w:bookmarkEnd w:id="241"/>
      <w:bookmarkStart w:id="242" w:name="8.3_排污口所在河段水功能区情况"/>
      <w:bookmarkEnd w:id="242"/>
      <w:bookmarkStart w:id="243" w:name="_bookmark39"/>
      <w:bookmarkEnd w:id="243"/>
      <w:bookmarkStart w:id="244" w:name="_Toc441"/>
      <w:bookmarkStart w:id="245" w:name="_Toc13904"/>
      <w:r>
        <w:rPr>
          <w:rFonts w:ascii="Times New Roman" w:hAnsi="Times New Roman" w:eastAsia="宋体" w:cs="Times New Roman"/>
          <w:szCs w:val="24"/>
          <w:lang w:eastAsia="zh-CN"/>
        </w:rPr>
        <w:t>8.1.2风险影响分析</w:t>
      </w:r>
      <w:bookmarkEnd w:id="244"/>
      <w:bookmarkEnd w:id="245"/>
    </w:p>
    <w:p w14:paraId="79A2E1B3">
      <w:pPr>
        <w:pStyle w:val="44"/>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1）废水非正常排放影响分析</w:t>
      </w:r>
    </w:p>
    <w:p w14:paraId="5DD2F6C3">
      <w:pPr>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造成污水事故排放的影响因素主要有：</w:t>
      </w:r>
    </w:p>
    <w:p w14:paraId="15B8D9C6">
      <w:pPr>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a）污水处理设备、设施质量问题或养护不当，造成设备、设施故障，导致污水处理效率下降，甚至未处理直接排放。</w:t>
      </w:r>
    </w:p>
    <w:p w14:paraId="36352113">
      <w:pPr>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b）遇停电，则易导致污水未处理直接排放。</w:t>
      </w:r>
    </w:p>
    <w:p w14:paraId="678C17ED">
      <w:pPr>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lang w:eastAsia="zh-CN"/>
        </w:rPr>
      </w:pPr>
      <w:bookmarkStart w:id="246" w:name="_Hlk173223282"/>
      <w:r>
        <w:rPr>
          <w:rFonts w:ascii="Times New Roman" w:hAnsi="Times New Roman" w:eastAsia="宋体" w:cs="Times New Roman"/>
          <w:sz w:val="24"/>
          <w:szCs w:val="24"/>
          <w:lang w:eastAsia="zh-CN"/>
        </w:rPr>
        <w:t>根据预测分析，项目污水非正常排放，</w:t>
      </w:r>
      <w:r>
        <w:rPr>
          <w:rFonts w:hint="eastAsia" w:ascii="Times New Roman" w:hAnsi="Times New Roman" w:eastAsia="宋体" w:cs="Times New Roman"/>
          <w:sz w:val="24"/>
          <w:szCs w:val="24"/>
          <w:lang w:val="en-US" w:eastAsia="zh-CN"/>
        </w:rPr>
        <w:t>青山河</w:t>
      </w:r>
      <w:r>
        <w:rPr>
          <w:rFonts w:ascii="Times New Roman" w:hAnsi="Times New Roman" w:eastAsia="宋体" w:cs="Times New Roman"/>
          <w:sz w:val="24"/>
          <w:szCs w:val="24"/>
          <w:lang w:eastAsia="zh-CN"/>
        </w:rPr>
        <w:t>局部污染物浓度增加，同时非正常排放下，项目污染物排放浓度超过国家污染物排放标准，污染物瞬时排放量超过总量控制指标。因此，为防止废水非正常排放对水体水质造成较大冲击，废水处理站出现故障时，立即关闭排水系统，将废水储存在事故池内，同时停止生产，以限制废水处理站的进水。待事故解除后，将废水分批处理</w:t>
      </w:r>
      <w:r>
        <w:rPr>
          <w:rFonts w:hint="eastAsia" w:ascii="Times New Roman" w:hAnsi="Times New Roman" w:eastAsia="宋体" w:cs="Times New Roman"/>
          <w:sz w:val="24"/>
          <w:szCs w:val="24"/>
          <w:lang w:val="en-US" w:eastAsia="zh-CN"/>
        </w:rPr>
        <w:t>后</w:t>
      </w:r>
      <w:r>
        <w:rPr>
          <w:rFonts w:ascii="Times New Roman" w:hAnsi="Times New Roman" w:eastAsia="宋体" w:cs="Times New Roman"/>
          <w:sz w:val="24"/>
          <w:szCs w:val="24"/>
          <w:lang w:eastAsia="zh-CN"/>
        </w:rPr>
        <w:t>外排</w:t>
      </w:r>
      <w:bookmarkEnd w:id="246"/>
      <w:r>
        <w:rPr>
          <w:rFonts w:ascii="Times New Roman" w:hAnsi="Times New Roman" w:eastAsia="宋体" w:cs="Times New Roman"/>
          <w:sz w:val="24"/>
          <w:szCs w:val="24"/>
          <w:lang w:eastAsia="zh-CN"/>
        </w:rPr>
        <w:t>。</w:t>
      </w:r>
    </w:p>
    <w:p w14:paraId="79ABD84E">
      <w:pPr>
        <w:pStyle w:val="44"/>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u w:val="single"/>
          <w:lang w:eastAsia="zh-CN"/>
        </w:rPr>
      </w:pPr>
      <w:r>
        <w:rPr>
          <w:rFonts w:ascii="Times New Roman" w:hAnsi="Times New Roman" w:eastAsia="宋体" w:cs="Times New Roman"/>
          <w:sz w:val="24"/>
          <w:szCs w:val="24"/>
          <w:u w:val="single"/>
          <w:lang w:eastAsia="zh-CN"/>
        </w:rPr>
        <w:t xml:space="preserve">2）泄漏事件影响分析  </w:t>
      </w:r>
    </w:p>
    <w:p w14:paraId="66D02AF2">
      <w:pPr>
        <w:pStyle w:val="44"/>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u w:val="single"/>
          <w:lang w:eastAsia="zh-CN"/>
        </w:rPr>
      </w:pPr>
      <w:r>
        <w:rPr>
          <w:rFonts w:ascii="Times New Roman" w:hAnsi="Times New Roman" w:eastAsia="宋体" w:cs="Times New Roman"/>
          <w:sz w:val="24"/>
          <w:szCs w:val="24"/>
          <w:u w:val="single"/>
          <w:lang w:eastAsia="zh-CN"/>
        </w:rPr>
        <w:t>废水处理设施及污水管道可能因工人操作失误、人为破坏等原因发生破裂或渗漏风险事件。</w:t>
      </w:r>
    </w:p>
    <w:p w14:paraId="499EA300">
      <w:pPr>
        <w:pStyle w:val="44"/>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u w:val="single"/>
          <w:lang w:eastAsia="zh-CN"/>
        </w:rPr>
      </w:pPr>
      <w:r>
        <w:rPr>
          <w:rFonts w:hint="eastAsia" w:ascii="Times New Roman" w:hAnsi="Times New Roman" w:eastAsia="宋体" w:cs="Times New Roman"/>
          <w:sz w:val="24"/>
          <w:szCs w:val="24"/>
          <w:u w:val="single"/>
          <w:lang w:val="en-US" w:eastAsia="zh-CN"/>
        </w:rPr>
        <w:t>厂区内</w:t>
      </w:r>
      <w:r>
        <w:rPr>
          <w:rFonts w:ascii="Times New Roman" w:hAnsi="Times New Roman" w:eastAsia="宋体" w:cs="Times New Roman"/>
          <w:sz w:val="24"/>
          <w:szCs w:val="24"/>
          <w:u w:val="single"/>
          <w:lang w:eastAsia="zh-CN"/>
        </w:rPr>
        <w:t>废水处理设施及污水管道发生破裂或渗漏，</w:t>
      </w:r>
      <w:r>
        <w:rPr>
          <w:rFonts w:hint="eastAsia" w:ascii="Times New Roman" w:hAnsi="Times New Roman" w:eastAsia="宋体" w:cs="Times New Roman"/>
          <w:sz w:val="24"/>
          <w:szCs w:val="24"/>
          <w:u w:val="single"/>
          <w:lang w:val="en-US" w:eastAsia="zh-CN"/>
        </w:rPr>
        <w:t>废水</w:t>
      </w:r>
      <w:r>
        <w:rPr>
          <w:rFonts w:ascii="Times New Roman" w:hAnsi="Times New Roman" w:eastAsia="宋体" w:cs="Times New Roman"/>
          <w:sz w:val="24"/>
          <w:szCs w:val="24"/>
          <w:u w:val="single"/>
          <w:lang w:eastAsia="zh-CN"/>
        </w:rPr>
        <w:t>进入土壤，渗入地下，会对地下水造成一定的污染，冒出地面水可能在死角处汇集滋生蚊虫、散发恶臭，对环境空气产生影响。</w:t>
      </w:r>
    </w:p>
    <w:p w14:paraId="2725FB4B">
      <w:pPr>
        <w:pStyle w:val="44"/>
        <w:pageBreakBefore w:val="0"/>
        <w:wordWrap/>
        <w:overflowPunct/>
        <w:topLinePunct w:val="0"/>
        <w:bidi w:val="0"/>
        <w:adjustRightInd/>
        <w:snapToGrid w:val="0"/>
        <w:spacing w:line="360" w:lineRule="auto"/>
        <w:ind w:firstLine="480" w:firstLineChars="200"/>
        <w:contextualSpacing/>
        <w:jc w:val="both"/>
        <w:rPr>
          <w:rFonts w:hint="default" w:ascii="Times New Roman" w:hAnsi="Times New Roman" w:eastAsia="宋体" w:cs="Times New Roman"/>
          <w:sz w:val="24"/>
          <w:szCs w:val="24"/>
          <w:u w:val="single"/>
          <w:lang w:val="en-US" w:eastAsia="zh-CN"/>
        </w:rPr>
      </w:pPr>
      <w:r>
        <w:rPr>
          <w:rFonts w:hint="eastAsia" w:ascii="Times New Roman" w:hAnsi="Times New Roman" w:eastAsia="宋体" w:cs="Times New Roman"/>
          <w:sz w:val="24"/>
          <w:szCs w:val="24"/>
          <w:u w:val="single"/>
          <w:lang w:val="en-US" w:eastAsia="zh-CN"/>
        </w:rPr>
        <w:t>废水埋管发生破裂或渗漏，造成地表漫流，直接流入周边地表水，对地表水造成一定的影响；废水</w:t>
      </w:r>
      <w:r>
        <w:rPr>
          <w:rFonts w:ascii="Times New Roman" w:hAnsi="Times New Roman" w:eastAsia="宋体" w:cs="Times New Roman"/>
          <w:sz w:val="24"/>
          <w:szCs w:val="24"/>
          <w:u w:val="single"/>
          <w:lang w:eastAsia="zh-CN"/>
        </w:rPr>
        <w:t>进入土壤，渗入地下，会对地下水造成一定的污染</w:t>
      </w:r>
      <w:r>
        <w:rPr>
          <w:rFonts w:hint="eastAsia" w:ascii="Times New Roman" w:hAnsi="Times New Roman" w:eastAsia="宋体" w:cs="Times New Roman"/>
          <w:sz w:val="24"/>
          <w:szCs w:val="24"/>
          <w:u w:val="single"/>
          <w:lang w:eastAsia="zh-CN"/>
        </w:rPr>
        <w:t>。</w:t>
      </w:r>
    </w:p>
    <w:p w14:paraId="2A93CF0D">
      <w:pPr>
        <w:pStyle w:val="44"/>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3）其他风险事件分析</w:t>
      </w:r>
    </w:p>
    <w:p w14:paraId="3B3336A3">
      <w:pPr>
        <w:pStyle w:val="44"/>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lang w:eastAsia="zh-CN"/>
        </w:rPr>
        <w:instrText xml:space="preserve"> = 1 \* GB3 \* MERGEFORMAT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lang w:eastAsia="zh-CN"/>
        </w:rPr>
        <w:t>①</w:t>
      </w:r>
      <w:r>
        <w:rPr>
          <w:rFonts w:ascii="Times New Roman" w:hAnsi="Times New Roman" w:eastAsia="宋体" w:cs="Times New Roman"/>
          <w:sz w:val="24"/>
          <w:szCs w:val="24"/>
        </w:rPr>
        <w:fldChar w:fldCharType="end"/>
      </w:r>
      <w:r>
        <w:rPr>
          <w:rFonts w:ascii="Times New Roman" w:hAnsi="Times New Roman" w:eastAsia="宋体" w:cs="Times New Roman"/>
          <w:sz w:val="24"/>
          <w:szCs w:val="24"/>
          <w:lang w:eastAsia="zh-CN"/>
        </w:rPr>
        <w:t>电力及机械故障</w:t>
      </w:r>
    </w:p>
    <w:p w14:paraId="61768ECD">
      <w:pPr>
        <w:pStyle w:val="44"/>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污水处理站一旦出现机械设施或电力故障即会造成污水处理设施不能正常运行，导致污水事故排放，影响纳污水体水质。</w:t>
      </w:r>
    </w:p>
    <w:p w14:paraId="75CA4EEC">
      <w:pPr>
        <w:pStyle w:val="44"/>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本污水设计中供电来源于电网，机械设备选型采用先进产品，其自控水平很高，因此由于电力、机械故障造成的事故几率很低。</w:t>
      </w:r>
    </w:p>
    <w:p w14:paraId="5281D9E0">
      <w:pPr>
        <w:pStyle w:val="44"/>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lang w:eastAsia="zh-CN"/>
        </w:rPr>
        <w:instrText xml:space="preserve"> = 2 \* GB3 \* MERGEFORMAT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lang w:eastAsia="zh-CN"/>
        </w:rPr>
        <w:t>②</w:t>
      </w:r>
      <w:r>
        <w:rPr>
          <w:rFonts w:ascii="Times New Roman" w:hAnsi="Times New Roman" w:eastAsia="宋体" w:cs="Times New Roman"/>
          <w:sz w:val="24"/>
          <w:szCs w:val="24"/>
        </w:rPr>
        <w:fldChar w:fldCharType="end"/>
      </w:r>
      <w:r>
        <w:rPr>
          <w:rFonts w:ascii="Times New Roman" w:hAnsi="Times New Roman" w:eastAsia="宋体" w:cs="Times New Roman"/>
          <w:sz w:val="24"/>
          <w:szCs w:val="24"/>
          <w:lang w:eastAsia="zh-CN"/>
        </w:rPr>
        <w:t>场内污水处理站停车检修</w:t>
      </w:r>
    </w:p>
    <w:p w14:paraId="41BFD686">
      <w:pPr>
        <w:pStyle w:val="44"/>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在维护污水系统正常运行过程中产生的维修风险，可能会给维护系统的工作人员带来较大的健康损害。当污水系统某一构筑物出现运行异常，必须立即予以排除，此时需操作人员进入井下操作；污水中的各类以气体形式存在的有毒污染物质会产生劳动安全上的危害风险。</w:t>
      </w:r>
    </w:p>
    <w:p w14:paraId="5F4EC16C">
      <w:pPr>
        <w:pStyle w:val="44"/>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lang w:eastAsia="zh-CN"/>
        </w:rPr>
        <w:instrText xml:space="preserve"> = 3 \* GB3 \* MERGEFORMAT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lang w:eastAsia="zh-CN"/>
        </w:rPr>
        <w:t>③</w:t>
      </w:r>
      <w:r>
        <w:rPr>
          <w:rFonts w:ascii="Times New Roman" w:hAnsi="Times New Roman" w:eastAsia="宋体" w:cs="Times New Roman"/>
          <w:sz w:val="24"/>
          <w:szCs w:val="24"/>
        </w:rPr>
        <w:fldChar w:fldCharType="end"/>
      </w:r>
      <w:r>
        <w:rPr>
          <w:rFonts w:ascii="Times New Roman" w:hAnsi="Times New Roman" w:eastAsia="宋体" w:cs="Times New Roman"/>
          <w:sz w:val="24"/>
          <w:szCs w:val="24"/>
          <w:lang w:eastAsia="zh-CN"/>
        </w:rPr>
        <w:t>污泥的影响</w:t>
      </w:r>
    </w:p>
    <w:p w14:paraId="10A79488">
      <w:pPr>
        <w:pStyle w:val="44"/>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污泥中含有一定有机物、微生物及其它污染物质，如不进行及时、恰当的处置，将可能散发臭气，或随地表径流进入地表水体，对环境造成二次污染，对人体健康产生危害。</w:t>
      </w:r>
    </w:p>
    <w:p w14:paraId="3EB19B5D">
      <w:pPr>
        <w:pStyle w:val="44"/>
        <w:pageBreakBefore w:val="0"/>
        <w:wordWrap/>
        <w:overflowPunct/>
        <w:topLinePunct w:val="0"/>
        <w:bidi w:val="0"/>
        <w:adjustRightInd/>
        <w:snapToGrid w:val="0"/>
        <w:spacing w:line="360" w:lineRule="auto"/>
        <w:ind w:firstLine="480" w:firstLineChars="200"/>
        <w:contextualSpacing/>
        <w:jc w:val="both"/>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此外，若污染无法及时清运处理，污泥长时间未经处理放置，易引起污泥发酵，出现污泥分层、发泡、散发恶臭气体等现象。</w:t>
      </w:r>
    </w:p>
    <w:p w14:paraId="325F0B12">
      <w:pPr>
        <w:pStyle w:val="63"/>
        <w:pageBreakBefore w:val="0"/>
        <w:widowControl/>
        <w:numPr>
          <w:ilvl w:val="0"/>
          <w:numId w:val="0"/>
        </w:numPr>
        <w:kinsoku w:val="0"/>
        <w:wordWrap/>
        <w:overflowPunct/>
        <w:topLinePunct w:val="0"/>
        <w:autoSpaceDE w:val="0"/>
        <w:autoSpaceDN w:val="0"/>
        <w:bidi w:val="0"/>
        <w:snapToGrid w:val="0"/>
        <w:spacing w:beforeLines="0" w:line="360" w:lineRule="auto"/>
        <w:jc w:val="both"/>
        <w:textAlignment w:val="baseline"/>
        <w:rPr>
          <w:rFonts w:hint="default" w:ascii="Times New Roman" w:hAnsi="Times New Roman" w:eastAsia="宋体" w:cs="Times New Roman"/>
          <w:color w:val="auto"/>
          <w:sz w:val="28"/>
          <w:szCs w:val="28"/>
          <w:highlight w:val="none"/>
          <w:u w:val="single" w:color="auto"/>
          <w:lang w:val="zh-CN" w:eastAsia="zh-CN"/>
        </w:rPr>
      </w:pPr>
      <w:bookmarkStart w:id="247" w:name="_Toc7372"/>
      <w:bookmarkStart w:id="248" w:name="_Toc173593072"/>
      <w:bookmarkStart w:id="249" w:name="_Toc5210"/>
      <w:bookmarkStart w:id="250" w:name="_Toc25605"/>
      <w:bookmarkStart w:id="251" w:name="_Toc31412"/>
      <w:r>
        <w:rPr>
          <w:rFonts w:hint="eastAsia" w:ascii="Times New Roman" w:hAnsi="Times New Roman" w:eastAsia="宋体" w:cs="Times New Roman"/>
          <w:color w:val="auto"/>
          <w:sz w:val="28"/>
          <w:szCs w:val="28"/>
          <w:highlight w:val="none"/>
          <w:u w:val="single" w:color="auto"/>
          <w:lang w:val="en-US" w:eastAsia="zh-CN"/>
        </w:rPr>
        <w:t>8.</w:t>
      </w:r>
      <w:r>
        <w:rPr>
          <w:rFonts w:hint="eastAsia" w:ascii="Times New Roman" w:hAnsi="Times New Roman" w:cs="Times New Roman"/>
          <w:color w:val="auto"/>
          <w:sz w:val="28"/>
          <w:szCs w:val="28"/>
          <w:highlight w:val="none"/>
          <w:u w:val="single" w:color="auto"/>
          <w:lang w:val="en-US" w:eastAsia="zh-CN"/>
        </w:rPr>
        <w:t>2</w:t>
      </w:r>
      <w:r>
        <w:rPr>
          <w:rFonts w:hint="default" w:ascii="Times New Roman" w:hAnsi="Times New Roman" w:eastAsia="宋体" w:cs="Times New Roman"/>
          <w:color w:val="auto"/>
          <w:sz w:val="28"/>
          <w:szCs w:val="28"/>
          <w:highlight w:val="none"/>
          <w:u w:val="single" w:color="auto"/>
          <w:lang w:val="zh-CN" w:eastAsia="zh-CN"/>
        </w:rPr>
        <w:t>风险防范措施</w:t>
      </w:r>
      <w:bookmarkEnd w:id="247"/>
      <w:bookmarkEnd w:id="248"/>
      <w:bookmarkEnd w:id="249"/>
      <w:bookmarkEnd w:id="250"/>
      <w:bookmarkEnd w:id="251"/>
    </w:p>
    <w:p w14:paraId="616A0F1D">
      <w:pPr>
        <w:pStyle w:val="4"/>
        <w:pageBreakBefore w:val="0"/>
        <w:widowControl/>
        <w:kinsoku w:val="0"/>
        <w:wordWrap/>
        <w:overflowPunct/>
        <w:topLinePunct w:val="0"/>
        <w:autoSpaceDE w:val="0"/>
        <w:autoSpaceDN w:val="0"/>
        <w:bidi w:val="0"/>
        <w:adjustRightInd/>
        <w:snapToGrid w:val="0"/>
        <w:spacing w:before="0" w:after="0" w:line="360" w:lineRule="auto"/>
        <w:contextualSpacing/>
        <w:jc w:val="both"/>
        <w:textAlignment w:val="baseline"/>
        <w:rPr>
          <w:rFonts w:ascii="Times New Roman" w:hAnsi="Times New Roman" w:eastAsia="宋体" w:cs="Times New Roman"/>
          <w:szCs w:val="24"/>
          <w:u w:val="single" w:color="auto"/>
          <w:lang w:eastAsia="zh-CN"/>
        </w:rPr>
      </w:pPr>
      <w:bookmarkStart w:id="252" w:name="_Toc8651"/>
      <w:bookmarkStart w:id="253" w:name="_Toc24191"/>
      <w:r>
        <w:rPr>
          <w:rFonts w:hint="eastAsia" w:ascii="Times New Roman" w:hAnsi="Times New Roman" w:eastAsia="宋体" w:cs="Times New Roman"/>
          <w:szCs w:val="24"/>
          <w:u w:val="single" w:color="auto"/>
          <w:lang w:val="en-US" w:eastAsia="zh-CN"/>
        </w:rPr>
        <w:t>8.2.1</w:t>
      </w:r>
      <w:r>
        <w:rPr>
          <w:rFonts w:ascii="Times New Roman" w:hAnsi="Times New Roman" w:eastAsia="宋体" w:cs="Times New Roman"/>
          <w:szCs w:val="24"/>
          <w:u w:val="single" w:color="auto"/>
          <w:lang w:eastAsia="zh-CN"/>
        </w:rPr>
        <w:t>污水非正常排放的防范措施</w:t>
      </w:r>
      <w:bookmarkEnd w:id="252"/>
      <w:bookmarkEnd w:id="253"/>
    </w:p>
    <w:p w14:paraId="3167C92D">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ascii="Times New Roman" w:hAnsi="Times New Roman" w:eastAsia="宋体" w:cs="Times New Roman"/>
          <w:color w:val="auto"/>
          <w:sz w:val="24"/>
          <w:szCs w:val="24"/>
          <w:u w:val="single" w:color="auto"/>
          <w:lang w:eastAsia="zh-CN"/>
        </w:rPr>
      </w:pPr>
      <w:r>
        <w:rPr>
          <w:rFonts w:ascii="Times New Roman" w:hAnsi="Times New Roman" w:eastAsia="宋体" w:cs="Times New Roman"/>
          <w:color w:val="auto"/>
          <w:sz w:val="24"/>
          <w:szCs w:val="24"/>
          <w:u w:val="single" w:color="auto"/>
        </w:rPr>
        <w:fldChar w:fldCharType="begin"/>
      </w:r>
      <w:r>
        <w:rPr>
          <w:rFonts w:ascii="Times New Roman" w:hAnsi="Times New Roman" w:eastAsia="宋体" w:cs="Times New Roman"/>
          <w:color w:val="auto"/>
          <w:sz w:val="24"/>
          <w:szCs w:val="24"/>
          <w:u w:val="single" w:color="auto"/>
          <w:lang w:eastAsia="zh-CN"/>
        </w:rPr>
        <w:instrText xml:space="preserve"> = 1 \* GB3 \* MERGEFORMAT </w:instrText>
      </w:r>
      <w:r>
        <w:rPr>
          <w:rFonts w:ascii="Times New Roman" w:hAnsi="Times New Roman" w:eastAsia="宋体" w:cs="Times New Roman"/>
          <w:color w:val="auto"/>
          <w:sz w:val="24"/>
          <w:szCs w:val="24"/>
          <w:u w:val="single" w:color="auto"/>
        </w:rPr>
        <w:fldChar w:fldCharType="separate"/>
      </w:r>
      <w:r>
        <w:rPr>
          <w:rFonts w:ascii="Times New Roman" w:hAnsi="Times New Roman" w:eastAsia="宋体" w:cs="Times New Roman"/>
          <w:color w:val="auto"/>
          <w:sz w:val="24"/>
          <w:szCs w:val="24"/>
          <w:u w:val="single" w:color="auto"/>
          <w:lang w:eastAsia="zh-CN"/>
        </w:rPr>
        <w:t>①</w:t>
      </w:r>
      <w:r>
        <w:rPr>
          <w:rFonts w:ascii="Times New Roman" w:hAnsi="Times New Roman" w:eastAsia="宋体" w:cs="Times New Roman"/>
          <w:color w:val="auto"/>
          <w:sz w:val="24"/>
          <w:szCs w:val="24"/>
          <w:u w:val="single" w:color="auto"/>
        </w:rPr>
        <w:fldChar w:fldCharType="end"/>
      </w:r>
      <w:r>
        <w:rPr>
          <w:rFonts w:ascii="Times New Roman" w:hAnsi="Times New Roman" w:eastAsia="宋体" w:cs="Times New Roman"/>
          <w:color w:val="auto"/>
          <w:sz w:val="24"/>
          <w:szCs w:val="24"/>
          <w:u w:val="single" w:color="auto"/>
          <w:lang w:eastAsia="zh-CN"/>
        </w:rPr>
        <w:t>污水处理站水泵设计考虑备用，机械设备采用性能可靠优质产品。</w:t>
      </w:r>
    </w:p>
    <w:p w14:paraId="3EE8CE1C">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ascii="Times New Roman" w:hAnsi="Times New Roman" w:eastAsia="宋体" w:cs="Times New Roman"/>
          <w:color w:val="auto"/>
          <w:sz w:val="24"/>
          <w:szCs w:val="24"/>
          <w:u w:val="single" w:color="auto"/>
        </w:rPr>
        <w:fldChar w:fldCharType="begin"/>
      </w:r>
      <w:r>
        <w:rPr>
          <w:rFonts w:ascii="Times New Roman" w:hAnsi="Times New Roman" w:eastAsia="宋体" w:cs="Times New Roman"/>
          <w:color w:val="auto"/>
          <w:sz w:val="24"/>
          <w:szCs w:val="24"/>
          <w:u w:val="single" w:color="auto"/>
          <w:lang w:eastAsia="zh-CN"/>
        </w:rPr>
        <w:instrText xml:space="preserve"> = 2 \* GB3 \* MERGEFORMAT </w:instrText>
      </w:r>
      <w:r>
        <w:rPr>
          <w:rFonts w:ascii="Times New Roman" w:hAnsi="Times New Roman" w:eastAsia="宋体" w:cs="Times New Roman"/>
          <w:color w:val="auto"/>
          <w:sz w:val="24"/>
          <w:szCs w:val="24"/>
          <w:u w:val="single" w:color="auto"/>
        </w:rPr>
        <w:fldChar w:fldCharType="separate"/>
      </w:r>
      <w:r>
        <w:rPr>
          <w:rFonts w:ascii="Times New Roman" w:hAnsi="Times New Roman" w:eastAsia="宋体" w:cs="Times New Roman"/>
          <w:color w:val="auto"/>
          <w:sz w:val="24"/>
          <w:szCs w:val="24"/>
          <w:u w:val="single" w:color="auto"/>
          <w:lang w:eastAsia="zh-CN"/>
        </w:rPr>
        <w:t>②</w:t>
      </w:r>
      <w:r>
        <w:rPr>
          <w:rFonts w:ascii="Times New Roman" w:hAnsi="Times New Roman" w:eastAsia="宋体" w:cs="Times New Roman"/>
          <w:color w:val="auto"/>
          <w:sz w:val="24"/>
          <w:szCs w:val="24"/>
          <w:u w:val="single" w:color="auto"/>
        </w:rPr>
        <w:fldChar w:fldCharType="end"/>
      </w:r>
      <w:r>
        <w:rPr>
          <w:rFonts w:ascii="Times New Roman" w:hAnsi="Times New Roman" w:eastAsia="宋体" w:cs="Times New Roman"/>
          <w:color w:val="auto"/>
          <w:sz w:val="24"/>
          <w:szCs w:val="24"/>
          <w:u w:val="single" w:color="auto"/>
          <w:lang w:eastAsia="zh-CN"/>
        </w:rPr>
        <w:t>为使在事故状态下污水处理站能迅速恢复正常运行，主要水工建筑物容积应留有相应的缓冲能力，并配有相应设备（如回流泵、回流管道、阀门及仪表等）</w:t>
      </w:r>
      <w:r>
        <w:rPr>
          <w:rFonts w:hint="eastAsia" w:ascii="Times New Roman" w:hAnsi="Times New Roman" w:eastAsia="宋体" w:cs="Times New Roman"/>
          <w:color w:val="auto"/>
          <w:sz w:val="24"/>
          <w:szCs w:val="24"/>
          <w:u w:val="single" w:color="auto"/>
          <w:lang w:eastAsia="zh-CN"/>
        </w:rPr>
        <w:t>，</w:t>
      </w:r>
      <w:r>
        <w:rPr>
          <w:rFonts w:hint="eastAsia" w:ascii="Times New Roman" w:hAnsi="Times New Roman" w:eastAsia="宋体" w:cs="Times New Roman"/>
          <w:color w:val="auto"/>
          <w:sz w:val="24"/>
          <w:szCs w:val="24"/>
          <w:u w:val="single" w:color="auto"/>
          <w:lang w:val="en-US" w:eastAsia="zh-CN"/>
        </w:rPr>
        <w:t>污水处理设施拟配备30m</w:t>
      </w:r>
      <w:r>
        <w:rPr>
          <w:rFonts w:hint="eastAsia" w:ascii="Times New Roman" w:hAnsi="Times New Roman" w:eastAsia="宋体" w:cs="Times New Roman"/>
          <w:color w:val="auto"/>
          <w:sz w:val="24"/>
          <w:szCs w:val="24"/>
          <w:u w:val="single" w:color="auto"/>
          <w:vertAlign w:val="superscript"/>
          <w:lang w:val="en-US" w:eastAsia="zh-CN"/>
        </w:rPr>
        <w:t>3</w:t>
      </w:r>
      <w:r>
        <w:rPr>
          <w:rFonts w:hint="eastAsia" w:ascii="Times New Roman" w:hAnsi="Times New Roman" w:eastAsia="宋体" w:cs="Times New Roman"/>
          <w:color w:val="auto"/>
          <w:sz w:val="24"/>
          <w:szCs w:val="24"/>
          <w:u w:val="single" w:color="auto"/>
          <w:vertAlign w:val="baseline"/>
          <w:lang w:val="en-US" w:eastAsia="zh-CN"/>
        </w:rPr>
        <w:t>应急事故池</w:t>
      </w:r>
      <w:r>
        <w:rPr>
          <w:rFonts w:hint="eastAsia" w:ascii="Times New Roman" w:hAnsi="Times New Roman" w:eastAsia="宋体" w:cs="Times New Roman"/>
          <w:color w:val="auto"/>
          <w:sz w:val="24"/>
          <w:szCs w:val="24"/>
          <w:u w:val="single" w:color="auto"/>
          <w:lang w:val="en-US" w:eastAsia="zh-CN"/>
        </w:rPr>
        <w:t>，项目废水排放量为9.25m</w:t>
      </w:r>
      <w:r>
        <w:rPr>
          <w:rFonts w:hint="eastAsia" w:ascii="Times New Roman" w:hAnsi="Times New Roman" w:eastAsia="宋体" w:cs="Times New Roman"/>
          <w:color w:val="auto"/>
          <w:sz w:val="24"/>
          <w:szCs w:val="24"/>
          <w:u w:val="single" w:color="auto"/>
          <w:vertAlign w:val="superscript"/>
          <w:lang w:val="en-US" w:eastAsia="zh-CN"/>
        </w:rPr>
        <w:t>3</w:t>
      </w:r>
      <w:r>
        <w:rPr>
          <w:rFonts w:hint="eastAsia" w:ascii="Times New Roman" w:hAnsi="Times New Roman" w:eastAsia="宋体" w:cs="Times New Roman"/>
          <w:color w:val="auto"/>
          <w:sz w:val="24"/>
          <w:szCs w:val="24"/>
          <w:u w:val="single" w:color="auto"/>
          <w:lang w:val="en-US" w:eastAsia="zh-CN"/>
        </w:rPr>
        <w:t>/d，应急状态下能储存3天事故废水，应急事故池大小可行。废水经应急事故池暂存后经污水处理设施处理达标后再进行排放。</w:t>
      </w:r>
    </w:p>
    <w:p w14:paraId="469DD05A">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ascii="Times New Roman" w:hAnsi="Times New Roman" w:eastAsia="宋体" w:cs="Times New Roman"/>
          <w:color w:val="auto"/>
          <w:sz w:val="24"/>
          <w:szCs w:val="24"/>
          <w:u w:val="single" w:color="auto"/>
          <w:lang w:eastAsia="zh-CN"/>
        </w:rPr>
      </w:pPr>
      <w:r>
        <w:rPr>
          <w:rFonts w:ascii="Times New Roman" w:hAnsi="Times New Roman" w:eastAsia="宋体" w:cs="Times New Roman"/>
          <w:color w:val="auto"/>
          <w:sz w:val="24"/>
          <w:szCs w:val="24"/>
          <w:u w:val="single" w:color="auto"/>
        </w:rPr>
        <w:fldChar w:fldCharType="begin"/>
      </w:r>
      <w:r>
        <w:rPr>
          <w:rFonts w:ascii="Times New Roman" w:hAnsi="Times New Roman" w:eastAsia="宋体" w:cs="Times New Roman"/>
          <w:color w:val="auto"/>
          <w:sz w:val="24"/>
          <w:szCs w:val="24"/>
          <w:u w:val="single" w:color="auto"/>
          <w:lang w:eastAsia="zh-CN"/>
        </w:rPr>
        <w:instrText xml:space="preserve"> = 3 \* GB3 \* MERGEFORMAT </w:instrText>
      </w:r>
      <w:r>
        <w:rPr>
          <w:rFonts w:ascii="Times New Roman" w:hAnsi="Times New Roman" w:eastAsia="宋体" w:cs="Times New Roman"/>
          <w:color w:val="auto"/>
          <w:sz w:val="24"/>
          <w:szCs w:val="24"/>
          <w:u w:val="single" w:color="auto"/>
        </w:rPr>
        <w:fldChar w:fldCharType="separate"/>
      </w:r>
      <w:r>
        <w:rPr>
          <w:rFonts w:ascii="Times New Roman" w:hAnsi="Times New Roman" w:eastAsia="宋体" w:cs="Times New Roman"/>
          <w:color w:val="auto"/>
          <w:sz w:val="24"/>
          <w:szCs w:val="24"/>
          <w:u w:val="single" w:color="auto"/>
          <w:lang w:eastAsia="zh-CN"/>
        </w:rPr>
        <w:t>③</w:t>
      </w:r>
      <w:r>
        <w:rPr>
          <w:rFonts w:ascii="Times New Roman" w:hAnsi="Times New Roman" w:eastAsia="宋体" w:cs="Times New Roman"/>
          <w:color w:val="auto"/>
          <w:sz w:val="24"/>
          <w:szCs w:val="24"/>
          <w:u w:val="single" w:color="auto"/>
        </w:rPr>
        <w:fldChar w:fldCharType="end"/>
      </w:r>
      <w:r>
        <w:rPr>
          <w:rFonts w:ascii="Times New Roman" w:hAnsi="Times New Roman" w:eastAsia="宋体" w:cs="Times New Roman"/>
          <w:color w:val="auto"/>
          <w:sz w:val="24"/>
          <w:szCs w:val="24"/>
          <w:u w:val="single" w:color="auto"/>
          <w:lang w:eastAsia="zh-CN"/>
        </w:rPr>
        <w:t>选用优质设备，对污水处理站机械电器、仪表等设备，必须选择质量优良、事故率低、便于维修的产品。关键设备应一备一用，易损部件要有备用件，在出现事故时能及时更换。</w:t>
      </w:r>
    </w:p>
    <w:p w14:paraId="4A98FFCE">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ascii="Times New Roman" w:hAnsi="Times New Roman" w:eastAsia="宋体" w:cs="Times New Roman"/>
          <w:color w:val="auto"/>
          <w:sz w:val="24"/>
          <w:szCs w:val="24"/>
          <w:u w:val="single" w:color="auto"/>
          <w:lang w:eastAsia="zh-CN"/>
        </w:rPr>
      </w:pPr>
      <w:r>
        <w:rPr>
          <w:rFonts w:ascii="Times New Roman" w:hAnsi="Times New Roman" w:eastAsia="宋体" w:cs="Times New Roman"/>
          <w:color w:val="auto"/>
          <w:sz w:val="24"/>
          <w:szCs w:val="24"/>
          <w:u w:val="single" w:color="auto"/>
        </w:rPr>
        <w:fldChar w:fldCharType="begin"/>
      </w:r>
      <w:r>
        <w:rPr>
          <w:rFonts w:ascii="Times New Roman" w:hAnsi="Times New Roman" w:eastAsia="宋体" w:cs="Times New Roman"/>
          <w:color w:val="auto"/>
          <w:sz w:val="24"/>
          <w:szCs w:val="24"/>
          <w:u w:val="single" w:color="auto"/>
          <w:lang w:eastAsia="zh-CN"/>
        </w:rPr>
        <w:instrText xml:space="preserve"> = 4 \* GB3 \* MERGEFORMAT </w:instrText>
      </w:r>
      <w:r>
        <w:rPr>
          <w:rFonts w:ascii="Times New Roman" w:hAnsi="Times New Roman" w:eastAsia="宋体" w:cs="Times New Roman"/>
          <w:color w:val="auto"/>
          <w:sz w:val="24"/>
          <w:szCs w:val="24"/>
          <w:u w:val="single" w:color="auto"/>
        </w:rPr>
        <w:fldChar w:fldCharType="separate"/>
      </w:r>
      <w:r>
        <w:rPr>
          <w:rFonts w:ascii="Times New Roman" w:hAnsi="Times New Roman" w:eastAsia="宋体" w:cs="Times New Roman"/>
          <w:color w:val="auto"/>
          <w:sz w:val="24"/>
          <w:szCs w:val="24"/>
          <w:u w:val="single" w:color="auto"/>
          <w:lang w:eastAsia="zh-CN"/>
        </w:rPr>
        <w:t>④</w:t>
      </w:r>
      <w:r>
        <w:rPr>
          <w:rFonts w:ascii="Times New Roman" w:hAnsi="Times New Roman" w:eastAsia="宋体" w:cs="Times New Roman"/>
          <w:color w:val="auto"/>
          <w:sz w:val="24"/>
          <w:szCs w:val="24"/>
          <w:u w:val="single" w:color="auto"/>
        </w:rPr>
        <w:fldChar w:fldCharType="end"/>
      </w:r>
      <w:r>
        <w:rPr>
          <w:rFonts w:ascii="Times New Roman" w:hAnsi="Times New Roman" w:eastAsia="宋体" w:cs="Times New Roman"/>
          <w:color w:val="auto"/>
          <w:sz w:val="24"/>
          <w:szCs w:val="24"/>
          <w:u w:val="single" w:color="auto"/>
          <w:lang w:eastAsia="zh-CN"/>
        </w:rPr>
        <w:t>加强事故苗头监控，定期巡检、调节、保养、维修。及时发现有可能引起事故的异常运行苗头，消除事故隐患。</w:t>
      </w:r>
    </w:p>
    <w:p w14:paraId="6A05BD36">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ascii="Times New Roman" w:hAnsi="Times New Roman" w:eastAsia="宋体" w:cs="Times New Roman"/>
          <w:color w:val="auto"/>
          <w:sz w:val="24"/>
          <w:szCs w:val="24"/>
          <w:u w:val="single" w:color="auto"/>
          <w:lang w:eastAsia="zh-CN"/>
        </w:rPr>
      </w:pPr>
      <w:r>
        <w:rPr>
          <w:rFonts w:ascii="Times New Roman" w:hAnsi="Times New Roman" w:eastAsia="宋体" w:cs="Times New Roman"/>
          <w:color w:val="auto"/>
          <w:sz w:val="24"/>
          <w:szCs w:val="24"/>
          <w:u w:val="single" w:color="auto"/>
        </w:rPr>
        <w:fldChar w:fldCharType="begin"/>
      </w:r>
      <w:r>
        <w:rPr>
          <w:rFonts w:ascii="Times New Roman" w:hAnsi="Times New Roman" w:eastAsia="宋体" w:cs="Times New Roman"/>
          <w:color w:val="auto"/>
          <w:sz w:val="24"/>
          <w:szCs w:val="24"/>
          <w:u w:val="single" w:color="auto"/>
          <w:lang w:eastAsia="zh-CN"/>
        </w:rPr>
        <w:instrText xml:space="preserve"> = 5 \* GB3 \* MERGEFORMAT </w:instrText>
      </w:r>
      <w:r>
        <w:rPr>
          <w:rFonts w:ascii="Times New Roman" w:hAnsi="Times New Roman" w:eastAsia="宋体" w:cs="Times New Roman"/>
          <w:color w:val="auto"/>
          <w:sz w:val="24"/>
          <w:szCs w:val="24"/>
          <w:u w:val="single" w:color="auto"/>
        </w:rPr>
        <w:fldChar w:fldCharType="separate"/>
      </w:r>
      <w:r>
        <w:rPr>
          <w:rFonts w:ascii="Times New Roman" w:hAnsi="Times New Roman" w:eastAsia="宋体" w:cs="Times New Roman"/>
          <w:color w:val="auto"/>
          <w:sz w:val="24"/>
          <w:szCs w:val="24"/>
          <w:u w:val="single" w:color="auto"/>
          <w:lang w:eastAsia="zh-CN"/>
        </w:rPr>
        <w:t>⑤</w:t>
      </w:r>
      <w:r>
        <w:rPr>
          <w:rFonts w:ascii="Times New Roman" w:hAnsi="Times New Roman" w:eastAsia="宋体" w:cs="Times New Roman"/>
          <w:color w:val="auto"/>
          <w:sz w:val="24"/>
          <w:szCs w:val="24"/>
          <w:u w:val="single" w:color="auto"/>
        </w:rPr>
        <w:fldChar w:fldCharType="end"/>
      </w:r>
      <w:r>
        <w:rPr>
          <w:rFonts w:ascii="Times New Roman" w:hAnsi="Times New Roman" w:eastAsia="宋体" w:cs="Times New Roman"/>
          <w:color w:val="auto"/>
          <w:sz w:val="24"/>
          <w:szCs w:val="24"/>
          <w:u w:val="single" w:color="auto"/>
          <w:lang w:eastAsia="zh-CN"/>
        </w:rPr>
        <w:t>严格控制处理单元的水量、水质、停留时间、负荷强度等工艺参数，确保处理效果的稳定性。操作人员及时调整，使设备处于最佳工况。如发现不正常现象，就需立即采取预防措施。</w:t>
      </w:r>
    </w:p>
    <w:p w14:paraId="7BC2E095">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ascii="Times New Roman" w:hAnsi="Times New Roman" w:eastAsia="宋体" w:cs="Times New Roman"/>
          <w:color w:val="auto"/>
          <w:sz w:val="24"/>
          <w:szCs w:val="24"/>
          <w:u w:val="single" w:color="auto"/>
          <w:lang w:eastAsia="zh-CN"/>
        </w:rPr>
      </w:pPr>
      <w:r>
        <w:rPr>
          <w:rFonts w:ascii="Times New Roman" w:hAnsi="Times New Roman" w:eastAsia="宋体" w:cs="Times New Roman"/>
          <w:color w:val="auto"/>
          <w:sz w:val="24"/>
          <w:szCs w:val="24"/>
          <w:u w:val="single" w:color="auto"/>
        </w:rPr>
        <w:fldChar w:fldCharType="begin"/>
      </w:r>
      <w:r>
        <w:rPr>
          <w:rFonts w:ascii="Times New Roman" w:hAnsi="Times New Roman" w:eastAsia="宋体" w:cs="Times New Roman"/>
          <w:color w:val="auto"/>
          <w:sz w:val="24"/>
          <w:szCs w:val="24"/>
          <w:u w:val="single" w:color="auto"/>
          <w:lang w:eastAsia="zh-CN"/>
        </w:rPr>
        <w:instrText xml:space="preserve"> = 6 \* GB3 \* MERGEFORMAT </w:instrText>
      </w:r>
      <w:r>
        <w:rPr>
          <w:rFonts w:ascii="Times New Roman" w:hAnsi="Times New Roman" w:eastAsia="宋体" w:cs="Times New Roman"/>
          <w:color w:val="auto"/>
          <w:sz w:val="24"/>
          <w:szCs w:val="24"/>
          <w:u w:val="single" w:color="auto"/>
        </w:rPr>
        <w:fldChar w:fldCharType="separate"/>
      </w:r>
      <w:r>
        <w:rPr>
          <w:rFonts w:ascii="Times New Roman" w:hAnsi="Times New Roman" w:eastAsia="宋体" w:cs="Times New Roman"/>
          <w:color w:val="auto"/>
          <w:sz w:val="24"/>
          <w:szCs w:val="24"/>
          <w:u w:val="single" w:color="auto"/>
          <w:lang w:eastAsia="zh-CN"/>
        </w:rPr>
        <w:t>⑥</w:t>
      </w:r>
      <w:r>
        <w:rPr>
          <w:rFonts w:ascii="Times New Roman" w:hAnsi="Times New Roman" w:eastAsia="宋体" w:cs="Times New Roman"/>
          <w:color w:val="auto"/>
          <w:sz w:val="24"/>
          <w:szCs w:val="24"/>
          <w:u w:val="single" w:color="auto"/>
        </w:rPr>
        <w:fldChar w:fldCharType="end"/>
      </w:r>
      <w:r>
        <w:rPr>
          <w:rFonts w:ascii="Times New Roman" w:hAnsi="Times New Roman" w:eastAsia="宋体" w:cs="Times New Roman"/>
          <w:color w:val="auto"/>
          <w:sz w:val="24"/>
          <w:szCs w:val="24"/>
          <w:u w:val="single" w:color="auto"/>
          <w:lang w:eastAsia="zh-CN"/>
        </w:rPr>
        <w:t>建立由厂长负责制的环境管理机构，从上到下建立起环境目标责任制，规范各部门的运行管理。对工作人员进行必要的审查，组织操作人员进行上岗前的专业培训。</w:t>
      </w:r>
    </w:p>
    <w:p w14:paraId="6EC33333">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ascii="Times New Roman" w:hAnsi="Times New Roman" w:eastAsia="宋体" w:cs="Times New Roman"/>
          <w:color w:val="auto"/>
          <w:sz w:val="24"/>
          <w:szCs w:val="24"/>
          <w:u w:val="single" w:color="auto"/>
          <w:lang w:eastAsia="zh-CN"/>
        </w:rPr>
      </w:pPr>
      <w:r>
        <w:rPr>
          <w:rFonts w:ascii="Times New Roman" w:hAnsi="Times New Roman" w:eastAsia="宋体" w:cs="Times New Roman"/>
          <w:color w:val="auto"/>
          <w:sz w:val="24"/>
          <w:szCs w:val="24"/>
          <w:u w:val="single" w:color="auto"/>
        </w:rPr>
        <w:fldChar w:fldCharType="begin"/>
      </w:r>
      <w:r>
        <w:rPr>
          <w:rFonts w:ascii="Times New Roman" w:hAnsi="Times New Roman" w:eastAsia="宋体" w:cs="Times New Roman"/>
          <w:color w:val="auto"/>
          <w:sz w:val="24"/>
          <w:szCs w:val="24"/>
          <w:u w:val="single" w:color="auto"/>
          <w:lang w:eastAsia="zh-CN"/>
        </w:rPr>
        <w:instrText xml:space="preserve"> = 7 \* GB3 \* MERGEFORMAT </w:instrText>
      </w:r>
      <w:r>
        <w:rPr>
          <w:rFonts w:ascii="Times New Roman" w:hAnsi="Times New Roman" w:eastAsia="宋体" w:cs="Times New Roman"/>
          <w:color w:val="auto"/>
          <w:sz w:val="24"/>
          <w:szCs w:val="24"/>
          <w:u w:val="single" w:color="auto"/>
        </w:rPr>
        <w:fldChar w:fldCharType="separate"/>
      </w:r>
      <w:r>
        <w:rPr>
          <w:rFonts w:ascii="Times New Roman" w:hAnsi="Times New Roman" w:eastAsia="宋体" w:cs="Times New Roman"/>
          <w:color w:val="auto"/>
          <w:sz w:val="24"/>
          <w:szCs w:val="24"/>
          <w:u w:val="single" w:color="auto"/>
          <w:lang w:eastAsia="zh-CN"/>
        </w:rPr>
        <w:t>⑦</w:t>
      </w:r>
      <w:r>
        <w:rPr>
          <w:rFonts w:ascii="Times New Roman" w:hAnsi="Times New Roman" w:eastAsia="宋体" w:cs="Times New Roman"/>
          <w:color w:val="auto"/>
          <w:sz w:val="24"/>
          <w:szCs w:val="24"/>
          <w:u w:val="single" w:color="auto"/>
        </w:rPr>
        <w:fldChar w:fldCharType="end"/>
      </w:r>
      <w:r>
        <w:rPr>
          <w:rFonts w:ascii="Times New Roman" w:hAnsi="Times New Roman" w:eastAsia="宋体" w:cs="Times New Roman"/>
          <w:color w:val="auto"/>
          <w:sz w:val="24"/>
          <w:szCs w:val="24"/>
          <w:u w:val="single" w:color="auto"/>
          <w:lang w:eastAsia="zh-CN"/>
        </w:rPr>
        <w:t>主动接受和协助地方环保局和其他相关部门的监督和管理。鼓励公众参与对污水处理站的监督，最大程度减小不正常排放的可能性。加强运行管理和出水的监测工作，未经处理达标的污水严禁外排。</w:t>
      </w:r>
    </w:p>
    <w:p w14:paraId="75B25E55">
      <w:pPr>
        <w:pStyle w:val="4"/>
        <w:pageBreakBefore w:val="0"/>
        <w:widowControl/>
        <w:kinsoku w:val="0"/>
        <w:wordWrap/>
        <w:overflowPunct/>
        <w:topLinePunct w:val="0"/>
        <w:autoSpaceDE w:val="0"/>
        <w:autoSpaceDN w:val="0"/>
        <w:bidi w:val="0"/>
        <w:adjustRightInd/>
        <w:snapToGrid w:val="0"/>
        <w:spacing w:before="0" w:after="0" w:line="360" w:lineRule="auto"/>
        <w:contextualSpacing/>
        <w:jc w:val="both"/>
        <w:textAlignment w:val="baseline"/>
        <w:rPr>
          <w:rFonts w:ascii="Times New Roman" w:hAnsi="Times New Roman" w:eastAsia="宋体" w:cs="Times New Roman"/>
          <w:szCs w:val="24"/>
          <w:u w:val="single" w:color="auto"/>
          <w:lang w:eastAsia="zh-CN"/>
        </w:rPr>
      </w:pPr>
      <w:bookmarkStart w:id="254" w:name="_Toc19121"/>
      <w:bookmarkStart w:id="255" w:name="_Toc32740"/>
      <w:r>
        <w:rPr>
          <w:rFonts w:hint="eastAsia" w:ascii="Times New Roman" w:hAnsi="Times New Roman" w:eastAsia="宋体" w:cs="Times New Roman"/>
          <w:szCs w:val="24"/>
          <w:u w:val="single" w:color="auto"/>
          <w:lang w:val="en-US" w:eastAsia="zh-CN"/>
        </w:rPr>
        <w:t>8.2.2</w:t>
      </w:r>
      <w:r>
        <w:rPr>
          <w:rFonts w:ascii="Times New Roman" w:hAnsi="Times New Roman" w:eastAsia="宋体" w:cs="Times New Roman"/>
          <w:szCs w:val="24"/>
          <w:u w:val="single" w:color="auto"/>
          <w:lang w:eastAsia="zh-CN"/>
        </w:rPr>
        <w:t>泄漏事故风险防范措施</w:t>
      </w:r>
      <w:bookmarkEnd w:id="254"/>
      <w:bookmarkEnd w:id="255"/>
    </w:p>
    <w:p w14:paraId="7E67ECB8">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ascii="Times New Roman" w:hAnsi="Times New Roman" w:eastAsia="宋体" w:cs="Times New Roman"/>
          <w:color w:val="auto"/>
          <w:sz w:val="24"/>
          <w:szCs w:val="24"/>
          <w:u w:val="single" w:color="auto"/>
          <w:lang w:eastAsia="zh-CN"/>
        </w:rPr>
      </w:pPr>
      <w:r>
        <w:rPr>
          <w:rFonts w:ascii="Times New Roman" w:hAnsi="Times New Roman" w:eastAsia="宋体" w:cs="Times New Roman"/>
          <w:color w:val="auto"/>
          <w:sz w:val="24"/>
          <w:szCs w:val="24"/>
          <w:u w:val="single" w:color="auto"/>
          <w:lang w:eastAsia="zh-CN"/>
        </w:rPr>
        <w:t>①严格按照污水处理站建设要求进行防渗建设，确保厂内建构筑物质量可满足生产运行要求。</w:t>
      </w:r>
    </w:p>
    <w:p w14:paraId="19491E63">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ascii="Times New Roman" w:hAnsi="Times New Roman" w:eastAsia="宋体" w:cs="Times New Roman"/>
          <w:color w:val="auto"/>
          <w:sz w:val="24"/>
          <w:szCs w:val="24"/>
          <w:u w:val="single" w:color="auto"/>
          <w:lang w:eastAsia="zh-CN"/>
        </w:rPr>
      </w:pPr>
      <w:r>
        <w:rPr>
          <w:rFonts w:ascii="Times New Roman" w:hAnsi="Times New Roman" w:eastAsia="宋体" w:cs="Times New Roman"/>
          <w:color w:val="auto"/>
          <w:sz w:val="24"/>
          <w:szCs w:val="24"/>
          <w:u w:val="single" w:color="auto"/>
          <w:lang w:eastAsia="zh-CN"/>
        </w:rPr>
        <w:t>②确定排水管道</w:t>
      </w:r>
      <w:r>
        <w:rPr>
          <w:rFonts w:hint="eastAsia" w:ascii="Times New Roman" w:hAnsi="Times New Roman" w:eastAsia="宋体" w:cs="Times New Roman"/>
          <w:color w:val="auto"/>
          <w:sz w:val="24"/>
          <w:szCs w:val="24"/>
          <w:u w:val="single" w:color="auto"/>
          <w:lang w:eastAsia="zh-CN"/>
        </w:rPr>
        <w:t>、</w:t>
      </w:r>
      <w:r>
        <w:rPr>
          <w:rFonts w:hint="eastAsia" w:ascii="Times New Roman" w:hAnsi="Times New Roman" w:eastAsia="宋体" w:cs="Times New Roman"/>
          <w:color w:val="auto"/>
          <w:sz w:val="24"/>
          <w:szCs w:val="24"/>
          <w:u w:val="single" w:color="auto"/>
          <w:lang w:val="en-US" w:eastAsia="zh-CN"/>
        </w:rPr>
        <w:t>污水埋管</w:t>
      </w:r>
      <w:r>
        <w:rPr>
          <w:rFonts w:ascii="Times New Roman" w:hAnsi="Times New Roman" w:eastAsia="宋体" w:cs="Times New Roman"/>
          <w:color w:val="auto"/>
          <w:sz w:val="24"/>
          <w:szCs w:val="24"/>
          <w:u w:val="single" w:color="auto"/>
          <w:lang w:eastAsia="zh-CN"/>
        </w:rPr>
        <w:t>运行维护工程人员，为使管道系统正常运行及定期检修，对专业技术人员和工人进行定向培训，使他们有良好的环境意识，熟悉管道操作规程，了解所使用设备的技术性能和保养、操作方法，熟悉掌握设备的维修。</w:t>
      </w:r>
    </w:p>
    <w:p w14:paraId="6C9248A7">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ascii="Times New Roman" w:hAnsi="Times New Roman" w:eastAsia="宋体" w:cs="Times New Roman"/>
          <w:color w:val="auto"/>
          <w:sz w:val="24"/>
          <w:szCs w:val="24"/>
          <w:u w:val="single" w:color="auto"/>
          <w:lang w:eastAsia="zh-CN"/>
        </w:rPr>
      </w:pPr>
      <w:r>
        <w:rPr>
          <w:rFonts w:ascii="Times New Roman" w:hAnsi="Times New Roman" w:eastAsia="宋体" w:cs="Times New Roman"/>
          <w:color w:val="auto"/>
          <w:sz w:val="24"/>
          <w:szCs w:val="24"/>
          <w:u w:val="single" w:color="auto"/>
          <w:lang w:eastAsia="zh-CN"/>
        </w:rPr>
        <w:t>③当泄漏事故发生后，发现人在最短的时间内向应急事故处理领导小组报告，并采取应急措施防止事故扩大。</w:t>
      </w:r>
    </w:p>
    <w:p w14:paraId="378B3FD9">
      <w:pPr>
        <w:pStyle w:val="44"/>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ascii="Times New Roman" w:hAnsi="Times New Roman" w:eastAsia="宋体" w:cs="Times New Roman"/>
          <w:color w:val="auto"/>
          <w:sz w:val="24"/>
          <w:szCs w:val="24"/>
          <w:u w:val="single" w:color="auto"/>
          <w:lang w:eastAsia="zh-CN"/>
        </w:rPr>
      </w:pPr>
      <w:r>
        <w:rPr>
          <w:rFonts w:ascii="Times New Roman" w:hAnsi="Times New Roman" w:eastAsia="宋体" w:cs="Times New Roman"/>
          <w:color w:val="auto"/>
          <w:sz w:val="24"/>
          <w:szCs w:val="24"/>
          <w:u w:val="single" w:color="auto"/>
        </w:rPr>
        <w:fldChar w:fldCharType="begin"/>
      </w:r>
      <w:r>
        <w:rPr>
          <w:rFonts w:ascii="Times New Roman" w:hAnsi="Times New Roman" w:eastAsia="宋体" w:cs="Times New Roman"/>
          <w:color w:val="auto"/>
          <w:sz w:val="24"/>
          <w:szCs w:val="24"/>
          <w:u w:val="single" w:color="auto"/>
          <w:lang w:eastAsia="zh-CN"/>
        </w:rPr>
        <w:instrText xml:space="preserve"> = 4 \* GB3 \* MERGEFORMAT </w:instrText>
      </w:r>
      <w:r>
        <w:rPr>
          <w:rFonts w:ascii="Times New Roman" w:hAnsi="Times New Roman" w:eastAsia="宋体" w:cs="Times New Roman"/>
          <w:color w:val="auto"/>
          <w:sz w:val="24"/>
          <w:szCs w:val="24"/>
          <w:u w:val="single" w:color="auto"/>
        </w:rPr>
        <w:fldChar w:fldCharType="separate"/>
      </w:r>
      <w:r>
        <w:rPr>
          <w:rFonts w:ascii="Times New Roman" w:hAnsi="Times New Roman" w:eastAsia="宋体" w:cs="Times New Roman"/>
          <w:color w:val="auto"/>
          <w:sz w:val="24"/>
          <w:szCs w:val="24"/>
          <w:u w:val="single" w:color="auto"/>
          <w:lang w:eastAsia="zh-CN"/>
        </w:rPr>
        <w:t>④</w:t>
      </w:r>
      <w:r>
        <w:rPr>
          <w:rFonts w:ascii="Times New Roman" w:hAnsi="Times New Roman" w:eastAsia="宋体" w:cs="Times New Roman"/>
          <w:color w:val="auto"/>
          <w:sz w:val="24"/>
          <w:szCs w:val="24"/>
          <w:u w:val="single" w:color="auto"/>
        </w:rPr>
        <w:fldChar w:fldCharType="end"/>
      </w:r>
      <w:r>
        <w:rPr>
          <w:rFonts w:ascii="Times New Roman" w:hAnsi="Times New Roman" w:eastAsia="宋体" w:cs="Times New Roman"/>
          <w:color w:val="auto"/>
          <w:sz w:val="24"/>
          <w:szCs w:val="24"/>
          <w:u w:val="single" w:color="auto"/>
          <w:lang w:eastAsia="zh-CN"/>
        </w:rPr>
        <w:t>强化对管道的管理、监控和维护，确保泄漏事故零发生。一旦发生事故，应在第一时间切断泄漏点，减少废水泄漏量。</w:t>
      </w:r>
    </w:p>
    <w:p w14:paraId="6043B709">
      <w:pPr>
        <w:pStyle w:val="3"/>
        <w:pageBreakBefore w:val="0"/>
        <w:widowControl/>
        <w:kinsoku w:val="0"/>
        <w:wordWrap/>
        <w:overflowPunct/>
        <w:topLinePunct w:val="0"/>
        <w:autoSpaceDE w:val="0"/>
        <w:autoSpaceDN w:val="0"/>
        <w:bidi w:val="0"/>
        <w:snapToGrid w:val="0"/>
        <w:spacing w:before="0" w:after="0" w:line="360" w:lineRule="auto"/>
        <w:contextualSpacing/>
        <w:jc w:val="both"/>
        <w:textAlignment w:val="baseline"/>
        <w:rPr>
          <w:rFonts w:hint="eastAsia" w:ascii="Times New Roman" w:hAnsi="Times New Roman" w:eastAsia="宋体" w:cs="Times New Roman"/>
          <w:color w:val="auto"/>
          <w:szCs w:val="28"/>
          <w:u w:val="single" w:color="auto"/>
          <w:lang w:val="en-US" w:eastAsia="zh-CN"/>
        </w:rPr>
      </w:pPr>
      <w:bookmarkStart w:id="256" w:name="_bookmark105"/>
      <w:bookmarkEnd w:id="256"/>
      <w:bookmarkStart w:id="257" w:name="_Toc97362664"/>
      <w:bookmarkStart w:id="258" w:name="_Toc2755"/>
      <w:bookmarkStart w:id="259" w:name="_Toc23179"/>
      <w:bookmarkStart w:id="260" w:name="_Toc173593073"/>
      <w:bookmarkStart w:id="261" w:name="_Toc19043"/>
      <w:bookmarkStart w:id="262" w:name="_Toc17584"/>
      <w:r>
        <w:rPr>
          <w:rFonts w:ascii="Times New Roman" w:hAnsi="Times New Roman" w:eastAsia="宋体" w:cs="Times New Roman"/>
          <w:color w:val="auto"/>
          <w:szCs w:val="28"/>
          <w:u w:val="single" w:color="auto"/>
          <w:lang w:eastAsia="zh-CN"/>
        </w:rPr>
        <w:t>8.</w:t>
      </w:r>
      <w:bookmarkEnd w:id="257"/>
      <w:r>
        <w:rPr>
          <w:rFonts w:hint="eastAsia" w:ascii="Times New Roman" w:hAnsi="Times New Roman" w:eastAsia="宋体" w:cs="Times New Roman"/>
          <w:color w:val="auto"/>
          <w:szCs w:val="28"/>
          <w:u w:val="single" w:color="auto"/>
          <w:lang w:val="en-US" w:eastAsia="zh-CN"/>
        </w:rPr>
        <w:t>3</w:t>
      </w:r>
      <w:r>
        <w:rPr>
          <w:rFonts w:ascii="Times New Roman" w:hAnsi="Times New Roman" w:eastAsia="宋体" w:cs="Times New Roman"/>
          <w:color w:val="auto"/>
          <w:szCs w:val="28"/>
          <w:u w:val="single" w:color="auto"/>
          <w:lang w:eastAsia="zh-CN"/>
        </w:rPr>
        <w:t>事故应急</w:t>
      </w:r>
      <w:bookmarkEnd w:id="258"/>
      <w:bookmarkEnd w:id="259"/>
      <w:bookmarkEnd w:id="260"/>
      <w:bookmarkStart w:id="263" w:name="_bookmark107"/>
      <w:bookmarkEnd w:id="263"/>
      <w:r>
        <w:rPr>
          <w:rFonts w:hint="eastAsia" w:ascii="Times New Roman" w:hAnsi="Times New Roman" w:eastAsia="宋体" w:cs="Times New Roman"/>
          <w:color w:val="auto"/>
          <w:szCs w:val="28"/>
          <w:u w:val="single" w:color="auto"/>
          <w:lang w:val="en-US" w:eastAsia="zh-CN"/>
        </w:rPr>
        <w:t>预案</w:t>
      </w:r>
      <w:bookmarkEnd w:id="261"/>
      <w:bookmarkEnd w:id="262"/>
    </w:p>
    <w:p w14:paraId="7EB562F1">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eastAsia" w:ascii="Times New Roman" w:hAnsi="Times New Roman" w:eastAsia="宋体" w:cs="Times New Roman"/>
          <w:color w:val="auto"/>
          <w:sz w:val="24"/>
          <w:szCs w:val="24"/>
          <w:u w:val="single" w:color="auto"/>
          <w:lang w:val="en-US" w:eastAsia="zh-CN"/>
        </w:rPr>
        <w:t>企业应制定</w:t>
      </w:r>
      <w:r>
        <w:rPr>
          <w:rFonts w:hint="default" w:ascii="Times New Roman" w:hAnsi="Times New Roman" w:eastAsia="宋体" w:cs="Times New Roman"/>
          <w:color w:val="auto"/>
          <w:sz w:val="24"/>
          <w:szCs w:val="24"/>
          <w:u w:val="single" w:color="auto"/>
          <w:lang w:val="en-US" w:eastAsia="zh-CN"/>
        </w:rPr>
        <w:t>制定突发环境事件应急预案</w:t>
      </w:r>
      <w:r>
        <w:rPr>
          <w:rFonts w:hint="eastAsia" w:ascii="Times New Roman" w:hAnsi="Times New Roman" w:eastAsia="宋体" w:cs="Times New Roman"/>
          <w:color w:val="auto"/>
          <w:sz w:val="24"/>
          <w:szCs w:val="24"/>
          <w:u w:val="single" w:color="auto"/>
          <w:lang w:val="en-US" w:eastAsia="zh-CN"/>
        </w:rPr>
        <w:t>。</w:t>
      </w:r>
    </w:p>
    <w:p w14:paraId="303AA51A">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1、制定风险事故应急预案的目的</w:t>
      </w:r>
    </w:p>
    <w:p w14:paraId="7551FB01">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制定风险事故应急预案的目的是为了在发生风险事故时，能以最快的速度发挥最大的效能，有序的实施救援，尽快控制事态的发展，降低事故造成的危害，减少事故造成的损失。</w:t>
      </w:r>
    </w:p>
    <w:p w14:paraId="11D934D0">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2、风险事故应急预案的基本要求</w:t>
      </w:r>
    </w:p>
    <w:p w14:paraId="1569DDB2">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风险事故应急预案的基本要求包括：科学性、实用性和权威性。风险事故的应急救援工作是一项科学性很强的工作，必须开展科学分析和论证，制定严密、统一、完整的应急预案；应急预案应符合项目的客观情况，具有实用、简单、易掌握等特征，便于实施；对事故处置过程中职责、权限、任务、工作标准、奖励与处罚等做出明确规定，使之成为企业的一项制度，确保其权威性。</w:t>
      </w:r>
    </w:p>
    <w:p w14:paraId="43E10033">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3、环境风险应急组织机构设置及职责</w:t>
      </w:r>
    </w:p>
    <w:p w14:paraId="4F278644">
      <w:pPr>
        <w:keepNext w:val="0"/>
        <w:keepLines w:val="0"/>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hint="eastAsia"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针对可能存在的环境风险，项目应当设立事故状态下的应急救援领导小组。应急救援领导小组是公司为预防和处置各类突发事故的常设机构，其主要职责有：</w:t>
      </w:r>
      <w:r>
        <w:rPr>
          <w:rFonts w:hint="eastAsia" w:ascii="Times New Roman" w:hAnsi="Times New Roman" w:eastAsia="宋体" w:cs="Times New Roman"/>
          <w:color w:val="auto"/>
          <w:sz w:val="24"/>
          <w:szCs w:val="24"/>
          <w:u w:val="single" w:color="auto"/>
          <w:lang w:val="en-US" w:eastAsia="zh-CN"/>
        </w:rPr>
        <w:t xml:space="preserve"> </w:t>
      </w:r>
    </w:p>
    <w:p w14:paraId="667C5FB6">
      <w:pPr>
        <w:keepNext w:val="0"/>
        <w:keepLines w:val="0"/>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eastAsia" w:ascii="Times New Roman" w:hAnsi="Times New Roman" w:eastAsia="宋体" w:cs="Times New Roman"/>
          <w:color w:val="auto"/>
          <w:sz w:val="24"/>
          <w:szCs w:val="24"/>
          <w:u w:val="single" w:color="auto"/>
          <w:lang w:val="en-US" w:eastAsia="zh-CN"/>
        </w:rPr>
        <w:t xml:space="preserve"> </w:t>
      </w:r>
      <w:r>
        <w:rPr>
          <w:rFonts w:hint="default" w:ascii="Times New Roman" w:hAnsi="Times New Roman" w:eastAsia="宋体" w:cs="Times New Roman"/>
          <w:color w:val="auto"/>
          <w:sz w:val="24"/>
          <w:szCs w:val="24"/>
          <w:u w:val="single" w:color="auto"/>
          <w:lang w:val="en-US" w:eastAsia="zh-CN"/>
        </w:rPr>
        <w:t>1）编制和修改事故应急救援预案。</w:t>
      </w:r>
    </w:p>
    <w:p w14:paraId="5335F077">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2）组建应急救援队伍并组织实施训练和演习。</w:t>
      </w:r>
    </w:p>
    <w:p w14:paraId="4C2A93F1">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3）检查各项安全工作的实施情况。</w:t>
      </w:r>
    </w:p>
    <w:p w14:paraId="70C600F7">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4）检查督促做好重大事故的预防措施和应急救援的各项准备工作。</w:t>
      </w:r>
    </w:p>
    <w:p w14:paraId="3B53074C">
      <w:pPr>
        <w:pageBreakBefore w:val="0"/>
        <w:widowControl/>
        <w:kinsoku w:val="0"/>
        <w:wordWrap/>
        <w:overflowPunct/>
        <w:topLinePunct w:val="0"/>
        <w:autoSpaceDE w:val="0"/>
        <w:autoSpaceDN w:val="0"/>
        <w:bidi w:val="0"/>
        <w:adjustRightInd/>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5）在应急救援行动中发布和解除各项命令。</w:t>
      </w:r>
    </w:p>
    <w:p w14:paraId="33012257">
      <w:pPr>
        <w:pageBreakBefore w:val="0"/>
        <w:widowControl/>
        <w:kinsoku w:val="0"/>
        <w:wordWrap/>
        <w:overflowPunct/>
        <w:topLinePunct w:val="0"/>
        <w:autoSpaceDE w:val="0"/>
        <w:autoSpaceDN w:val="0"/>
        <w:bidi w:val="0"/>
        <w:adjustRightInd/>
        <w:snapToGrid w:val="0"/>
        <w:spacing w:line="360" w:lineRule="auto"/>
        <w:ind w:left="479" w:leftChars="228" w:firstLine="0" w:firstLineChars="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6）负责向上级和政府有关部门报告以及向友邻单位、周边居民通报事故情况。</w:t>
      </w:r>
    </w:p>
    <w:p w14:paraId="10BDE489">
      <w:pPr>
        <w:pageBreakBefore w:val="0"/>
        <w:widowControl/>
        <w:kinsoku w:val="0"/>
        <w:wordWrap/>
        <w:overflowPunct/>
        <w:topLinePunct w:val="0"/>
        <w:autoSpaceDE w:val="0"/>
        <w:autoSpaceDN w:val="0"/>
        <w:bidi w:val="0"/>
        <w:adjustRightInd/>
        <w:snapToGrid w:val="0"/>
        <w:spacing w:line="360" w:lineRule="auto"/>
        <w:ind w:left="479" w:leftChars="228" w:firstLine="0" w:firstLineChars="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7）负责组织调查事故发生的原因、妥善处理事故并总结经验教训。</w:t>
      </w:r>
    </w:p>
    <w:p w14:paraId="09EA6ADF">
      <w:pPr>
        <w:pageBreakBefore w:val="0"/>
        <w:widowControl/>
        <w:kinsoku w:val="0"/>
        <w:wordWrap/>
        <w:overflowPunct/>
        <w:topLinePunct w:val="0"/>
        <w:autoSpaceDE w:val="0"/>
        <w:autoSpaceDN w:val="0"/>
        <w:bidi w:val="0"/>
        <w:adjustRightInd/>
        <w:snapToGrid w:val="0"/>
        <w:spacing w:line="360" w:lineRule="auto"/>
        <w:ind w:left="479" w:leftChars="228" w:firstLine="0" w:firstLineChars="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4、风险事故处理措施</w:t>
      </w:r>
    </w:p>
    <w:p w14:paraId="75FE05FD">
      <w:pPr>
        <w:keepNext w:val="0"/>
        <w:keepLines w:val="0"/>
        <w:pageBreakBefore w:val="0"/>
        <w:widowControl/>
        <w:kinsoku w:val="0"/>
        <w:wordWrap/>
        <w:overflowPunct/>
        <w:topLinePunct w:val="0"/>
        <w:autoSpaceDE w:val="0"/>
        <w:autoSpaceDN w:val="0"/>
        <w:bidi w:val="0"/>
        <w:adjustRightInd/>
        <w:snapToGrid w:val="0"/>
        <w:spacing w:line="360" w:lineRule="auto"/>
        <w:ind w:left="0" w:leftChars="0"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为了有效地处理风险事故，应有切实可行的处置措施。项目风险事故应急措施包括设备器材、事故现场指挥、救护、通讯等系统的建立、现场应急措施方案、事故危害监测队伍、现场撤离和善后措施方案等。</w:t>
      </w:r>
    </w:p>
    <w:p w14:paraId="23593E84">
      <w:pPr>
        <w:keepNext w:val="0"/>
        <w:keepLines w:val="0"/>
        <w:pageBreakBefore w:val="0"/>
        <w:widowControl/>
        <w:kinsoku w:val="0"/>
        <w:wordWrap/>
        <w:overflowPunct/>
        <w:topLinePunct w:val="0"/>
        <w:autoSpaceDE w:val="0"/>
        <w:autoSpaceDN w:val="0"/>
        <w:bidi w:val="0"/>
        <w:adjustRightInd/>
        <w:snapToGrid w:val="0"/>
        <w:spacing w:line="360" w:lineRule="auto"/>
        <w:ind w:left="0" w:leftChars="0"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当污水处理站事故不可避免的发生时，应立即启动制定的事故应急处置预案。为了积极应对可能发生的事故排污，建设单位成立应急救援领导小组，组建急救援专业队伍，并组织训练和演练；检查、监督做好污水处理站事故的预防措施和应急救援的各项准备工作、发布和接触应急救援指令。组织、指挥救援队伍，实施救援行动；向生态环境局、水利局和事故现场周边单位通报事故情况，必要时向有关单位发出救援指令；组织事故调查，对应急救援工作进行总结。具体内容如下：</w:t>
      </w:r>
    </w:p>
    <w:p w14:paraId="375FB2F2">
      <w:pPr>
        <w:keepNext w:val="0"/>
        <w:keepLines w:val="0"/>
        <w:pageBreakBefore w:val="0"/>
        <w:widowControl/>
        <w:kinsoku w:val="0"/>
        <w:wordWrap/>
        <w:overflowPunct/>
        <w:topLinePunct w:val="0"/>
        <w:autoSpaceDE w:val="0"/>
        <w:autoSpaceDN w:val="0"/>
        <w:bidi w:val="0"/>
        <w:adjustRightInd/>
        <w:snapToGrid w:val="0"/>
        <w:spacing w:line="360" w:lineRule="auto"/>
        <w:ind w:left="0" w:leftChars="0"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1）成立突发环境事件应急指挥部，制定事故处理应急方案，落实各工作人员的责任，平时加强对员工的技术培训和演练，建立技术考核档案，管理人员要求有较高的业务水平和管理水平，主要操作人员上岗前严格进行理论和实际操作培训，做到持证上岗。</w:t>
      </w:r>
    </w:p>
    <w:p w14:paraId="64F828B8">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eastAsia"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2）停电或者设备、技术故障等原因停运。积极组织力量维修，关闭进出水闸板，待事故排除后再将污水重新提升至污水处理站。机械设备抢修人员负责对设备进行全面的维修保养，确保环境与设备全部安全后方可恢复生产。查明原因。</w:t>
      </w:r>
      <w:r>
        <w:rPr>
          <w:rFonts w:hint="eastAsia" w:ascii="Times New Roman" w:hAnsi="Times New Roman" w:eastAsia="宋体" w:cs="Times New Roman"/>
          <w:color w:val="auto"/>
          <w:sz w:val="24"/>
          <w:szCs w:val="24"/>
          <w:u w:val="single" w:color="auto"/>
          <w:lang w:val="en-US" w:eastAsia="zh-CN"/>
        </w:rPr>
        <w:t xml:space="preserve">    </w:t>
      </w:r>
    </w:p>
    <w:p w14:paraId="6D0396FE">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（3）自然灾害对设备设施、构筑物破坏，造成事故废水外排，应做以下应急处置：</w:t>
      </w:r>
    </w:p>
    <w:p w14:paraId="5E63C916">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a.组织力量维修，采取相关措施在大修期间存放污水，防止外排。</w:t>
      </w:r>
    </w:p>
    <w:p w14:paraId="554F0AF3">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b.故障时及时关闭故障工段两端的闸板，同时关闭站区进水及出水阀门，污水临时存放在收水管网内，待事故排除后，再将污水重新提升至污水处理工序。同时，根据大修时间的长短及管网情况确定能否容纳大修期间入场的污水，如若不能则及时通知环保部门，通知排入污水处理站的企业控制排水量，确保污水管网中的污水不能积攒过多。</w:t>
      </w:r>
    </w:p>
    <w:p w14:paraId="516F02BB">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c.暴雨天气：及时关好所有门窗、电气控制柜柜门关好。连续运行格栅并及时清运栅渣。员工应该穿戴好雨鞋、雨衣等防雨用品，准备好手电。d.强风天气：强风来临时应该及时关好所有门窗、电气控制柜柜门关好；对容易被大风吹走的设备、设施应该妥善收好。准备好手电等应急工具器材。密切观察电压、电流变化；一旦有异常情况立即停止该设备的运行。员工切忌站在容易被大风拧断的设备、设施、树木等的下面。</w:t>
      </w:r>
    </w:p>
    <w:p w14:paraId="04931699">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e.下雪天气：下雪时应该及时关好所有门窗、电气控制柜柜门关好。密切观察电压、电流变化；一旦有异常情况立即停止该设备的运行。准备好食盐，以防结冰对设备的损坏。及时清扫主要道路、楼梯、设备运转轨道（包括粗、细格栅轨道）的积雪。员工应该穿戴好劳保，准备好手电等应急工具器材；准备好保暖的材料。</w:t>
      </w:r>
    </w:p>
    <w:p w14:paraId="2C8CD23A">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f.打雷天气：打雷时员工切忌站在有较高的构筑物、大树下面，以防被雷击中。密切观察电压、电流变化；一旦有异常情况立即停止该设备的运行。准备好手电等应急工具器材。密切注意公司各个区域有无打雷起火的隐患。</w:t>
      </w:r>
    </w:p>
    <w:p w14:paraId="492AD382">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4）进水水质异常时，应做以下应急处置：发现进水水质持续超标明显时，立即向领导汇报，通知值班人员；立即组织水质监测中心对进水水质、工艺运行参数，出水水质数据进行分析，根据化验结果对相关工艺流程进行及时调整；发现进水水质超标较严重可能直接影响站区内的污水处理环节时，应立即控制进水水量，并同时上报</w:t>
      </w:r>
      <w:r>
        <w:rPr>
          <w:rFonts w:hint="eastAsia" w:ascii="Times New Roman" w:hAnsi="Times New Roman" w:eastAsia="宋体" w:cs="Times New Roman"/>
          <w:color w:val="auto"/>
          <w:sz w:val="24"/>
          <w:szCs w:val="24"/>
          <w:u w:val="single" w:color="auto"/>
          <w:lang w:val="en-US" w:eastAsia="zh-CN"/>
        </w:rPr>
        <w:t>相关政府单位</w:t>
      </w:r>
      <w:r>
        <w:rPr>
          <w:rFonts w:hint="default" w:ascii="Times New Roman" w:hAnsi="Times New Roman" w:eastAsia="宋体" w:cs="Times New Roman"/>
          <w:color w:val="auto"/>
          <w:sz w:val="24"/>
          <w:szCs w:val="24"/>
          <w:u w:val="single" w:color="auto"/>
          <w:lang w:val="en-US" w:eastAsia="zh-CN"/>
        </w:rPr>
        <w:t>，联系相关部门立即查找污水源头并采取措施控制超标污水继续进入网管。</w:t>
      </w:r>
    </w:p>
    <w:p w14:paraId="0847D8AF">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（5）设备设施故障导致出水水质异常，应采取以下应急处置。</w:t>
      </w:r>
    </w:p>
    <w:p w14:paraId="1379A67D">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a.立即上报领导和当班负责人，减少进水口和出水口的水量。</w:t>
      </w:r>
    </w:p>
    <w:p w14:paraId="58F0C9A3">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b.立刻安排工艺工程师工艺处理环节仔细观察，分析原由，组织各工段对工艺设备参数进行修改，并向经理报告。</w:t>
      </w:r>
    </w:p>
    <w:p w14:paraId="7FD34285">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c.若排水超标严重可能影响耒水河的水质时，应立即</w:t>
      </w:r>
      <w:r>
        <w:rPr>
          <w:rFonts w:hint="eastAsia" w:ascii="Times New Roman" w:hAnsi="Times New Roman" w:eastAsia="宋体" w:cs="Times New Roman"/>
          <w:color w:val="auto"/>
          <w:sz w:val="24"/>
          <w:szCs w:val="24"/>
          <w:u w:val="single" w:color="auto"/>
          <w:lang w:val="en-US" w:eastAsia="zh-CN"/>
        </w:rPr>
        <w:t>向相关部门</w:t>
      </w:r>
      <w:r>
        <w:rPr>
          <w:rFonts w:hint="default" w:ascii="Times New Roman" w:hAnsi="Times New Roman" w:eastAsia="宋体" w:cs="Times New Roman"/>
          <w:color w:val="auto"/>
          <w:sz w:val="24"/>
          <w:szCs w:val="24"/>
          <w:u w:val="single" w:color="auto"/>
          <w:lang w:val="en-US" w:eastAsia="zh-CN"/>
        </w:rPr>
        <w:t>上报，采取必要的措施防止污染事故进一步恶化。</w:t>
      </w:r>
    </w:p>
    <w:p w14:paraId="5197D426">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d.若排入河体的污水污染物因子含量较少（超标1倍以内），应保持预警状态，及时通过工艺调整保证出水达标，则依靠洣水河的自净能力可逐渐消除污水对河体的影响。</w:t>
      </w:r>
    </w:p>
    <w:p w14:paraId="7E79097C">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color="auto"/>
          <w:lang w:val="en-US" w:eastAsia="zh-CN"/>
        </w:rPr>
      </w:pPr>
      <w:r>
        <w:rPr>
          <w:rFonts w:hint="default" w:ascii="Times New Roman" w:hAnsi="Times New Roman" w:eastAsia="宋体" w:cs="Times New Roman"/>
          <w:color w:val="auto"/>
          <w:sz w:val="24"/>
          <w:szCs w:val="24"/>
          <w:u w:val="single" w:color="auto"/>
          <w:lang w:val="en-US" w:eastAsia="zh-CN"/>
        </w:rPr>
        <w:t>e.若排入河体的污水污染物因子含量较多（超标2倍），且短时间内无法调整出水至达标排放时，启动本预案。</w:t>
      </w:r>
    </w:p>
    <w:p w14:paraId="4B582DEA">
      <w:pPr>
        <w:pStyle w:val="3"/>
        <w:pageBreakBefore w:val="0"/>
        <w:widowControl/>
        <w:kinsoku w:val="0"/>
        <w:wordWrap/>
        <w:overflowPunct/>
        <w:topLinePunct w:val="0"/>
        <w:autoSpaceDE w:val="0"/>
        <w:autoSpaceDN w:val="0"/>
        <w:bidi w:val="0"/>
        <w:snapToGrid w:val="0"/>
        <w:spacing w:before="0" w:after="0" w:line="360" w:lineRule="auto"/>
        <w:contextualSpacing/>
        <w:jc w:val="both"/>
        <w:textAlignment w:val="baseline"/>
        <w:rPr>
          <w:rFonts w:ascii="Times New Roman" w:hAnsi="Times New Roman" w:eastAsia="宋体" w:cs="Times New Roman"/>
          <w:color w:val="auto"/>
          <w:szCs w:val="28"/>
          <w:lang w:eastAsia="zh-CN"/>
        </w:rPr>
      </w:pPr>
      <w:bookmarkStart w:id="264" w:name="_bookmark109"/>
      <w:bookmarkEnd w:id="264"/>
      <w:bookmarkStart w:id="265" w:name="_Toc19214"/>
      <w:bookmarkStart w:id="266" w:name="_Toc26104"/>
      <w:bookmarkStart w:id="267" w:name="_Toc18711"/>
      <w:bookmarkStart w:id="268" w:name="_Toc97362668"/>
      <w:bookmarkStart w:id="269" w:name="_Toc25148"/>
      <w:bookmarkStart w:id="270" w:name="_Toc173593074"/>
      <w:bookmarkStart w:id="271" w:name="_Toc5195"/>
      <w:r>
        <w:rPr>
          <w:rFonts w:ascii="Times New Roman" w:hAnsi="Times New Roman" w:eastAsia="宋体" w:cs="Times New Roman"/>
          <w:color w:val="auto"/>
          <w:szCs w:val="28"/>
          <w:lang w:eastAsia="zh-CN"/>
        </w:rPr>
        <w:t>8.</w:t>
      </w:r>
      <w:r>
        <w:rPr>
          <w:rFonts w:hint="eastAsia" w:ascii="Times New Roman" w:hAnsi="Times New Roman" w:eastAsia="宋体" w:cs="Times New Roman"/>
          <w:color w:val="auto"/>
          <w:szCs w:val="28"/>
          <w:lang w:val="en-US" w:eastAsia="zh-CN"/>
        </w:rPr>
        <w:t>4</w:t>
      </w:r>
      <w:r>
        <w:rPr>
          <w:rFonts w:ascii="Times New Roman" w:hAnsi="Times New Roman" w:eastAsia="宋体" w:cs="Times New Roman"/>
          <w:color w:val="auto"/>
          <w:szCs w:val="28"/>
          <w:lang w:eastAsia="zh-CN"/>
        </w:rPr>
        <w:t>应急监测</w:t>
      </w:r>
      <w:bookmarkEnd w:id="265"/>
      <w:bookmarkEnd w:id="266"/>
      <w:bookmarkEnd w:id="267"/>
      <w:bookmarkEnd w:id="268"/>
      <w:bookmarkEnd w:id="269"/>
      <w:bookmarkEnd w:id="270"/>
      <w:bookmarkEnd w:id="271"/>
    </w:p>
    <w:p w14:paraId="29E50E4A">
      <w:pPr>
        <w:pStyle w:val="4"/>
        <w:pageBreakBefore w:val="0"/>
        <w:widowControl/>
        <w:kinsoku w:val="0"/>
        <w:wordWrap/>
        <w:overflowPunct/>
        <w:topLinePunct w:val="0"/>
        <w:autoSpaceDE w:val="0"/>
        <w:autoSpaceDN w:val="0"/>
        <w:bidi w:val="0"/>
        <w:adjustRightInd/>
        <w:snapToGrid w:val="0"/>
        <w:spacing w:before="0" w:after="0" w:line="360" w:lineRule="auto"/>
        <w:contextualSpacing/>
        <w:jc w:val="both"/>
        <w:textAlignment w:val="baseline"/>
        <w:rPr>
          <w:rFonts w:ascii="Times New Roman" w:hAnsi="Times New Roman" w:eastAsia="宋体" w:cs="Times New Roman"/>
          <w:szCs w:val="24"/>
          <w:lang w:eastAsia="zh-CN"/>
        </w:rPr>
      </w:pPr>
      <w:bookmarkStart w:id="272" w:name="_Toc23063"/>
      <w:bookmarkStart w:id="273" w:name="_Toc9107"/>
      <w:r>
        <w:rPr>
          <w:rFonts w:ascii="Times New Roman" w:hAnsi="Times New Roman" w:eastAsia="宋体" w:cs="Times New Roman"/>
          <w:szCs w:val="24"/>
          <w:lang w:eastAsia="zh-CN"/>
        </w:rPr>
        <w:t>8.</w:t>
      </w:r>
      <w:r>
        <w:rPr>
          <w:rFonts w:hint="eastAsia" w:ascii="Times New Roman" w:hAnsi="Times New Roman" w:eastAsia="宋体" w:cs="Times New Roman"/>
          <w:szCs w:val="24"/>
          <w:lang w:val="en-US" w:eastAsia="zh-CN"/>
        </w:rPr>
        <w:t>4</w:t>
      </w:r>
      <w:r>
        <w:rPr>
          <w:rFonts w:ascii="Times New Roman" w:hAnsi="Times New Roman" w:eastAsia="宋体" w:cs="Times New Roman"/>
          <w:szCs w:val="24"/>
          <w:lang w:eastAsia="zh-CN"/>
        </w:rPr>
        <w:t>.1应急监测方案</w:t>
      </w:r>
      <w:bookmarkEnd w:id="272"/>
      <w:bookmarkEnd w:id="273"/>
    </w:p>
    <w:p w14:paraId="3CF586A0">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lang w:val="en-US" w:eastAsia="zh-CN"/>
        </w:rPr>
      </w:pPr>
      <w:bookmarkStart w:id="274" w:name="_Hlk173223686"/>
      <w:r>
        <w:rPr>
          <w:rFonts w:hint="default" w:ascii="Times New Roman" w:hAnsi="Times New Roman" w:eastAsia="宋体" w:cs="Times New Roman"/>
          <w:color w:val="auto"/>
          <w:sz w:val="24"/>
          <w:szCs w:val="24"/>
          <w:lang w:val="en-US" w:eastAsia="zh-CN"/>
        </w:rPr>
        <w:t>重大环境危险事故发生、抢险应急的同时，应对事故现场进行应急检测，掌握超标污水扩散区域，附近水系分布及流向，对排口下游控制断面进行应急监测</w:t>
      </w:r>
      <w:bookmarkEnd w:id="274"/>
      <w:r>
        <w:rPr>
          <w:rFonts w:hint="default" w:ascii="Times New Roman" w:hAnsi="Times New Roman" w:eastAsia="宋体" w:cs="Times New Roman"/>
          <w:color w:val="auto"/>
          <w:sz w:val="24"/>
          <w:szCs w:val="24"/>
          <w:lang w:val="en-US" w:eastAsia="zh-CN"/>
        </w:rPr>
        <w:t>。</w:t>
      </w:r>
    </w:p>
    <w:p w14:paraId="329385FE">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（1）监测因子</w:t>
      </w:r>
    </w:p>
    <w:p w14:paraId="1DD9D52B">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pH值、悬浮物、化学需氧量、氨氮、五日生化需氧量、总磷、</w:t>
      </w:r>
      <w:r>
        <w:rPr>
          <w:rFonts w:hint="eastAsia" w:ascii="Times New Roman" w:hAnsi="Times New Roman" w:eastAsia="宋体" w:cs="Times New Roman"/>
          <w:color w:val="auto"/>
          <w:sz w:val="24"/>
          <w:szCs w:val="24"/>
          <w:lang w:val="en-US" w:eastAsia="zh-CN"/>
        </w:rPr>
        <w:t>动植物油、色度</w:t>
      </w:r>
      <w:r>
        <w:rPr>
          <w:rFonts w:hint="default" w:ascii="Times New Roman" w:hAnsi="Times New Roman" w:eastAsia="宋体" w:cs="Times New Roman"/>
          <w:color w:val="auto"/>
          <w:sz w:val="24"/>
          <w:szCs w:val="24"/>
          <w:lang w:val="en-US" w:eastAsia="zh-CN"/>
        </w:rPr>
        <w:t xml:space="preserve">。 </w:t>
      </w:r>
    </w:p>
    <w:p w14:paraId="4A7B0C89">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zh-CN" w:eastAsia="zh-CN"/>
        </w:rPr>
        <w:t>（</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zh-CN" w:eastAsia="zh-CN"/>
        </w:rPr>
        <w:t>）</w:t>
      </w:r>
      <w:r>
        <w:rPr>
          <w:rFonts w:hint="default" w:ascii="Times New Roman" w:hAnsi="Times New Roman" w:eastAsia="宋体" w:cs="Times New Roman"/>
          <w:color w:val="auto"/>
          <w:sz w:val="24"/>
          <w:szCs w:val="24"/>
          <w:lang w:val="en-US" w:eastAsia="zh-CN"/>
        </w:rPr>
        <w:t>监测方法</w:t>
      </w:r>
    </w:p>
    <w:p w14:paraId="39BF7B99">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首先应当根据污染源以及污染物的类型，直接测定该污染源或排放口所排污染物在水环境中的浓度。其次由于环境污染事故发生时，污染物的分布不均匀、时空变化大，需要根据事故类型，严重程度和影响范围确定采样点。</w:t>
      </w:r>
    </w:p>
    <w:p w14:paraId="23CE5F02">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①现场监测应当优先使用试纸、便携式仪器等测定。</w:t>
      </w:r>
    </w:p>
    <w:p w14:paraId="36C40508">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②对于现场无法监测的，应当尽快送至实验室分析，应急监测结束后需用精密度、准确度等指标检验其方法的适用性。</w:t>
      </w:r>
    </w:p>
    <w:p w14:paraId="44AD45A1">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③若无环境应急监测能力的，或部分监测指标无能力监测的，可以委托当地具有环境应急监测能力的单位进行，必要时应与区、市环境监测站联系进行监测。</w:t>
      </w:r>
    </w:p>
    <w:p w14:paraId="2611D88D">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zh-CN" w:eastAsia="zh-CN"/>
        </w:rPr>
        <w:t>）</w:t>
      </w:r>
      <w:r>
        <w:rPr>
          <w:rFonts w:hint="default" w:ascii="Times New Roman" w:hAnsi="Times New Roman" w:eastAsia="宋体" w:cs="Times New Roman"/>
          <w:color w:val="auto"/>
          <w:sz w:val="24"/>
          <w:szCs w:val="24"/>
          <w:lang w:val="en-US" w:eastAsia="zh-CN"/>
        </w:rPr>
        <w:t>监测频次</w:t>
      </w:r>
    </w:p>
    <w:p w14:paraId="5581F858">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应急监测的频次根据事故发生的时间而有所变化，根据污染物的状况，在事发初期应当增加频次，不少于2小时采样一次；待摸清污染规律后可适当减少，不少于6小时一次。最近一次应急监测方案中，全部监测点特征污染物的48h连续监测结果均恢复到本底值或背景点位水平时，则可终止应急监测。</w:t>
      </w:r>
    </w:p>
    <w:p w14:paraId="0BE8FB08">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zh-CN" w:eastAsia="zh-CN"/>
        </w:rPr>
        <w:t>）监测点位</w:t>
      </w:r>
    </w:p>
    <w:p w14:paraId="43CE9C4F">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zh-CN" w:eastAsia="zh-CN"/>
        </w:rPr>
        <w:t>排污口及下游</w:t>
      </w:r>
      <w:r>
        <w:rPr>
          <w:rFonts w:hint="eastAsia" w:ascii="Times New Roman" w:hAnsi="Times New Roman" w:eastAsia="宋体" w:cs="Times New Roman"/>
          <w:color w:val="auto"/>
          <w:sz w:val="24"/>
          <w:szCs w:val="24"/>
          <w:lang w:val="en-US" w:eastAsia="zh-CN"/>
        </w:rPr>
        <w:t>青山河</w:t>
      </w:r>
      <w:r>
        <w:rPr>
          <w:rFonts w:hint="default" w:ascii="Times New Roman" w:hAnsi="Times New Roman" w:eastAsia="宋体" w:cs="Times New Roman"/>
          <w:color w:val="auto"/>
          <w:sz w:val="24"/>
          <w:szCs w:val="24"/>
          <w:lang w:val="en-US" w:eastAsia="zh-CN"/>
        </w:rPr>
        <w:t>500m、1000m</w:t>
      </w:r>
      <w:r>
        <w:rPr>
          <w:rFonts w:hint="eastAsia" w:ascii="Times New Roman" w:hAnsi="Times New Roman" w:eastAsia="宋体" w:cs="Times New Roman"/>
          <w:color w:val="auto"/>
          <w:sz w:val="24"/>
          <w:szCs w:val="24"/>
          <w:lang w:val="en-US" w:eastAsia="zh-CN"/>
        </w:rPr>
        <w:t>等</w:t>
      </w:r>
      <w:r>
        <w:rPr>
          <w:rFonts w:hint="default" w:ascii="Times New Roman" w:hAnsi="Times New Roman" w:eastAsia="宋体" w:cs="Times New Roman"/>
          <w:color w:val="auto"/>
          <w:sz w:val="24"/>
          <w:szCs w:val="24"/>
          <w:lang w:val="en-US" w:eastAsia="zh-CN"/>
        </w:rPr>
        <w:t>断面。</w:t>
      </w:r>
    </w:p>
    <w:p w14:paraId="4BB8CD75">
      <w:pPr>
        <w:pStyle w:val="4"/>
        <w:pageBreakBefore w:val="0"/>
        <w:widowControl/>
        <w:kinsoku w:val="0"/>
        <w:wordWrap/>
        <w:overflowPunct/>
        <w:topLinePunct w:val="0"/>
        <w:autoSpaceDE w:val="0"/>
        <w:autoSpaceDN w:val="0"/>
        <w:bidi w:val="0"/>
        <w:adjustRightInd/>
        <w:snapToGrid w:val="0"/>
        <w:spacing w:before="0" w:after="0" w:line="360" w:lineRule="auto"/>
        <w:contextualSpacing/>
        <w:jc w:val="both"/>
        <w:textAlignment w:val="baseline"/>
        <w:rPr>
          <w:rFonts w:ascii="Times New Roman" w:hAnsi="Times New Roman" w:eastAsia="宋体" w:cs="Times New Roman"/>
          <w:szCs w:val="24"/>
          <w:lang w:eastAsia="zh-CN"/>
        </w:rPr>
      </w:pPr>
      <w:bookmarkStart w:id="275" w:name="_Toc32536"/>
      <w:bookmarkStart w:id="276" w:name="_Toc15634"/>
      <w:r>
        <w:rPr>
          <w:rFonts w:ascii="Times New Roman" w:hAnsi="Times New Roman" w:eastAsia="宋体" w:cs="Times New Roman"/>
          <w:szCs w:val="24"/>
          <w:lang w:eastAsia="zh-CN"/>
        </w:rPr>
        <w:t>8.</w:t>
      </w:r>
      <w:r>
        <w:rPr>
          <w:rFonts w:hint="eastAsia" w:ascii="Times New Roman" w:hAnsi="Times New Roman" w:eastAsia="宋体" w:cs="Times New Roman"/>
          <w:szCs w:val="24"/>
          <w:lang w:val="en-US" w:eastAsia="zh-CN"/>
        </w:rPr>
        <w:t>4.2</w:t>
      </w:r>
      <w:r>
        <w:rPr>
          <w:rFonts w:ascii="Times New Roman" w:hAnsi="Times New Roman" w:eastAsia="宋体" w:cs="Times New Roman"/>
          <w:szCs w:val="24"/>
          <w:lang w:eastAsia="zh-CN"/>
        </w:rPr>
        <w:t>应急监测人员的防护措施</w:t>
      </w:r>
      <w:bookmarkEnd w:id="275"/>
      <w:bookmarkEnd w:id="276"/>
    </w:p>
    <w:p w14:paraId="1C046800">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 xml:space="preserve">1、进入突发性环境污染事故现场的应急监测人员，必须注意自身的安全防护，对事故现场不熟悉、不能确认现场安全或不按规定配备必需的防护设备，未经现场指挥、警戒人员许可，不得进入事故现场进行采样监测。 </w:t>
      </w:r>
    </w:p>
    <w:p w14:paraId="5F3CE52E">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lang w:val="zh-CN" w:eastAsia="zh-CN"/>
        </w:rPr>
      </w:pPr>
      <w:r>
        <w:rPr>
          <w:rFonts w:hint="default" w:ascii="Times New Roman" w:hAnsi="Times New Roman" w:eastAsia="宋体" w:cs="Times New Roman"/>
          <w:color w:val="auto"/>
          <w:sz w:val="24"/>
          <w:szCs w:val="24"/>
          <w:lang w:val="zh-CN" w:eastAsia="zh-CN"/>
        </w:rPr>
        <w:t>2、应急监测时，至少应有2人同行。</w:t>
      </w:r>
    </w:p>
    <w:p w14:paraId="13C9F12D">
      <w:pPr>
        <w:pStyle w:val="4"/>
        <w:pageBreakBefore w:val="0"/>
        <w:widowControl/>
        <w:kinsoku w:val="0"/>
        <w:wordWrap/>
        <w:overflowPunct/>
        <w:topLinePunct w:val="0"/>
        <w:autoSpaceDE w:val="0"/>
        <w:autoSpaceDN w:val="0"/>
        <w:bidi w:val="0"/>
        <w:adjustRightInd/>
        <w:snapToGrid w:val="0"/>
        <w:spacing w:before="0" w:after="0" w:line="360" w:lineRule="auto"/>
        <w:contextualSpacing/>
        <w:jc w:val="both"/>
        <w:textAlignment w:val="baseline"/>
        <w:rPr>
          <w:rFonts w:ascii="Times New Roman" w:hAnsi="Times New Roman" w:eastAsia="宋体" w:cs="Times New Roman"/>
          <w:szCs w:val="24"/>
          <w:u w:val="single"/>
          <w:lang w:eastAsia="zh-CN"/>
        </w:rPr>
      </w:pPr>
      <w:bookmarkStart w:id="277" w:name="_Toc15174"/>
      <w:bookmarkStart w:id="278" w:name="_Toc173593075"/>
      <w:bookmarkStart w:id="279" w:name="_Toc18966"/>
      <w:bookmarkStart w:id="280" w:name="_Toc5532"/>
      <w:bookmarkStart w:id="281" w:name="_Toc25727"/>
      <w:r>
        <w:rPr>
          <w:rFonts w:ascii="Times New Roman" w:hAnsi="Times New Roman" w:eastAsia="宋体" w:cs="Times New Roman"/>
          <w:szCs w:val="24"/>
          <w:u w:val="single"/>
          <w:lang w:eastAsia="zh-CN"/>
        </w:rPr>
        <w:t>8.</w:t>
      </w:r>
      <w:r>
        <w:rPr>
          <w:rFonts w:hint="eastAsia" w:ascii="Times New Roman" w:hAnsi="Times New Roman" w:eastAsia="宋体" w:cs="Times New Roman"/>
          <w:szCs w:val="24"/>
          <w:u w:val="single"/>
          <w:lang w:val="en-US" w:eastAsia="zh-CN"/>
        </w:rPr>
        <w:t>4.3</w:t>
      </w:r>
      <w:r>
        <w:rPr>
          <w:rFonts w:ascii="Times New Roman" w:hAnsi="Times New Roman" w:eastAsia="宋体" w:cs="Times New Roman"/>
          <w:szCs w:val="24"/>
          <w:u w:val="single"/>
          <w:lang w:eastAsia="zh-CN"/>
        </w:rPr>
        <w:t>建立事故性排放的报告制度</w:t>
      </w:r>
      <w:bookmarkEnd w:id="277"/>
      <w:bookmarkEnd w:id="278"/>
      <w:bookmarkEnd w:id="279"/>
      <w:bookmarkEnd w:id="280"/>
      <w:bookmarkEnd w:id="281"/>
    </w:p>
    <w:p w14:paraId="64881D5F">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lang w:val="zh-CN" w:eastAsia="zh-CN"/>
        </w:rPr>
      </w:pPr>
      <w:r>
        <w:rPr>
          <w:rFonts w:hint="default" w:ascii="Times New Roman" w:hAnsi="Times New Roman" w:eastAsia="宋体" w:cs="Times New Roman"/>
          <w:color w:val="auto"/>
          <w:sz w:val="24"/>
          <w:szCs w:val="24"/>
          <w:u w:val="single"/>
          <w:lang w:val="zh-CN" w:eastAsia="zh-CN"/>
        </w:rPr>
        <w:t>一旦事故性排放事件发生，应及时发现和处理，并迅速向当地政府及有关职能部门报告，配合当地政府对事故性排放进行处理。</w:t>
      </w:r>
    </w:p>
    <w:p w14:paraId="51D47E60">
      <w:pPr>
        <w:pStyle w:val="4"/>
        <w:pageBreakBefore w:val="0"/>
        <w:widowControl/>
        <w:kinsoku w:val="0"/>
        <w:wordWrap/>
        <w:overflowPunct/>
        <w:topLinePunct w:val="0"/>
        <w:autoSpaceDE w:val="0"/>
        <w:autoSpaceDN w:val="0"/>
        <w:bidi w:val="0"/>
        <w:adjustRightInd/>
        <w:snapToGrid w:val="0"/>
        <w:spacing w:before="0" w:after="0" w:line="360" w:lineRule="auto"/>
        <w:contextualSpacing/>
        <w:jc w:val="both"/>
        <w:textAlignment w:val="baseline"/>
        <w:rPr>
          <w:rFonts w:ascii="Times New Roman" w:hAnsi="Times New Roman" w:eastAsia="宋体" w:cs="Times New Roman"/>
          <w:szCs w:val="24"/>
          <w:u w:val="single"/>
          <w:lang w:eastAsia="zh-CN"/>
        </w:rPr>
      </w:pPr>
      <w:bookmarkStart w:id="282" w:name="_Toc20147"/>
      <w:bookmarkStart w:id="283" w:name="_Toc173593076"/>
      <w:bookmarkStart w:id="284" w:name="_Toc31275"/>
      <w:bookmarkStart w:id="285" w:name="_Toc12891"/>
      <w:bookmarkStart w:id="286" w:name="_Toc9101"/>
      <w:r>
        <w:rPr>
          <w:rFonts w:ascii="Times New Roman" w:hAnsi="Times New Roman" w:eastAsia="宋体" w:cs="Times New Roman"/>
          <w:szCs w:val="24"/>
          <w:u w:val="single"/>
          <w:lang w:eastAsia="zh-CN"/>
        </w:rPr>
        <w:t>8.</w:t>
      </w:r>
      <w:r>
        <w:rPr>
          <w:rFonts w:hint="eastAsia" w:ascii="Times New Roman" w:hAnsi="Times New Roman" w:eastAsia="宋体" w:cs="Times New Roman"/>
          <w:szCs w:val="24"/>
          <w:u w:val="single"/>
          <w:lang w:val="en-US" w:eastAsia="zh-CN"/>
        </w:rPr>
        <w:t>4.4</w:t>
      </w:r>
      <w:r>
        <w:rPr>
          <w:rFonts w:ascii="Times New Roman" w:hAnsi="Times New Roman" w:eastAsia="宋体" w:cs="Times New Roman"/>
          <w:szCs w:val="24"/>
          <w:u w:val="single"/>
          <w:lang w:eastAsia="zh-CN"/>
        </w:rPr>
        <w:t>建立责任追究机制</w:t>
      </w:r>
      <w:bookmarkEnd w:id="282"/>
      <w:bookmarkEnd w:id="283"/>
      <w:bookmarkEnd w:id="284"/>
      <w:bookmarkEnd w:id="285"/>
      <w:bookmarkEnd w:id="286"/>
    </w:p>
    <w:p w14:paraId="33557D98">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contextualSpacing/>
        <w:jc w:val="both"/>
        <w:textAlignment w:val="baseline"/>
        <w:rPr>
          <w:rFonts w:hint="default" w:ascii="Times New Roman" w:hAnsi="Times New Roman" w:eastAsia="宋体" w:cs="Times New Roman"/>
          <w:color w:val="auto"/>
          <w:sz w:val="24"/>
          <w:szCs w:val="24"/>
          <w:u w:val="single"/>
          <w:lang w:val="zh-CN" w:eastAsia="zh-CN"/>
        </w:rPr>
      </w:pPr>
      <w:r>
        <w:rPr>
          <w:rFonts w:hint="default" w:ascii="Times New Roman" w:hAnsi="Times New Roman" w:eastAsia="宋体" w:cs="Times New Roman"/>
          <w:color w:val="auto"/>
          <w:sz w:val="24"/>
          <w:szCs w:val="24"/>
          <w:u w:val="single"/>
          <w:lang w:val="zh-CN" w:eastAsia="zh-CN"/>
        </w:rPr>
        <w:t>为避免发生水环境风险事故，必须建立健全科学的责任追究制度。如果发生水环境风险事故，必须按照相关制度进行责任追究，直至诉诸法律追责。</w:t>
      </w:r>
    </w:p>
    <w:p w14:paraId="18C1FF91">
      <w:pPr>
        <w:spacing w:line="361" w:lineRule="auto"/>
        <w:rPr>
          <w:rFonts w:ascii="宋体" w:hAnsi="宋体" w:eastAsia="宋体" w:cs="宋体"/>
          <w:color w:val="auto"/>
          <w:sz w:val="24"/>
          <w:szCs w:val="24"/>
          <w:lang w:eastAsia="zh-CN"/>
        </w:rPr>
        <w:sectPr>
          <w:footerReference r:id="rId12" w:type="default"/>
          <w:pgSz w:w="11905" w:h="16838"/>
          <w:pgMar w:top="1440" w:right="1803" w:bottom="1440" w:left="1803" w:header="828" w:footer="794" w:gutter="0"/>
          <w:pgNumType w:fmt="decimal"/>
          <w:cols w:space="0" w:num="1"/>
          <w:rtlGutter w:val="0"/>
          <w:docGrid w:linePitch="0" w:charSpace="0"/>
        </w:sectPr>
      </w:pPr>
    </w:p>
    <w:p w14:paraId="10FEA23C">
      <w:pPr>
        <w:keepNext w:val="0"/>
        <w:keepLines w:val="0"/>
        <w:pageBreakBefore w:val="0"/>
        <w:widowControl/>
        <w:kinsoku w:val="0"/>
        <w:wordWrap/>
        <w:overflowPunct/>
        <w:topLinePunct w:val="0"/>
        <w:autoSpaceDE w:val="0"/>
        <w:autoSpaceDN w:val="0"/>
        <w:bidi w:val="0"/>
        <w:adjustRightInd w:val="0"/>
        <w:snapToGrid w:val="0"/>
        <w:spacing w:before="334" w:line="360" w:lineRule="auto"/>
        <w:jc w:val="center"/>
        <w:textAlignment w:val="baseline"/>
        <w:outlineLvl w:val="0"/>
        <w:rPr>
          <w:rFonts w:ascii="Times New Roman" w:hAnsi="Times New Roman" w:eastAsia="Times New Roman" w:cs="Times New Roman"/>
          <w:b/>
          <w:bCs/>
          <w:color w:val="auto"/>
          <w:spacing w:val="-3"/>
          <w:sz w:val="30"/>
          <w:szCs w:val="30"/>
          <w:lang w:eastAsia="zh-CN"/>
        </w:rPr>
      </w:pPr>
      <w:bookmarkStart w:id="287" w:name="_Toc26809"/>
      <w:bookmarkStart w:id="288" w:name="_Toc28290"/>
      <w:r>
        <w:rPr>
          <w:rFonts w:hint="default" w:ascii="Times New Roman" w:hAnsi="Times New Roman" w:eastAsia="宋体" w:cs="Times New Roman"/>
          <w:b/>
          <w:bCs/>
          <w:spacing w:val="6"/>
          <w:sz w:val="31"/>
          <w:szCs w:val="31"/>
          <w:lang w:eastAsia="zh-CN"/>
        </w:rPr>
        <w:t>9入河排污口设置合理性分析</w:t>
      </w:r>
      <w:bookmarkEnd w:id="287"/>
      <w:bookmarkEnd w:id="288"/>
    </w:p>
    <w:p w14:paraId="5B3A30CE">
      <w:pPr>
        <w:pStyle w:val="3"/>
        <w:pageBreakBefore w:val="0"/>
        <w:widowControl/>
        <w:kinsoku w:val="0"/>
        <w:wordWrap/>
        <w:overflowPunct/>
        <w:topLinePunct w:val="0"/>
        <w:autoSpaceDE w:val="0"/>
        <w:autoSpaceDN w:val="0"/>
        <w:bidi w:val="0"/>
        <w:adjustRightInd w:val="0"/>
        <w:snapToGrid w:val="0"/>
        <w:spacing w:before="0" w:after="0" w:line="360" w:lineRule="auto"/>
        <w:contextualSpacing/>
        <w:jc w:val="both"/>
        <w:textAlignment w:val="baseline"/>
        <w:rPr>
          <w:color w:val="auto"/>
          <w:lang w:eastAsia="zh-CN"/>
        </w:rPr>
      </w:pPr>
      <w:bookmarkStart w:id="289" w:name="_Toc24764"/>
      <w:bookmarkStart w:id="290" w:name="_Toc13189"/>
      <w:r>
        <w:rPr>
          <w:rFonts w:ascii="Times New Roman" w:hAnsi="Times New Roman" w:eastAsia="宋体" w:cs="Times New Roman"/>
          <w:color w:val="auto"/>
          <w:szCs w:val="28"/>
          <w:lang w:eastAsia="zh-CN"/>
        </w:rPr>
        <w:t>9.</w:t>
      </w:r>
      <w:r>
        <w:rPr>
          <w:rFonts w:hint="eastAsia" w:ascii="Times New Roman" w:hAnsi="Times New Roman" w:eastAsia="宋体" w:cs="Times New Roman"/>
          <w:color w:val="auto"/>
          <w:szCs w:val="28"/>
          <w:lang w:eastAsia="zh-CN"/>
        </w:rPr>
        <w:t>1</w:t>
      </w:r>
      <w:r>
        <w:rPr>
          <w:rFonts w:ascii="Times New Roman" w:hAnsi="Times New Roman" w:eastAsia="宋体" w:cs="Times New Roman"/>
          <w:color w:val="auto"/>
          <w:szCs w:val="28"/>
          <w:lang w:eastAsia="zh-CN"/>
        </w:rPr>
        <w:t>法律法规政策的符合性</w:t>
      </w:r>
      <w:bookmarkEnd w:id="289"/>
      <w:bookmarkEnd w:id="290"/>
    </w:p>
    <w:p w14:paraId="5D629172">
      <w:pPr>
        <w:pageBreakBefore w:val="0"/>
        <w:widowControl/>
        <w:kinsoku w:val="0"/>
        <w:wordWrap/>
        <w:overflowPunct/>
        <w:topLinePunct w:val="0"/>
        <w:autoSpaceDE w:val="0"/>
        <w:autoSpaceDN w:val="0"/>
        <w:bidi w:val="0"/>
        <w:adjustRightInd w:val="0"/>
        <w:snapToGrid w:val="0"/>
        <w:spacing w:line="360" w:lineRule="auto"/>
        <w:textAlignment w:val="baseline"/>
        <w:outlineLvl w:val="2"/>
        <w:rPr>
          <w:color w:val="auto"/>
          <w:lang w:eastAsia="zh-CN"/>
        </w:rPr>
      </w:pPr>
      <w:bookmarkStart w:id="291" w:name="_Toc9355"/>
      <w:bookmarkStart w:id="292" w:name="_Toc12039"/>
      <w:r>
        <w:rPr>
          <w:rFonts w:ascii="Times New Roman" w:hAnsi="Times New Roman" w:eastAsia="Times New Roman" w:cs="Times New Roman"/>
          <w:b/>
          <w:bCs/>
          <w:color w:val="auto"/>
          <w:spacing w:val="-2"/>
          <w:sz w:val="24"/>
          <w:szCs w:val="24"/>
          <w:lang w:eastAsia="zh-CN"/>
        </w:rPr>
        <w:t>9.</w:t>
      </w:r>
      <w:r>
        <w:rPr>
          <w:rFonts w:hint="eastAsia" w:ascii="Times New Roman" w:hAnsi="Times New Roman" w:eastAsia="宋体" w:cs="Times New Roman"/>
          <w:b/>
          <w:bCs/>
          <w:color w:val="auto"/>
          <w:spacing w:val="-2"/>
          <w:sz w:val="24"/>
          <w:szCs w:val="24"/>
          <w:lang w:eastAsia="zh-CN"/>
        </w:rPr>
        <w:t>1</w:t>
      </w:r>
      <w:r>
        <w:rPr>
          <w:rFonts w:ascii="Times New Roman" w:hAnsi="Times New Roman" w:eastAsia="Times New Roman" w:cs="Times New Roman"/>
          <w:b/>
          <w:bCs/>
          <w:color w:val="auto"/>
          <w:spacing w:val="-2"/>
          <w:sz w:val="24"/>
          <w:szCs w:val="24"/>
          <w:lang w:eastAsia="zh-CN"/>
        </w:rPr>
        <w:t>.1</w:t>
      </w:r>
      <w:r>
        <w:rPr>
          <w:rFonts w:ascii="宋体" w:hAnsi="宋体" w:eastAsia="宋体" w:cs="宋体"/>
          <w:b/>
          <w:bCs/>
          <w:color w:val="auto"/>
          <w:spacing w:val="-2"/>
          <w:sz w:val="24"/>
          <w:szCs w:val="24"/>
          <w:lang w:eastAsia="zh-CN"/>
        </w:rPr>
        <w:t>与国家法律相符性分析</w:t>
      </w:r>
      <w:bookmarkEnd w:id="291"/>
      <w:bookmarkEnd w:id="292"/>
    </w:p>
    <w:p w14:paraId="5B480F9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rPr>
          <w:rFonts w:ascii="宋体" w:hAnsi="宋体" w:eastAsia="宋体" w:cs="宋体"/>
          <w:color w:val="auto"/>
          <w:sz w:val="24"/>
          <w:szCs w:val="24"/>
          <w:lang w:eastAsia="zh-CN"/>
        </w:rPr>
      </w:pPr>
      <w:r>
        <w:rPr>
          <w:rFonts w:ascii="宋体" w:hAnsi="宋体" w:eastAsia="宋体" w:cs="宋体"/>
          <w:color w:val="auto"/>
          <w:spacing w:val="-2"/>
          <w:sz w:val="24"/>
          <w:szCs w:val="24"/>
          <w:lang w:eastAsia="zh-CN"/>
        </w:rPr>
        <w:t>（</w:t>
      </w:r>
      <w:r>
        <w:rPr>
          <w:rFonts w:ascii="Times New Roman" w:hAnsi="Times New Roman" w:eastAsia="Times New Roman" w:cs="Times New Roman"/>
          <w:color w:val="auto"/>
          <w:spacing w:val="-2"/>
          <w:sz w:val="24"/>
          <w:szCs w:val="24"/>
          <w:lang w:eastAsia="zh-CN"/>
        </w:rPr>
        <w:t>1</w:t>
      </w:r>
      <w:r>
        <w:rPr>
          <w:rFonts w:ascii="宋体" w:hAnsi="宋体" w:eastAsia="宋体" w:cs="宋体"/>
          <w:color w:val="auto"/>
          <w:spacing w:val="-2"/>
          <w:sz w:val="24"/>
          <w:szCs w:val="24"/>
          <w:lang w:eastAsia="zh-CN"/>
        </w:rPr>
        <w:t>）与《中华人民共和国水法》相符性分析</w:t>
      </w:r>
    </w:p>
    <w:p w14:paraId="22D4250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ascii="宋体" w:hAnsi="宋体" w:eastAsia="宋体" w:cs="宋体"/>
          <w:color w:val="auto"/>
          <w:sz w:val="24"/>
          <w:szCs w:val="24"/>
          <w:lang w:eastAsia="zh-CN"/>
        </w:rPr>
      </w:pPr>
      <w:r>
        <w:rPr>
          <w:rFonts w:ascii="宋体" w:hAnsi="宋体" w:eastAsia="宋体" w:cs="宋体"/>
          <w:color w:val="auto"/>
          <w:spacing w:val="-1"/>
          <w:sz w:val="24"/>
          <w:szCs w:val="24"/>
          <w:lang w:eastAsia="zh-CN"/>
        </w:rPr>
        <w:t>本项目排污口所在水域</w:t>
      </w:r>
      <w:r>
        <w:rPr>
          <w:rFonts w:hint="eastAsia" w:ascii="宋体" w:hAnsi="宋体" w:eastAsia="宋体" w:cs="宋体"/>
          <w:color w:val="auto"/>
          <w:spacing w:val="-1"/>
          <w:sz w:val="24"/>
          <w:szCs w:val="24"/>
          <w:lang w:val="en-US" w:eastAsia="zh-CN"/>
        </w:rPr>
        <w:t>为保留区，</w:t>
      </w:r>
      <w:r>
        <w:rPr>
          <w:rFonts w:ascii="宋体" w:hAnsi="宋体" w:eastAsia="宋体" w:cs="宋体"/>
          <w:color w:val="auto"/>
          <w:spacing w:val="-2"/>
          <w:sz w:val="24"/>
          <w:szCs w:val="24"/>
          <w:lang w:eastAsia="zh-CN"/>
        </w:rPr>
        <w:t>不属于饮</w:t>
      </w:r>
      <w:r>
        <w:rPr>
          <w:rFonts w:ascii="宋体" w:hAnsi="宋体" w:eastAsia="宋体" w:cs="宋体"/>
          <w:color w:val="auto"/>
          <w:sz w:val="24"/>
          <w:szCs w:val="24"/>
          <w:lang w:eastAsia="zh-CN"/>
        </w:rPr>
        <w:t>用水源保护区，不影响河道防洪，入河排污口采用岸</w:t>
      </w:r>
      <w:r>
        <w:rPr>
          <w:rFonts w:ascii="宋体" w:hAnsi="宋体" w:eastAsia="宋体" w:cs="宋体"/>
          <w:color w:val="auto"/>
          <w:spacing w:val="-1"/>
          <w:sz w:val="24"/>
          <w:szCs w:val="24"/>
          <w:lang w:eastAsia="zh-CN"/>
        </w:rPr>
        <w:t>边管道排放的方式，排污口</w:t>
      </w:r>
      <w:r>
        <w:rPr>
          <w:rFonts w:ascii="宋体" w:hAnsi="宋体" w:eastAsia="宋体" w:cs="宋体"/>
          <w:color w:val="auto"/>
          <w:spacing w:val="-4"/>
          <w:sz w:val="24"/>
          <w:szCs w:val="24"/>
          <w:lang w:eastAsia="zh-CN"/>
        </w:rPr>
        <w:t>设置不在《中华人民共和国水法》条文中禁止之列。项目入河排污口设</w:t>
      </w:r>
      <w:r>
        <w:rPr>
          <w:rFonts w:ascii="宋体" w:hAnsi="宋体" w:eastAsia="宋体" w:cs="宋体"/>
          <w:color w:val="auto"/>
          <w:spacing w:val="-5"/>
          <w:sz w:val="24"/>
          <w:szCs w:val="24"/>
          <w:lang w:eastAsia="zh-CN"/>
        </w:rPr>
        <w:t>置满足《中</w:t>
      </w:r>
      <w:r>
        <w:rPr>
          <w:rFonts w:ascii="宋体" w:hAnsi="宋体" w:eastAsia="宋体" w:cs="宋体"/>
          <w:color w:val="auto"/>
          <w:spacing w:val="-1"/>
          <w:sz w:val="24"/>
          <w:szCs w:val="24"/>
          <w:lang w:eastAsia="zh-CN"/>
        </w:rPr>
        <w:t>华人民共和国水法》规定要求。</w:t>
      </w:r>
    </w:p>
    <w:p w14:paraId="3D9F34F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ascii="宋体" w:hAnsi="宋体" w:eastAsia="宋体" w:cs="宋体"/>
          <w:color w:val="auto"/>
          <w:sz w:val="24"/>
          <w:szCs w:val="24"/>
          <w:lang w:eastAsia="zh-CN"/>
        </w:rPr>
      </w:pPr>
      <w:r>
        <w:rPr>
          <w:rFonts w:ascii="宋体" w:hAnsi="宋体" w:eastAsia="宋体" w:cs="宋体"/>
          <w:color w:val="auto"/>
          <w:spacing w:val="-1"/>
          <w:sz w:val="24"/>
          <w:szCs w:val="24"/>
          <w:lang w:eastAsia="zh-CN"/>
        </w:rPr>
        <w:t>（</w:t>
      </w:r>
      <w:r>
        <w:rPr>
          <w:rFonts w:hint="eastAsia" w:ascii="Times New Roman" w:hAnsi="Times New Roman" w:eastAsia="Times New Roman" w:cs="Times New Roman"/>
          <w:color w:val="auto"/>
          <w:spacing w:val="-1"/>
          <w:sz w:val="24"/>
          <w:szCs w:val="24"/>
          <w:lang w:val="en-US" w:eastAsia="zh-CN"/>
        </w:rPr>
        <w:t>2</w:t>
      </w:r>
      <w:r>
        <w:rPr>
          <w:rFonts w:ascii="宋体" w:hAnsi="宋体" w:eastAsia="宋体" w:cs="宋体"/>
          <w:color w:val="auto"/>
          <w:spacing w:val="-1"/>
          <w:sz w:val="24"/>
          <w:szCs w:val="24"/>
          <w:lang w:eastAsia="zh-CN"/>
        </w:rPr>
        <w:t>）与国务院关于实施最严格水资源管理制度意见的符合性</w:t>
      </w:r>
    </w:p>
    <w:p w14:paraId="3454C4C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8" w:firstLineChars="200"/>
        <w:jc w:val="both"/>
        <w:textAlignment w:val="baseline"/>
        <w:rPr>
          <w:rFonts w:hint="default" w:ascii="Times New Roman" w:hAnsi="Times New Roman" w:eastAsia="宋体" w:cs="Times New Roman"/>
          <w:sz w:val="24"/>
          <w:szCs w:val="24"/>
          <w:lang w:eastAsia="zh-CN"/>
        </w:rPr>
      </w:pPr>
      <w:r>
        <w:rPr>
          <w:rFonts w:hint="default" w:ascii="Times New Roman" w:hAnsi="Times New Roman" w:eastAsia="宋体" w:cs="Times New Roman"/>
          <w:color w:val="auto"/>
          <w:spacing w:val="-8"/>
          <w:sz w:val="24"/>
          <w:szCs w:val="24"/>
          <w:lang w:eastAsia="zh-CN"/>
        </w:rPr>
        <w:t>《国务院关于实行最严格水资源管理制度的意见》（国发〔</w:t>
      </w:r>
      <w:r>
        <w:rPr>
          <w:rFonts w:hint="default" w:ascii="Times New Roman" w:hAnsi="Times New Roman" w:eastAsia="Times New Roman" w:cs="Times New Roman"/>
          <w:color w:val="auto"/>
          <w:spacing w:val="-8"/>
          <w:sz w:val="24"/>
          <w:szCs w:val="24"/>
          <w:lang w:eastAsia="zh-CN"/>
        </w:rPr>
        <w:t>2012</w:t>
      </w:r>
      <w:r>
        <w:rPr>
          <w:rFonts w:hint="default" w:ascii="Times New Roman" w:hAnsi="Times New Roman" w:eastAsia="宋体" w:cs="Times New Roman"/>
          <w:color w:val="auto"/>
          <w:spacing w:val="-8"/>
          <w:sz w:val="24"/>
          <w:szCs w:val="24"/>
          <w:lang w:eastAsia="zh-CN"/>
        </w:rPr>
        <w:t>〕</w:t>
      </w:r>
      <w:r>
        <w:rPr>
          <w:rFonts w:hint="default" w:ascii="Times New Roman" w:hAnsi="Times New Roman" w:eastAsia="Times New Roman" w:cs="Times New Roman"/>
          <w:color w:val="auto"/>
          <w:spacing w:val="-8"/>
          <w:sz w:val="24"/>
          <w:szCs w:val="24"/>
          <w:lang w:eastAsia="zh-CN"/>
        </w:rPr>
        <w:t>3</w:t>
      </w:r>
      <w:r>
        <w:rPr>
          <w:rFonts w:hint="default" w:ascii="Times New Roman" w:hAnsi="Times New Roman" w:eastAsia="宋体" w:cs="Times New Roman"/>
          <w:color w:val="auto"/>
          <w:spacing w:val="-8"/>
          <w:sz w:val="24"/>
          <w:szCs w:val="24"/>
          <w:lang w:eastAsia="zh-CN"/>
        </w:rPr>
        <w:t>号）指出，</w:t>
      </w:r>
      <w:r>
        <w:rPr>
          <w:rFonts w:hint="default" w:ascii="Times New Roman" w:hAnsi="Times New Roman" w:eastAsia="宋体" w:cs="Times New Roman"/>
          <w:color w:val="auto"/>
          <w:sz w:val="24"/>
          <w:szCs w:val="24"/>
          <w:lang w:eastAsia="zh-CN"/>
        </w:rPr>
        <w:t>要严格入河湖排污口监督管理，对排污量超出水功能区限</w:t>
      </w:r>
      <w:r>
        <w:rPr>
          <w:rFonts w:hint="default" w:ascii="Times New Roman" w:hAnsi="Times New Roman" w:eastAsia="宋体" w:cs="Times New Roman"/>
          <w:color w:val="auto"/>
          <w:spacing w:val="-1"/>
          <w:sz w:val="24"/>
          <w:szCs w:val="24"/>
          <w:lang w:eastAsia="zh-CN"/>
        </w:rPr>
        <w:t>排总量的地区，限制审</w:t>
      </w:r>
      <w:r>
        <w:rPr>
          <w:rFonts w:hint="default" w:ascii="Times New Roman" w:hAnsi="Times New Roman" w:eastAsia="宋体" w:cs="Times New Roman"/>
          <w:color w:val="auto"/>
          <w:sz w:val="24"/>
          <w:szCs w:val="24"/>
          <w:lang w:eastAsia="zh-CN"/>
        </w:rPr>
        <w:t>批新增取水和入河湖排污口。本工程入河排污口位于</w:t>
      </w:r>
      <w:r>
        <w:rPr>
          <w:rFonts w:hint="eastAsia" w:ascii="Times New Roman" w:hAnsi="Times New Roman" w:eastAsia="宋体" w:cs="Times New Roman"/>
          <w:color w:val="auto"/>
          <w:sz w:val="24"/>
          <w:szCs w:val="24"/>
          <w:lang w:val="en-US" w:eastAsia="zh-CN"/>
        </w:rPr>
        <w:t>青山河</w:t>
      </w:r>
      <w:r>
        <w:rPr>
          <w:rFonts w:hint="default" w:ascii="Times New Roman" w:hAnsi="Times New Roman" w:eastAsia="宋体" w:cs="Times New Roman"/>
          <w:color w:val="auto"/>
          <w:spacing w:val="-1"/>
          <w:sz w:val="24"/>
          <w:szCs w:val="24"/>
          <w:lang w:eastAsia="zh-CN"/>
        </w:rPr>
        <w:t>，根据《</w:t>
      </w:r>
      <w:r>
        <w:rPr>
          <w:rFonts w:hint="default" w:ascii="Times New Roman" w:hAnsi="Times New Roman" w:eastAsia="宋体" w:cs="Times New Roman"/>
          <w:color w:val="auto"/>
          <w:spacing w:val="-1"/>
          <w:sz w:val="24"/>
          <w:szCs w:val="24"/>
          <w:lang w:val="en-US" w:eastAsia="zh-CN"/>
        </w:rPr>
        <w:t>湘潭县</w:t>
      </w:r>
      <w:r>
        <w:rPr>
          <w:rFonts w:hint="default" w:ascii="Times New Roman" w:hAnsi="Times New Roman" w:eastAsia="宋体" w:cs="Times New Roman"/>
          <w:color w:val="auto"/>
          <w:spacing w:val="-1"/>
          <w:sz w:val="24"/>
          <w:szCs w:val="24"/>
          <w:lang w:eastAsia="zh-CN"/>
        </w:rPr>
        <w:t>水功能区划》（</w:t>
      </w:r>
      <w:r>
        <w:rPr>
          <w:rFonts w:hint="default" w:ascii="Times New Roman" w:hAnsi="Times New Roman" w:eastAsia="Times New Roman" w:cs="Times New Roman"/>
          <w:color w:val="auto"/>
          <w:spacing w:val="-1"/>
          <w:sz w:val="24"/>
          <w:szCs w:val="24"/>
          <w:lang w:eastAsia="zh-CN"/>
        </w:rPr>
        <w:t>2016</w:t>
      </w:r>
      <w:r>
        <w:rPr>
          <w:rFonts w:hint="default" w:ascii="Times New Roman" w:hAnsi="Times New Roman" w:eastAsia="宋体" w:cs="Times New Roman"/>
          <w:color w:val="auto"/>
          <w:spacing w:val="-1"/>
          <w:sz w:val="24"/>
          <w:szCs w:val="24"/>
          <w:lang w:eastAsia="zh-CN"/>
        </w:rPr>
        <w:t>年</w:t>
      </w:r>
      <w:r>
        <w:rPr>
          <w:rFonts w:hint="default" w:ascii="Times New Roman" w:hAnsi="Times New Roman" w:eastAsia="宋体" w:cs="Times New Roman"/>
          <w:color w:val="auto"/>
          <w:spacing w:val="13"/>
          <w:sz w:val="24"/>
          <w:szCs w:val="24"/>
          <w:lang w:eastAsia="zh-CN"/>
        </w:rPr>
        <w:t>），</w:t>
      </w:r>
      <w:r>
        <w:rPr>
          <w:rFonts w:hint="default" w:ascii="Times New Roman" w:hAnsi="Times New Roman" w:eastAsia="宋体" w:cs="Times New Roman"/>
          <w:color w:val="auto"/>
          <w:spacing w:val="-1"/>
          <w:sz w:val="24"/>
          <w:szCs w:val="24"/>
          <w:lang w:eastAsia="zh-CN"/>
        </w:rPr>
        <w:t>排污口所在</w:t>
      </w:r>
      <w:r>
        <w:rPr>
          <w:rFonts w:hint="default" w:ascii="Times New Roman" w:hAnsi="Times New Roman" w:eastAsia="宋体" w:cs="Times New Roman"/>
          <w:color w:val="auto"/>
          <w:spacing w:val="-1"/>
          <w:sz w:val="24"/>
          <w:szCs w:val="24"/>
          <w:lang w:val="en-US" w:eastAsia="zh-CN"/>
        </w:rPr>
        <w:t>河段</w:t>
      </w:r>
      <w:r>
        <w:rPr>
          <w:rFonts w:hint="default" w:ascii="Times New Roman" w:hAnsi="Times New Roman" w:eastAsia="宋体" w:cs="Times New Roman"/>
          <w:color w:val="auto"/>
          <w:spacing w:val="-1"/>
          <w:sz w:val="24"/>
          <w:szCs w:val="24"/>
          <w:lang w:eastAsia="zh-CN"/>
        </w:rPr>
        <w:t>属于</w:t>
      </w:r>
      <w:r>
        <w:rPr>
          <w:rFonts w:hint="eastAsia" w:ascii="Times New Roman" w:hAnsi="Times New Roman" w:eastAsia="宋体" w:cs="Times New Roman"/>
          <w:color w:val="auto"/>
          <w:spacing w:val="-1"/>
          <w:sz w:val="24"/>
          <w:szCs w:val="24"/>
          <w:lang w:val="en-US" w:eastAsia="zh-CN"/>
        </w:rPr>
        <w:t>保留区</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pacing w:val="-1"/>
          <w:sz w:val="24"/>
          <w:szCs w:val="24"/>
          <w:lang w:eastAsia="zh-CN"/>
        </w:rPr>
        <w:t>水</w:t>
      </w:r>
      <w:r>
        <w:rPr>
          <w:rFonts w:hint="default" w:ascii="Times New Roman" w:hAnsi="Times New Roman" w:eastAsia="宋体" w:cs="Times New Roman"/>
          <w:color w:val="auto"/>
          <w:sz w:val="24"/>
          <w:szCs w:val="24"/>
          <w:lang w:eastAsia="zh-CN"/>
        </w:rPr>
        <w:t>质管理目标为</w:t>
      </w:r>
      <w:r>
        <w:rPr>
          <w:rFonts w:hint="default" w:ascii="Times New Roman" w:hAnsi="Times New Roman" w:eastAsia="宋体" w:cs="Times New Roman"/>
          <w:color w:val="auto"/>
          <w:spacing w:val="-4"/>
          <w:sz w:val="24"/>
          <w:szCs w:val="24"/>
          <w:lang w:eastAsia="zh-CN"/>
        </w:rPr>
        <w:t>Ⅲ</w:t>
      </w:r>
      <w:r>
        <w:rPr>
          <w:rFonts w:hint="default" w:ascii="Times New Roman" w:hAnsi="Times New Roman" w:eastAsia="宋体" w:cs="Times New Roman"/>
          <w:color w:val="auto"/>
          <w:sz w:val="24"/>
          <w:szCs w:val="24"/>
          <w:lang w:eastAsia="zh-CN"/>
        </w:rPr>
        <w:t>类，根据环境质量监测结果，</w:t>
      </w:r>
      <w:r>
        <w:rPr>
          <w:rFonts w:hint="default" w:ascii="Times New Roman" w:hAnsi="Times New Roman" w:eastAsia="宋体" w:cs="Times New Roman"/>
          <w:color w:val="auto"/>
          <w:spacing w:val="-1"/>
          <w:sz w:val="24"/>
          <w:szCs w:val="24"/>
          <w:lang w:eastAsia="zh-CN"/>
        </w:rPr>
        <w:t>实测断面的所有指</w:t>
      </w:r>
      <w:r>
        <w:rPr>
          <w:rFonts w:hint="default" w:ascii="Times New Roman" w:hAnsi="Times New Roman" w:eastAsia="宋体" w:cs="Times New Roman"/>
          <w:color w:val="auto"/>
          <w:spacing w:val="-6"/>
          <w:sz w:val="24"/>
          <w:szCs w:val="24"/>
          <w:lang w:eastAsia="zh-CN"/>
        </w:rPr>
        <w:t>标均达到《地表水环境质量标准》（</w:t>
      </w:r>
      <w:r>
        <w:rPr>
          <w:rFonts w:hint="default" w:ascii="Times New Roman" w:hAnsi="Times New Roman" w:eastAsia="Times New Roman" w:cs="Times New Roman"/>
          <w:color w:val="auto"/>
          <w:spacing w:val="-6"/>
          <w:sz w:val="24"/>
          <w:szCs w:val="24"/>
          <w:lang w:eastAsia="zh-CN"/>
        </w:rPr>
        <w:t>GB3838-2002</w:t>
      </w:r>
      <w:r>
        <w:rPr>
          <w:rFonts w:hint="default" w:ascii="Times New Roman" w:hAnsi="Times New Roman" w:eastAsia="宋体" w:cs="Times New Roman"/>
          <w:color w:val="auto"/>
          <w:spacing w:val="-6"/>
          <w:sz w:val="24"/>
          <w:szCs w:val="24"/>
          <w:lang w:eastAsia="zh-CN"/>
        </w:rPr>
        <w:t>）</w:t>
      </w:r>
      <w:r>
        <w:rPr>
          <w:rFonts w:hint="default" w:ascii="Times New Roman" w:hAnsi="Times New Roman" w:eastAsia="宋体" w:cs="Times New Roman"/>
          <w:color w:val="auto"/>
          <w:spacing w:val="-4"/>
          <w:sz w:val="24"/>
          <w:szCs w:val="24"/>
          <w:lang w:eastAsia="zh-CN"/>
        </w:rPr>
        <w:t>Ⅲ</w:t>
      </w:r>
      <w:r>
        <w:rPr>
          <w:rFonts w:hint="default" w:ascii="Times New Roman" w:hAnsi="Times New Roman" w:eastAsia="宋体" w:cs="Times New Roman"/>
          <w:color w:val="auto"/>
          <w:spacing w:val="-6"/>
          <w:sz w:val="24"/>
          <w:szCs w:val="24"/>
          <w:lang w:eastAsia="zh-CN"/>
        </w:rPr>
        <w:t>类标准限值，</w:t>
      </w:r>
      <w:r>
        <w:rPr>
          <w:rFonts w:hint="default" w:ascii="Times New Roman" w:hAnsi="Times New Roman" w:eastAsia="宋体" w:cs="Times New Roman"/>
          <w:color w:val="auto"/>
          <w:spacing w:val="-7"/>
          <w:sz w:val="24"/>
          <w:szCs w:val="24"/>
          <w:lang w:eastAsia="zh-CN"/>
        </w:rPr>
        <w:t>根据预测计算，</w:t>
      </w:r>
      <w:r>
        <w:rPr>
          <w:rFonts w:hint="default" w:ascii="Times New Roman" w:hAnsi="Times New Roman" w:eastAsia="宋体" w:cs="Times New Roman"/>
          <w:color w:val="auto"/>
          <w:sz w:val="24"/>
          <w:szCs w:val="24"/>
          <w:lang w:eastAsia="zh-CN"/>
        </w:rPr>
        <w:t>目前</w:t>
      </w:r>
      <w:r>
        <w:rPr>
          <w:rFonts w:hint="eastAsia" w:ascii="Times New Roman" w:hAnsi="Times New Roman" w:eastAsia="宋体" w:cs="Times New Roman"/>
          <w:color w:val="auto"/>
          <w:sz w:val="24"/>
          <w:szCs w:val="24"/>
          <w:lang w:val="en-US" w:eastAsia="zh-CN"/>
        </w:rPr>
        <w:t>青山河</w:t>
      </w:r>
      <w:r>
        <w:rPr>
          <w:rFonts w:hint="default" w:ascii="Times New Roman" w:hAnsi="Times New Roman" w:eastAsia="宋体" w:cs="Times New Roman"/>
          <w:color w:val="auto"/>
          <w:sz w:val="24"/>
          <w:szCs w:val="24"/>
          <w:lang w:eastAsia="zh-CN"/>
        </w:rPr>
        <w:t>未超过其水域纳污能力和限制排污总量。则</w:t>
      </w:r>
      <w:r>
        <w:rPr>
          <w:rFonts w:hint="default" w:ascii="Times New Roman" w:hAnsi="Times New Roman" w:eastAsia="宋体" w:cs="Times New Roman"/>
          <w:sz w:val="24"/>
          <w:szCs w:val="24"/>
          <w:lang w:eastAsia="zh-CN"/>
        </w:rPr>
        <w:t>本工</w:t>
      </w:r>
      <w:r>
        <w:rPr>
          <w:rFonts w:hint="default" w:ascii="Times New Roman" w:hAnsi="Times New Roman" w:eastAsia="宋体" w:cs="Times New Roman"/>
          <w:spacing w:val="-1"/>
          <w:sz w:val="24"/>
          <w:szCs w:val="24"/>
          <w:lang w:eastAsia="zh-CN"/>
        </w:rPr>
        <w:t>程与《国务院关于实行最严格水资源管理制度的意见》（国发〔</w:t>
      </w:r>
      <w:r>
        <w:rPr>
          <w:rFonts w:hint="default" w:ascii="Times New Roman" w:hAnsi="Times New Roman" w:eastAsia="Times New Roman" w:cs="Times New Roman"/>
          <w:spacing w:val="-1"/>
          <w:sz w:val="24"/>
          <w:szCs w:val="24"/>
          <w:lang w:eastAsia="zh-CN"/>
        </w:rPr>
        <w:t>2012</w:t>
      </w:r>
      <w:r>
        <w:rPr>
          <w:rFonts w:hint="default" w:ascii="Times New Roman" w:hAnsi="Times New Roman" w:eastAsia="宋体" w:cs="Times New Roman"/>
          <w:spacing w:val="-1"/>
          <w:sz w:val="24"/>
          <w:szCs w:val="24"/>
          <w:lang w:eastAsia="zh-CN"/>
        </w:rPr>
        <w:t>〕</w:t>
      </w:r>
      <w:r>
        <w:rPr>
          <w:rFonts w:hint="default" w:ascii="Times New Roman" w:hAnsi="Times New Roman" w:eastAsia="Times New Roman" w:cs="Times New Roman"/>
          <w:spacing w:val="-1"/>
          <w:sz w:val="24"/>
          <w:szCs w:val="24"/>
          <w:lang w:eastAsia="zh-CN"/>
        </w:rPr>
        <w:t>3</w:t>
      </w:r>
      <w:r>
        <w:rPr>
          <w:rFonts w:hint="default" w:ascii="Times New Roman" w:hAnsi="Times New Roman" w:eastAsia="宋体" w:cs="Times New Roman"/>
          <w:spacing w:val="-1"/>
          <w:sz w:val="24"/>
          <w:szCs w:val="24"/>
          <w:lang w:eastAsia="zh-CN"/>
        </w:rPr>
        <w:t>号）相符合。</w:t>
      </w:r>
    </w:p>
    <w:p w14:paraId="30F637A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ascii="宋体" w:hAnsi="宋体" w:eastAsia="宋体" w:cs="宋体"/>
          <w:sz w:val="24"/>
          <w:szCs w:val="24"/>
          <w:lang w:eastAsia="zh-CN"/>
        </w:rPr>
      </w:pPr>
      <w:r>
        <w:rPr>
          <w:rFonts w:ascii="宋体" w:hAnsi="宋体" w:eastAsia="宋体" w:cs="宋体"/>
          <w:spacing w:val="-1"/>
          <w:sz w:val="24"/>
          <w:szCs w:val="24"/>
          <w:lang w:eastAsia="zh-CN"/>
        </w:rPr>
        <w:t>（</w:t>
      </w:r>
      <w:r>
        <w:rPr>
          <w:rFonts w:hint="eastAsia" w:ascii="Times New Roman" w:hAnsi="Times New Roman" w:eastAsia="Times New Roman" w:cs="Times New Roman"/>
          <w:spacing w:val="-1"/>
          <w:sz w:val="24"/>
          <w:szCs w:val="24"/>
          <w:lang w:val="en-US" w:eastAsia="zh-CN"/>
        </w:rPr>
        <w:t>3</w:t>
      </w:r>
      <w:r>
        <w:rPr>
          <w:rFonts w:ascii="宋体" w:hAnsi="宋体" w:eastAsia="宋体" w:cs="宋体"/>
          <w:spacing w:val="-1"/>
          <w:sz w:val="24"/>
          <w:szCs w:val="24"/>
          <w:lang w:eastAsia="zh-CN"/>
        </w:rPr>
        <w:t>）与《中华人民共和国渔业法》相符性分析</w:t>
      </w:r>
    </w:p>
    <w:p w14:paraId="3A49C69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ascii="宋体" w:hAnsi="宋体" w:eastAsia="宋体" w:cs="宋体"/>
          <w:sz w:val="24"/>
          <w:szCs w:val="24"/>
          <w:lang w:eastAsia="zh-CN"/>
        </w:rPr>
      </w:pPr>
      <w:r>
        <w:rPr>
          <w:rFonts w:ascii="宋体" w:hAnsi="宋体" w:eastAsia="宋体" w:cs="宋体"/>
          <w:spacing w:val="-1"/>
          <w:sz w:val="24"/>
          <w:szCs w:val="24"/>
          <w:lang w:eastAsia="zh-CN"/>
        </w:rPr>
        <w:t>根据《中华人民共和国渔业法》相关规定，对建设项目的限制性规定为“第三</w:t>
      </w:r>
      <w:r>
        <w:rPr>
          <w:rFonts w:ascii="宋体" w:hAnsi="宋体" w:eastAsia="宋体" w:cs="宋体"/>
          <w:sz w:val="24"/>
          <w:szCs w:val="24"/>
          <w:lang w:eastAsia="zh-CN"/>
        </w:rPr>
        <w:t>十五条：进行水下爆破、勘探、施工作业，对渔业资</w:t>
      </w:r>
      <w:r>
        <w:rPr>
          <w:rFonts w:ascii="宋体" w:hAnsi="宋体" w:eastAsia="宋体" w:cs="宋体"/>
          <w:spacing w:val="-1"/>
          <w:sz w:val="24"/>
          <w:szCs w:val="24"/>
          <w:lang w:eastAsia="zh-CN"/>
        </w:rPr>
        <w:t>源有严重影响的，作业单位</w:t>
      </w:r>
      <w:r>
        <w:rPr>
          <w:rFonts w:ascii="宋体" w:hAnsi="宋体" w:eastAsia="宋体" w:cs="宋体"/>
          <w:sz w:val="24"/>
          <w:szCs w:val="24"/>
          <w:lang w:eastAsia="zh-CN"/>
        </w:rPr>
        <w:t>应当事先同有关县级以上人民政府渔业行政主管部门协</w:t>
      </w:r>
      <w:r>
        <w:rPr>
          <w:rFonts w:ascii="宋体" w:hAnsi="宋体" w:eastAsia="宋体" w:cs="宋体"/>
          <w:spacing w:val="-1"/>
          <w:sz w:val="24"/>
          <w:szCs w:val="24"/>
          <w:lang w:eastAsia="zh-CN"/>
        </w:rPr>
        <w:t>商，采取措施，防止或者</w:t>
      </w:r>
      <w:r>
        <w:rPr>
          <w:rFonts w:ascii="宋体" w:hAnsi="宋体" w:eastAsia="宋体" w:cs="宋体"/>
          <w:sz w:val="24"/>
          <w:szCs w:val="24"/>
          <w:lang w:eastAsia="zh-CN"/>
        </w:rPr>
        <w:t>减少对渔业资源的损害；造成渔业资源损失的，由有关县</w:t>
      </w:r>
      <w:r>
        <w:rPr>
          <w:rFonts w:ascii="宋体" w:hAnsi="宋体" w:eastAsia="宋体" w:cs="宋体"/>
          <w:spacing w:val="-1"/>
          <w:sz w:val="24"/>
          <w:szCs w:val="24"/>
          <w:lang w:eastAsia="zh-CN"/>
        </w:rPr>
        <w:t>级以上人民政府责令赔</w:t>
      </w:r>
      <w:r>
        <w:rPr>
          <w:rFonts w:ascii="宋体" w:hAnsi="宋体" w:eastAsia="宋体" w:cs="宋体"/>
          <w:spacing w:val="-3"/>
          <w:sz w:val="24"/>
          <w:szCs w:val="24"/>
          <w:lang w:eastAsia="zh-CN"/>
        </w:rPr>
        <w:t>偿”。</w:t>
      </w:r>
    </w:p>
    <w:p w14:paraId="76AAAFB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ascii="宋体" w:hAnsi="宋体" w:eastAsia="宋体" w:cs="宋体"/>
          <w:sz w:val="24"/>
          <w:szCs w:val="24"/>
          <w:lang w:eastAsia="zh-CN"/>
        </w:rPr>
      </w:pPr>
      <w:r>
        <w:rPr>
          <w:rFonts w:ascii="宋体" w:hAnsi="宋体" w:eastAsia="宋体" w:cs="宋体"/>
          <w:spacing w:val="-1"/>
          <w:sz w:val="24"/>
          <w:szCs w:val="24"/>
          <w:lang w:eastAsia="zh-CN"/>
        </w:rPr>
        <w:t>本项目排污口设置于</w:t>
      </w:r>
      <w:r>
        <w:rPr>
          <w:rFonts w:hint="eastAsia" w:ascii="宋体" w:hAnsi="宋体" w:eastAsia="宋体" w:cs="宋体"/>
          <w:spacing w:val="-1"/>
          <w:sz w:val="24"/>
          <w:szCs w:val="24"/>
          <w:lang w:val="en-US" w:eastAsia="zh-CN"/>
        </w:rPr>
        <w:t>青山河</w:t>
      </w:r>
      <w:r>
        <w:rPr>
          <w:rFonts w:ascii="宋体" w:hAnsi="宋体" w:eastAsia="宋体" w:cs="宋体"/>
          <w:spacing w:val="-1"/>
          <w:sz w:val="24"/>
          <w:szCs w:val="24"/>
          <w:lang w:eastAsia="zh-CN"/>
        </w:rPr>
        <w:t>，本项目入河排污口</w:t>
      </w:r>
      <w:r>
        <w:rPr>
          <w:rFonts w:hint="eastAsia" w:ascii="宋体" w:hAnsi="宋体" w:eastAsia="宋体" w:cs="宋体"/>
          <w:spacing w:val="-1"/>
          <w:sz w:val="24"/>
          <w:szCs w:val="24"/>
          <w:lang w:val="en-US" w:eastAsia="zh-CN"/>
        </w:rPr>
        <w:t>不涉及</w:t>
      </w:r>
      <w:r>
        <w:rPr>
          <w:rFonts w:hint="eastAsia" w:ascii="宋体" w:hAnsi="宋体" w:eastAsia="宋体" w:cs="宋体"/>
          <w:spacing w:val="-1"/>
          <w:sz w:val="24"/>
          <w:szCs w:val="24"/>
          <w:lang w:eastAsia="zh-CN"/>
        </w:rPr>
        <w:t>水下爆破、勘探、施工作业</w:t>
      </w:r>
      <w:r>
        <w:rPr>
          <w:rFonts w:ascii="宋体" w:hAnsi="宋体" w:eastAsia="宋体" w:cs="宋体"/>
          <w:spacing w:val="-2"/>
          <w:sz w:val="24"/>
          <w:szCs w:val="24"/>
          <w:lang w:eastAsia="zh-CN"/>
        </w:rPr>
        <w:t>，因此符合《中华人民共和国渔业法》相关规定。</w:t>
      </w:r>
    </w:p>
    <w:p w14:paraId="3A594CCA">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2"/>
        <w:rPr>
          <w:rFonts w:ascii="宋体" w:hAnsi="宋体" w:eastAsia="宋体" w:cs="宋体"/>
          <w:sz w:val="24"/>
          <w:szCs w:val="24"/>
          <w:u w:val="single"/>
          <w:lang w:eastAsia="zh-CN"/>
        </w:rPr>
      </w:pPr>
      <w:bookmarkStart w:id="293" w:name="_Toc7689"/>
      <w:bookmarkStart w:id="294" w:name="_Toc26703"/>
      <w:r>
        <w:rPr>
          <w:rFonts w:ascii="Times New Roman" w:hAnsi="Times New Roman" w:eastAsia="Times New Roman" w:cs="Times New Roman"/>
          <w:b/>
          <w:bCs/>
          <w:spacing w:val="-2"/>
          <w:sz w:val="24"/>
          <w:szCs w:val="24"/>
          <w:u w:val="single"/>
          <w:lang w:eastAsia="zh-CN"/>
        </w:rPr>
        <w:t>9.</w:t>
      </w:r>
      <w:r>
        <w:rPr>
          <w:rFonts w:hint="eastAsia" w:ascii="Times New Roman" w:hAnsi="Times New Roman" w:eastAsia="Times New Roman" w:cs="Times New Roman"/>
          <w:b/>
          <w:bCs/>
          <w:spacing w:val="-2"/>
          <w:sz w:val="24"/>
          <w:szCs w:val="24"/>
          <w:u w:val="single"/>
          <w:lang w:val="en-US" w:eastAsia="zh-CN"/>
        </w:rPr>
        <w:t>1</w:t>
      </w:r>
      <w:r>
        <w:rPr>
          <w:rFonts w:ascii="Times New Roman" w:hAnsi="Times New Roman" w:eastAsia="Times New Roman" w:cs="Times New Roman"/>
          <w:b/>
          <w:bCs/>
          <w:spacing w:val="-2"/>
          <w:sz w:val="24"/>
          <w:szCs w:val="24"/>
          <w:u w:val="single"/>
          <w:lang w:eastAsia="zh-CN"/>
        </w:rPr>
        <w:t>.2</w:t>
      </w:r>
      <w:r>
        <w:rPr>
          <w:rFonts w:ascii="宋体" w:hAnsi="宋体" w:eastAsia="宋体" w:cs="宋体"/>
          <w:b/>
          <w:bCs/>
          <w:spacing w:val="-2"/>
          <w:sz w:val="24"/>
          <w:szCs w:val="24"/>
          <w:u w:val="single"/>
          <w:lang w:eastAsia="zh-CN"/>
        </w:rPr>
        <w:t>与国家或地方政策相符性分析</w:t>
      </w:r>
      <w:bookmarkEnd w:id="293"/>
      <w:bookmarkEnd w:id="294"/>
    </w:p>
    <w:p w14:paraId="2ED1AEC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rPr>
          <w:rFonts w:ascii="宋体" w:hAnsi="宋体" w:eastAsia="宋体" w:cs="宋体"/>
          <w:sz w:val="24"/>
          <w:szCs w:val="24"/>
          <w:u w:val="single"/>
          <w:lang w:eastAsia="zh-CN"/>
        </w:rPr>
      </w:pPr>
      <w:r>
        <w:rPr>
          <w:rFonts w:ascii="宋体" w:hAnsi="宋体" w:eastAsia="宋体" w:cs="宋体"/>
          <w:spacing w:val="-2"/>
          <w:sz w:val="24"/>
          <w:szCs w:val="24"/>
          <w:u w:val="single"/>
          <w:lang w:eastAsia="zh-CN"/>
        </w:rPr>
        <w:t>（</w:t>
      </w:r>
      <w:r>
        <w:rPr>
          <w:rFonts w:ascii="Times New Roman" w:hAnsi="Times New Roman" w:eastAsia="Times New Roman" w:cs="Times New Roman"/>
          <w:spacing w:val="-2"/>
          <w:sz w:val="24"/>
          <w:szCs w:val="24"/>
          <w:u w:val="single"/>
          <w:lang w:eastAsia="zh-CN"/>
        </w:rPr>
        <w:t>1</w:t>
      </w:r>
      <w:r>
        <w:rPr>
          <w:rFonts w:ascii="宋体" w:hAnsi="宋体" w:eastAsia="宋体" w:cs="宋体"/>
          <w:spacing w:val="-2"/>
          <w:sz w:val="24"/>
          <w:szCs w:val="24"/>
          <w:u w:val="single"/>
          <w:lang w:eastAsia="zh-CN"/>
        </w:rPr>
        <w:t>）国家产业政策符合性分析</w:t>
      </w:r>
    </w:p>
    <w:p w14:paraId="28775C6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textAlignment w:val="baseline"/>
        <w:rPr>
          <w:rFonts w:ascii="宋体" w:hAnsi="宋体" w:eastAsia="宋体" w:cs="宋体"/>
          <w:spacing w:val="-1"/>
          <w:sz w:val="24"/>
          <w:szCs w:val="24"/>
          <w:u w:val="single"/>
          <w:lang w:eastAsia="zh-CN"/>
        </w:rPr>
      </w:pPr>
      <w:r>
        <w:rPr>
          <w:rFonts w:hint="eastAsia" w:ascii="Times New Roman" w:hAnsi="Times New Roman" w:eastAsia="宋体" w:cs="Times New Roman"/>
          <w:color w:val="auto"/>
          <w:sz w:val="24"/>
          <w:szCs w:val="24"/>
          <w:u w:val="single"/>
          <w:lang w:eastAsia="zh-CN"/>
        </w:rPr>
        <w:t>项目产品为精制槟榔，不属于《产业结构调整指导目录（2024年）》中限制类及淘汰类项目。因此本项目建设符合国家产业政策。</w:t>
      </w:r>
    </w:p>
    <w:p w14:paraId="4DB1BD9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ascii="宋体" w:hAnsi="宋体" w:eastAsia="宋体" w:cs="宋体"/>
          <w:sz w:val="24"/>
          <w:szCs w:val="24"/>
          <w:u w:val="single"/>
          <w:lang w:eastAsia="zh-CN"/>
        </w:rPr>
      </w:pPr>
      <w:r>
        <w:rPr>
          <w:rFonts w:ascii="宋体" w:hAnsi="宋体" w:eastAsia="宋体" w:cs="宋体"/>
          <w:spacing w:val="-1"/>
          <w:sz w:val="24"/>
          <w:szCs w:val="24"/>
          <w:u w:val="single"/>
          <w:lang w:eastAsia="zh-CN"/>
        </w:rPr>
        <w:t>（</w:t>
      </w:r>
      <w:r>
        <w:rPr>
          <w:rFonts w:ascii="Times New Roman" w:hAnsi="Times New Roman" w:eastAsia="Times New Roman" w:cs="Times New Roman"/>
          <w:spacing w:val="-1"/>
          <w:sz w:val="24"/>
          <w:szCs w:val="24"/>
          <w:u w:val="single"/>
          <w:lang w:eastAsia="zh-CN"/>
        </w:rPr>
        <w:t>2</w:t>
      </w:r>
      <w:r>
        <w:rPr>
          <w:rFonts w:ascii="宋体" w:hAnsi="宋体" w:eastAsia="宋体" w:cs="宋体"/>
          <w:spacing w:val="-1"/>
          <w:sz w:val="24"/>
          <w:szCs w:val="24"/>
          <w:u w:val="single"/>
          <w:lang w:eastAsia="zh-CN"/>
        </w:rPr>
        <w:t>）与《入河排污口监督管理办法》符合性分析</w:t>
      </w:r>
    </w:p>
    <w:p w14:paraId="75EA0DB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2" w:firstLineChars="200"/>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3"/>
          <w:sz w:val="24"/>
          <w:szCs w:val="24"/>
          <w:u w:val="single"/>
          <w:lang w:eastAsia="zh-CN"/>
        </w:rPr>
        <w:t>①本项目排污口位于</w:t>
      </w:r>
      <w:r>
        <w:rPr>
          <w:rFonts w:hint="eastAsia" w:ascii="Times New Roman" w:hAnsi="Times New Roman" w:eastAsia="宋体" w:cs="Times New Roman"/>
          <w:spacing w:val="3"/>
          <w:sz w:val="24"/>
          <w:szCs w:val="24"/>
          <w:u w:val="single"/>
          <w:lang w:val="en-US" w:eastAsia="zh-CN"/>
        </w:rPr>
        <w:t>青山河左岸</w:t>
      </w:r>
      <w:r>
        <w:rPr>
          <w:rFonts w:ascii="Times New Roman" w:hAnsi="Times New Roman" w:eastAsia="宋体" w:cs="Times New Roman"/>
          <w:spacing w:val="3"/>
          <w:sz w:val="24"/>
          <w:szCs w:val="24"/>
          <w:u w:val="single"/>
          <w:lang w:eastAsia="zh-CN"/>
        </w:rPr>
        <w:t>岸，受纳水体为</w:t>
      </w:r>
      <w:r>
        <w:rPr>
          <w:rFonts w:hint="eastAsia" w:ascii="Times New Roman" w:hAnsi="Times New Roman" w:eastAsia="宋体" w:cs="Times New Roman"/>
          <w:spacing w:val="3"/>
          <w:sz w:val="24"/>
          <w:szCs w:val="24"/>
          <w:u w:val="single"/>
          <w:lang w:val="en-US" w:eastAsia="zh-CN"/>
        </w:rPr>
        <w:t>青山河</w:t>
      </w:r>
      <w:r>
        <w:rPr>
          <w:rFonts w:ascii="Times New Roman" w:hAnsi="Times New Roman" w:eastAsia="宋体" w:cs="Times New Roman"/>
          <w:spacing w:val="3"/>
          <w:sz w:val="24"/>
          <w:szCs w:val="24"/>
          <w:u w:val="single"/>
          <w:lang w:eastAsia="zh-CN"/>
        </w:rPr>
        <w:t>，该河段</w:t>
      </w:r>
      <w:r>
        <w:rPr>
          <w:rFonts w:ascii="Times New Roman" w:hAnsi="Times New Roman" w:eastAsia="宋体" w:cs="Times New Roman"/>
          <w:spacing w:val="2"/>
          <w:sz w:val="24"/>
          <w:szCs w:val="24"/>
          <w:u w:val="single"/>
          <w:lang w:eastAsia="zh-CN"/>
        </w:rPr>
        <w:t>不属于饮用水</w:t>
      </w:r>
      <w:r>
        <w:rPr>
          <w:rFonts w:ascii="Times New Roman" w:hAnsi="Times New Roman" w:eastAsia="宋体" w:cs="Times New Roman"/>
          <w:spacing w:val="-3"/>
          <w:sz w:val="24"/>
          <w:szCs w:val="24"/>
          <w:u w:val="single"/>
          <w:lang w:eastAsia="zh-CN"/>
        </w:rPr>
        <w:t>水源保护区。</w:t>
      </w:r>
    </w:p>
    <w:p w14:paraId="0176641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20" w:firstLineChars="200"/>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10"/>
          <w:sz w:val="24"/>
          <w:szCs w:val="24"/>
          <w:u w:val="single"/>
          <w:lang w:eastAsia="zh-CN"/>
        </w:rPr>
        <w:t>②排污口及上下游水域均不属于省级以上人民政府要求削减排污总量的水</w:t>
      </w:r>
      <w:r>
        <w:rPr>
          <w:rFonts w:ascii="Times New Roman" w:hAnsi="Times New Roman" w:eastAsia="宋体" w:cs="Times New Roman"/>
          <w:spacing w:val="-6"/>
          <w:sz w:val="24"/>
          <w:szCs w:val="24"/>
          <w:u w:val="single"/>
          <w:lang w:eastAsia="zh-CN"/>
        </w:rPr>
        <w:t>域。</w:t>
      </w:r>
    </w:p>
    <w:p w14:paraId="4E0A745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2" w:firstLineChars="200"/>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3"/>
          <w:sz w:val="24"/>
          <w:szCs w:val="24"/>
          <w:u w:val="single"/>
          <w:lang w:eastAsia="zh-CN"/>
        </w:rPr>
        <w:t>③根据现状补充监测结果论证范围内现状水质较好，能够达到功</w:t>
      </w:r>
      <w:r>
        <w:rPr>
          <w:rFonts w:ascii="Times New Roman" w:hAnsi="Times New Roman" w:eastAsia="宋体" w:cs="Times New Roman"/>
          <w:spacing w:val="2"/>
          <w:sz w:val="24"/>
          <w:szCs w:val="24"/>
          <w:u w:val="single"/>
          <w:lang w:eastAsia="zh-CN"/>
        </w:rPr>
        <w:t>能区水质要</w:t>
      </w:r>
      <w:r>
        <w:rPr>
          <w:rFonts w:ascii="Times New Roman" w:hAnsi="Times New Roman" w:eastAsia="宋体" w:cs="Times New Roman"/>
          <w:spacing w:val="-6"/>
          <w:sz w:val="24"/>
          <w:szCs w:val="24"/>
          <w:u w:val="single"/>
          <w:lang w:eastAsia="zh-CN"/>
        </w:rPr>
        <w:t>求。</w:t>
      </w:r>
    </w:p>
    <w:p w14:paraId="3CC2059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2" w:firstLineChars="200"/>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3"/>
          <w:sz w:val="24"/>
          <w:szCs w:val="24"/>
          <w:u w:val="single"/>
          <w:lang w:eastAsia="zh-CN"/>
        </w:rPr>
        <w:t>④本项目拟设排污口为岸边排放，基本不会对河道防洪产生影响</w:t>
      </w:r>
      <w:r>
        <w:rPr>
          <w:rFonts w:ascii="Times New Roman" w:hAnsi="Times New Roman" w:eastAsia="宋体" w:cs="Times New Roman"/>
          <w:spacing w:val="2"/>
          <w:sz w:val="24"/>
          <w:szCs w:val="24"/>
          <w:u w:val="single"/>
          <w:lang w:eastAsia="zh-CN"/>
        </w:rPr>
        <w:t>，不存在不</w:t>
      </w:r>
      <w:r>
        <w:rPr>
          <w:rFonts w:ascii="Times New Roman" w:hAnsi="Times New Roman" w:eastAsia="宋体" w:cs="Times New Roman"/>
          <w:spacing w:val="-2"/>
          <w:sz w:val="24"/>
          <w:szCs w:val="24"/>
          <w:u w:val="single"/>
          <w:lang w:eastAsia="zh-CN"/>
        </w:rPr>
        <w:t>符合防洪要求。</w:t>
      </w:r>
    </w:p>
    <w:p w14:paraId="05B48D4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2"/>
          <w:sz w:val="24"/>
          <w:szCs w:val="24"/>
          <w:u w:val="single"/>
          <w:lang w:eastAsia="zh-CN"/>
        </w:rPr>
        <w:t>⑤本项目设置的排污口不存在不符合法律、法规和国家产业政策规定的情况。</w:t>
      </w:r>
    </w:p>
    <w:p w14:paraId="20078E53">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520" w:firstLineChars="200"/>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10"/>
          <w:sz w:val="24"/>
          <w:szCs w:val="24"/>
          <w:u w:val="single"/>
          <w:lang w:eastAsia="zh-CN"/>
        </w:rPr>
        <w:t>⑥本项目设置的排污口不存在其他不符合国务院水行政主管部门规定条件</w:t>
      </w:r>
      <w:r>
        <w:rPr>
          <w:rFonts w:ascii="Times New Roman" w:hAnsi="Times New Roman" w:eastAsia="宋体" w:cs="Times New Roman"/>
          <w:spacing w:val="-15"/>
          <w:sz w:val="24"/>
          <w:szCs w:val="24"/>
          <w:u w:val="single"/>
          <w:lang w:eastAsia="zh-CN"/>
        </w:rPr>
        <w:t>的。</w:t>
      </w:r>
    </w:p>
    <w:p w14:paraId="22536F3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1"/>
          <w:sz w:val="24"/>
          <w:szCs w:val="24"/>
          <w:u w:val="single"/>
          <w:lang w:eastAsia="zh-CN"/>
        </w:rPr>
        <w:t>（3）与《湖南省入河排污口监督管理办法》的符合性分析</w:t>
      </w:r>
    </w:p>
    <w:p w14:paraId="33F922F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1"/>
          <w:sz w:val="24"/>
          <w:szCs w:val="24"/>
          <w:u w:val="single"/>
          <w:lang w:eastAsia="zh-CN"/>
        </w:rPr>
        <w:t>根据《湖南省入河排污口监督管理办法》（湘政办发〔2018〕44号）第十五条，有下列情形之一的，不予同意设置入河排污口：</w:t>
      </w:r>
    </w:p>
    <w:p w14:paraId="65A186A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1"/>
          <w:sz w:val="24"/>
          <w:szCs w:val="24"/>
          <w:u w:val="single"/>
          <w:lang w:eastAsia="zh-CN"/>
        </w:rPr>
        <w:t>①饮用水水源一级、二级保护区内。</w:t>
      </w:r>
    </w:p>
    <w:p w14:paraId="186838C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1"/>
          <w:sz w:val="24"/>
          <w:szCs w:val="24"/>
          <w:u w:val="single"/>
          <w:lang w:eastAsia="zh-CN"/>
        </w:rPr>
        <w:t>②自然保护区核心区、缓冲区内。</w:t>
      </w:r>
    </w:p>
    <w:p w14:paraId="69C7818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1"/>
          <w:sz w:val="24"/>
          <w:szCs w:val="24"/>
          <w:u w:val="single"/>
          <w:lang w:eastAsia="zh-CN"/>
        </w:rPr>
        <w:t>③水产种质资源保护区内。</w:t>
      </w:r>
    </w:p>
    <w:p w14:paraId="59E7B6E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1"/>
          <w:sz w:val="24"/>
          <w:szCs w:val="24"/>
          <w:u w:val="single"/>
          <w:lang w:eastAsia="zh-CN"/>
        </w:rPr>
        <w:t>④省级以上湿地公园保育区、恢复重建区内。</w:t>
      </w:r>
    </w:p>
    <w:p w14:paraId="5BF3E62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1"/>
          <w:sz w:val="24"/>
          <w:szCs w:val="24"/>
          <w:u w:val="single"/>
          <w:lang w:eastAsia="zh-CN"/>
        </w:rPr>
        <w:t>⑤能够由污水系统接纳但拒不接入的。</w:t>
      </w:r>
    </w:p>
    <w:p w14:paraId="73CCD93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1"/>
          <w:sz w:val="24"/>
          <w:szCs w:val="24"/>
          <w:u w:val="single"/>
          <w:lang w:eastAsia="zh-CN"/>
        </w:rPr>
        <w:t>⑥经论证不符合设置要求的。</w:t>
      </w:r>
    </w:p>
    <w:p w14:paraId="2BD0BCD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ascii="Times New Roman" w:hAnsi="Times New Roman" w:eastAsia="宋体" w:cs="Times New Roman"/>
          <w:sz w:val="24"/>
          <w:szCs w:val="24"/>
          <w:u w:val="single"/>
          <w:lang w:eastAsia="zh-CN"/>
        </w:rPr>
      </w:pPr>
      <w:r>
        <w:rPr>
          <w:rFonts w:ascii="Times New Roman" w:hAnsi="Times New Roman" w:eastAsia="宋体" w:cs="Times New Roman"/>
          <w:spacing w:val="-1"/>
          <w:sz w:val="24"/>
          <w:szCs w:val="24"/>
          <w:u w:val="single"/>
          <w:lang w:eastAsia="zh-CN"/>
        </w:rPr>
        <w:t>⑦设置可能使水域水质达不到水功能区要求的。</w:t>
      </w:r>
    </w:p>
    <w:p w14:paraId="0AC6526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ascii="宋体" w:hAnsi="宋体" w:eastAsia="宋体" w:cs="宋体"/>
          <w:sz w:val="24"/>
          <w:szCs w:val="24"/>
          <w:u w:val="single"/>
          <w:lang w:eastAsia="zh-CN"/>
        </w:rPr>
      </w:pPr>
      <w:r>
        <w:rPr>
          <w:rFonts w:ascii="Times New Roman" w:hAnsi="Times New Roman" w:eastAsia="宋体" w:cs="Times New Roman"/>
          <w:spacing w:val="-1"/>
          <w:sz w:val="24"/>
          <w:szCs w:val="24"/>
          <w:u w:val="single"/>
          <w:lang w:eastAsia="zh-CN"/>
        </w:rPr>
        <w:t>⑧其他不符合法律、法规以及国家和地方有关规定的</w:t>
      </w:r>
      <w:r>
        <w:rPr>
          <w:rFonts w:ascii="宋体" w:hAnsi="宋体" w:eastAsia="宋体" w:cs="宋体"/>
          <w:spacing w:val="-1"/>
          <w:sz w:val="24"/>
          <w:szCs w:val="24"/>
          <w:u w:val="single"/>
          <w:lang w:eastAsia="zh-CN"/>
        </w:rPr>
        <w:t>。</w:t>
      </w:r>
    </w:p>
    <w:p w14:paraId="6E59355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ascii="宋体" w:hAnsi="宋体" w:eastAsia="宋体" w:cs="宋体"/>
          <w:b/>
          <w:bCs/>
          <w:spacing w:val="7"/>
          <w:sz w:val="21"/>
          <w:szCs w:val="21"/>
          <w:u w:val="single"/>
          <w:lang w:eastAsia="zh-CN"/>
        </w:rPr>
      </w:pPr>
      <w:r>
        <w:rPr>
          <w:rFonts w:ascii="宋体" w:hAnsi="宋体" w:eastAsia="宋体" w:cs="宋体"/>
          <w:spacing w:val="-1"/>
          <w:sz w:val="24"/>
          <w:szCs w:val="24"/>
          <w:u w:val="single"/>
          <w:lang w:eastAsia="zh-CN"/>
        </w:rPr>
        <w:t>本工程与《湖南省入河排污口监督管理办法》（湘政办发〔</w:t>
      </w:r>
      <w:r>
        <w:rPr>
          <w:rFonts w:ascii="Times New Roman" w:hAnsi="Times New Roman" w:eastAsia="Times New Roman" w:cs="Times New Roman"/>
          <w:spacing w:val="-1"/>
          <w:sz w:val="24"/>
          <w:szCs w:val="24"/>
          <w:u w:val="single"/>
          <w:lang w:eastAsia="zh-CN"/>
        </w:rPr>
        <w:t>2018</w:t>
      </w:r>
      <w:r>
        <w:rPr>
          <w:rFonts w:ascii="宋体" w:hAnsi="宋体" w:eastAsia="宋体" w:cs="宋体"/>
          <w:spacing w:val="-1"/>
          <w:sz w:val="24"/>
          <w:szCs w:val="24"/>
          <w:u w:val="single"/>
          <w:lang w:eastAsia="zh-CN"/>
        </w:rPr>
        <w:t>〕</w:t>
      </w:r>
      <w:r>
        <w:rPr>
          <w:rFonts w:ascii="Times New Roman" w:hAnsi="Times New Roman" w:eastAsia="Times New Roman" w:cs="Times New Roman"/>
          <w:spacing w:val="-1"/>
          <w:sz w:val="24"/>
          <w:szCs w:val="24"/>
          <w:u w:val="single"/>
          <w:lang w:eastAsia="zh-CN"/>
        </w:rPr>
        <w:t>44</w:t>
      </w:r>
      <w:r>
        <w:rPr>
          <w:rFonts w:ascii="宋体" w:hAnsi="宋体" w:eastAsia="宋体" w:cs="宋体"/>
          <w:spacing w:val="-1"/>
          <w:sz w:val="24"/>
          <w:szCs w:val="24"/>
          <w:u w:val="single"/>
          <w:lang w:eastAsia="zh-CN"/>
        </w:rPr>
        <w:t>号）第</w:t>
      </w:r>
      <w:r>
        <w:rPr>
          <w:rFonts w:ascii="宋体" w:hAnsi="宋体" w:eastAsia="宋体" w:cs="宋体"/>
          <w:spacing w:val="-2"/>
          <w:sz w:val="24"/>
          <w:szCs w:val="24"/>
          <w:u w:val="single"/>
          <w:lang w:eastAsia="zh-CN"/>
        </w:rPr>
        <w:t>十五条情形分析如下：</w:t>
      </w:r>
    </w:p>
    <w:p w14:paraId="3AF2140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50" w:firstLineChars="200"/>
        <w:jc w:val="center"/>
        <w:textAlignment w:val="baseline"/>
        <w:rPr>
          <w:rFonts w:ascii="宋体" w:hAnsi="宋体" w:eastAsia="宋体" w:cs="宋体"/>
          <w:sz w:val="21"/>
          <w:szCs w:val="21"/>
          <w:u w:val="single"/>
          <w:lang w:eastAsia="zh-CN"/>
        </w:rPr>
      </w:pPr>
      <w:r>
        <w:rPr>
          <w:rFonts w:ascii="宋体" w:hAnsi="宋体" w:eastAsia="宋体" w:cs="宋体"/>
          <w:b/>
          <w:bCs/>
          <w:spacing w:val="7"/>
          <w:sz w:val="21"/>
          <w:szCs w:val="21"/>
          <w:u w:val="single"/>
          <w:lang w:eastAsia="zh-CN"/>
        </w:rPr>
        <w:t>表</w:t>
      </w:r>
      <w:r>
        <w:rPr>
          <w:rFonts w:ascii="Times New Roman" w:hAnsi="Times New Roman" w:eastAsia="Times New Roman" w:cs="Times New Roman"/>
          <w:b/>
          <w:bCs/>
          <w:spacing w:val="7"/>
          <w:sz w:val="21"/>
          <w:szCs w:val="21"/>
          <w:u w:val="single"/>
          <w:lang w:eastAsia="zh-CN"/>
        </w:rPr>
        <w:t>9.</w:t>
      </w:r>
      <w:r>
        <w:rPr>
          <w:rFonts w:hint="eastAsia" w:ascii="Times New Roman" w:hAnsi="Times New Roman" w:eastAsia="Times New Roman" w:cs="Times New Roman"/>
          <w:b/>
          <w:bCs/>
          <w:spacing w:val="7"/>
          <w:sz w:val="21"/>
          <w:szCs w:val="21"/>
          <w:u w:val="single"/>
          <w:lang w:val="en-US" w:eastAsia="zh-CN"/>
        </w:rPr>
        <w:t>1</w:t>
      </w:r>
      <w:r>
        <w:rPr>
          <w:rFonts w:ascii="Times New Roman" w:hAnsi="Times New Roman" w:eastAsia="Times New Roman" w:cs="Times New Roman"/>
          <w:b/>
          <w:bCs/>
          <w:spacing w:val="7"/>
          <w:sz w:val="21"/>
          <w:szCs w:val="21"/>
          <w:u w:val="single"/>
          <w:lang w:eastAsia="zh-CN"/>
        </w:rPr>
        <w:t>-</w:t>
      </w:r>
      <w:r>
        <w:rPr>
          <w:rFonts w:hint="eastAsia" w:ascii="Times New Roman" w:hAnsi="Times New Roman" w:eastAsia="宋体" w:cs="Times New Roman"/>
          <w:b/>
          <w:bCs/>
          <w:spacing w:val="7"/>
          <w:sz w:val="21"/>
          <w:szCs w:val="21"/>
          <w:u w:val="single"/>
          <w:lang w:eastAsia="zh-CN"/>
        </w:rPr>
        <w:t xml:space="preserve">1  </w:t>
      </w:r>
      <w:r>
        <w:rPr>
          <w:rFonts w:ascii="宋体" w:hAnsi="宋体" w:eastAsia="宋体" w:cs="宋体"/>
          <w:b/>
          <w:bCs/>
          <w:spacing w:val="7"/>
          <w:sz w:val="21"/>
          <w:szCs w:val="21"/>
          <w:u w:val="single"/>
          <w:lang w:eastAsia="zh-CN"/>
        </w:rPr>
        <w:t>与《湖南省入河排污口监督管理办法》第十五条的符合性</w:t>
      </w:r>
      <w:r>
        <w:rPr>
          <w:rFonts w:ascii="宋体" w:hAnsi="宋体" w:eastAsia="宋体" w:cs="宋体"/>
          <w:b/>
          <w:bCs/>
          <w:spacing w:val="6"/>
          <w:sz w:val="21"/>
          <w:szCs w:val="21"/>
          <w:u w:val="single"/>
          <w:lang w:eastAsia="zh-CN"/>
        </w:rPr>
        <w:t>分析</w:t>
      </w:r>
    </w:p>
    <w:tbl>
      <w:tblPr>
        <w:tblStyle w:val="28"/>
        <w:tblW w:w="8621" w:type="dxa"/>
        <w:tblInd w:w="53"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608"/>
        <w:gridCol w:w="2741"/>
        <w:gridCol w:w="4486"/>
        <w:gridCol w:w="786"/>
      </w:tblGrid>
      <w:tr w14:paraId="684B433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608" w:type="dxa"/>
            <w:vAlign w:val="center"/>
          </w:tcPr>
          <w:p w14:paraId="10134B1C">
            <w:pPr>
              <w:bidi w:val="0"/>
              <w:jc w:val="center"/>
              <w:rPr>
                <w:rFonts w:hint="default" w:ascii="Times New Roman" w:hAnsi="Times New Roman" w:cs="Times New Roman"/>
                <w:u w:val="single"/>
              </w:rPr>
            </w:pPr>
            <w:r>
              <w:rPr>
                <w:rFonts w:hint="default" w:ascii="Times New Roman" w:hAnsi="Times New Roman" w:cs="Times New Roman"/>
                <w:u w:val="single"/>
              </w:rPr>
              <w:t>序号</w:t>
            </w:r>
          </w:p>
        </w:tc>
        <w:tc>
          <w:tcPr>
            <w:tcW w:w="2741" w:type="dxa"/>
            <w:vAlign w:val="center"/>
          </w:tcPr>
          <w:p w14:paraId="46884151">
            <w:pPr>
              <w:bidi w:val="0"/>
              <w:jc w:val="center"/>
              <w:rPr>
                <w:rFonts w:hint="default" w:ascii="Times New Roman" w:hAnsi="Times New Roman" w:cs="Times New Roman"/>
                <w:u w:val="single"/>
                <w:lang w:eastAsia="zh-CN"/>
              </w:rPr>
            </w:pPr>
            <w:r>
              <w:rPr>
                <w:rFonts w:hint="default" w:ascii="Times New Roman" w:hAnsi="Times New Roman" w:cs="Times New Roman"/>
                <w:u w:val="single"/>
                <w:lang w:eastAsia="zh-CN"/>
              </w:rPr>
              <w:t>《湖南省入河排污口监督管</w:t>
            </w:r>
          </w:p>
          <w:p w14:paraId="751A48DE">
            <w:pPr>
              <w:bidi w:val="0"/>
              <w:jc w:val="center"/>
              <w:rPr>
                <w:rFonts w:hint="default" w:ascii="Times New Roman" w:hAnsi="Times New Roman" w:cs="Times New Roman"/>
                <w:u w:val="single"/>
              </w:rPr>
            </w:pPr>
            <w:r>
              <w:rPr>
                <w:rFonts w:hint="default" w:ascii="Times New Roman" w:hAnsi="Times New Roman" w:cs="Times New Roman"/>
                <w:u w:val="single"/>
              </w:rPr>
              <w:t>理办法》</w:t>
            </w:r>
          </w:p>
        </w:tc>
        <w:tc>
          <w:tcPr>
            <w:tcW w:w="4486" w:type="dxa"/>
            <w:vAlign w:val="center"/>
          </w:tcPr>
          <w:p w14:paraId="649418D9">
            <w:pPr>
              <w:bidi w:val="0"/>
              <w:jc w:val="center"/>
              <w:rPr>
                <w:rFonts w:hint="default" w:ascii="Times New Roman" w:hAnsi="Times New Roman" w:cs="Times New Roman"/>
                <w:u w:val="single"/>
              </w:rPr>
            </w:pPr>
            <w:r>
              <w:rPr>
                <w:rFonts w:hint="default" w:ascii="Times New Roman" w:hAnsi="Times New Roman" w:cs="Times New Roman"/>
                <w:u w:val="single"/>
              </w:rPr>
              <w:t>本入河排污口情况</w:t>
            </w:r>
          </w:p>
        </w:tc>
        <w:tc>
          <w:tcPr>
            <w:tcW w:w="786" w:type="dxa"/>
            <w:vAlign w:val="center"/>
          </w:tcPr>
          <w:p w14:paraId="4C1CAB51">
            <w:pPr>
              <w:bidi w:val="0"/>
              <w:jc w:val="center"/>
              <w:rPr>
                <w:rFonts w:hint="default" w:ascii="Times New Roman" w:hAnsi="Times New Roman" w:cs="Times New Roman"/>
                <w:u w:val="single"/>
              </w:rPr>
            </w:pPr>
            <w:r>
              <w:rPr>
                <w:rFonts w:hint="default" w:ascii="Times New Roman" w:hAnsi="Times New Roman" w:cs="Times New Roman"/>
                <w:u w:val="single"/>
              </w:rPr>
              <w:t>是否有</w:t>
            </w:r>
          </w:p>
          <w:p w14:paraId="01B4A674">
            <w:pPr>
              <w:bidi w:val="0"/>
              <w:jc w:val="center"/>
              <w:rPr>
                <w:rFonts w:hint="default" w:ascii="Times New Roman" w:hAnsi="Times New Roman" w:cs="Times New Roman"/>
                <w:u w:val="single"/>
              </w:rPr>
            </w:pPr>
            <w:r>
              <w:rPr>
                <w:rFonts w:hint="default" w:ascii="Times New Roman" w:hAnsi="Times New Roman" w:cs="Times New Roman"/>
                <w:u w:val="single"/>
              </w:rPr>
              <w:t>该情形</w:t>
            </w:r>
          </w:p>
        </w:tc>
      </w:tr>
      <w:tr w14:paraId="5D44E7B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608" w:type="dxa"/>
            <w:vAlign w:val="center"/>
          </w:tcPr>
          <w:p w14:paraId="7D5925FD">
            <w:pPr>
              <w:bidi w:val="0"/>
              <w:jc w:val="center"/>
              <w:rPr>
                <w:rFonts w:hint="default" w:ascii="Times New Roman" w:hAnsi="Times New Roman" w:cs="Times New Roman"/>
                <w:u w:val="single"/>
              </w:rPr>
            </w:pPr>
            <w:r>
              <w:rPr>
                <w:rFonts w:hint="default" w:ascii="Times New Roman" w:hAnsi="Times New Roman" w:cs="Times New Roman"/>
                <w:u w:val="single"/>
              </w:rPr>
              <w:t>1</w:t>
            </w:r>
          </w:p>
        </w:tc>
        <w:tc>
          <w:tcPr>
            <w:tcW w:w="2741" w:type="dxa"/>
            <w:vAlign w:val="center"/>
          </w:tcPr>
          <w:p w14:paraId="61AD771A">
            <w:pPr>
              <w:bidi w:val="0"/>
              <w:jc w:val="center"/>
              <w:rPr>
                <w:rFonts w:hint="default" w:ascii="Times New Roman" w:hAnsi="Times New Roman" w:cs="Times New Roman"/>
                <w:u w:val="single"/>
              </w:rPr>
            </w:pPr>
            <w:r>
              <w:rPr>
                <w:rFonts w:hint="default" w:ascii="Times New Roman" w:hAnsi="Times New Roman" w:cs="Times New Roman"/>
                <w:u w:val="single"/>
                <w:lang w:eastAsia="zh-CN"/>
              </w:rPr>
              <w:t>饮用水水源一级、二级保护区</w:t>
            </w:r>
            <w:r>
              <w:rPr>
                <w:rFonts w:hint="default" w:ascii="Times New Roman" w:hAnsi="Times New Roman" w:cs="Times New Roman"/>
                <w:u w:val="single"/>
              </w:rPr>
              <w:t>内</w:t>
            </w:r>
          </w:p>
        </w:tc>
        <w:tc>
          <w:tcPr>
            <w:tcW w:w="4486" w:type="dxa"/>
            <w:vAlign w:val="center"/>
          </w:tcPr>
          <w:p w14:paraId="29A33AAD">
            <w:pPr>
              <w:bidi w:val="0"/>
              <w:jc w:val="center"/>
              <w:rPr>
                <w:rFonts w:hint="default" w:ascii="Times New Roman" w:hAnsi="Times New Roman" w:cs="Times New Roman"/>
                <w:u w:val="single"/>
                <w:lang w:eastAsia="zh-CN"/>
              </w:rPr>
            </w:pPr>
            <w:r>
              <w:rPr>
                <w:rFonts w:hint="default" w:ascii="Times New Roman" w:hAnsi="Times New Roman" w:cs="Times New Roman"/>
                <w:u w:val="single"/>
                <w:lang w:eastAsia="zh-CN"/>
              </w:rPr>
              <w:t>入河排污口不在饮用水水源保护区内。</w:t>
            </w:r>
          </w:p>
        </w:tc>
        <w:tc>
          <w:tcPr>
            <w:tcW w:w="786" w:type="dxa"/>
            <w:vAlign w:val="center"/>
          </w:tcPr>
          <w:p w14:paraId="2E26A3E3">
            <w:pPr>
              <w:bidi w:val="0"/>
              <w:jc w:val="center"/>
              <w:rPr>
                <w:rFonts w:hint="default" w:ascii="Times New Roman" w:hAnsi="Times New Roman" w:cs="Times New Roman"/>
                <w:u w:val="single"/>
              </w:rPr>
            </w:pPr>
            <w:r>
              <w:rPr>
                <w:rFonts w:hint="default" w:ascii="Times New Roman" w:hAnsi="Times New Roman" w:cs="Times New Roman"/>
                <w:u w:val="single"/>
              </w:rPr>
              <w:t>无</w:t>
            </w:r>
          </w:p>
        </w:tc>
      </w:tr>
      <w:tr w14:paraId="410D2DC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08" w:type="dxa"/>
            <w:vAlign w:val="center"/>
          </w:tcPr>
          <w:p w14:paraId="1BC7B6C4">
            <w:pPr>
              <w:bidi w:val="0"/>
              <w:jc w:val="center"/>
              <w:rPr>
                <w:rFonts w:hint="default" w:ascii="Times New Roman" w:hAnsi="Times New Roman" w:cs="Times New Roman"/>
                <w:u w:val="single"/>
              </w:rPr>
            </w:pPr>
            <w:r>
              <w:rPr>
                <w:rFonts w:hint="default" w:ascii="Times New Roman" w:hAnsi="Times New Roman" w:cs="Times New Roman"/>
                <w:u w:val="single"/>
              </w:rPr>
              <w:t>2</w:t>
            </w:r>
          </w:p>
        </w:tc>
        <w:tc>
          <w:tcPr>
            <w:tcW w:w="2741" w:type="dxa"/>
            <w:vAlign w:val="center"/>
          </w:tcPr>
          <w:p w14:paraId="71EBAE00">
            <w:pPr>
              <w:bidi w:val="0"/>
              <w:jc w:val="center"/>
              <w:rPr>
                <w:rFonts w:hint="default" w:ascii="Times New Roman" w:hAnsi="Times New Roman" w:cs="Times New Roman"/>
                <w:u w:val="single"/>
                <w:lang w:eastAsia="zh-CN"/>
              </w:rPr>
            </w:pPr>
            <w:r>
              <w:rPr>
                <w:rFonts w:hint="default" w:ascii="Times New Roman" w:hAnsi="Times New Roman" w:cs="Times New Roman"/>
                <w:u w:val="single"/>
                <w:lang w:eastAsia="zh-CN"/>
              </w:rPr>
              <w:t>自然保护区核心区、缓冲区内</w:t>
            </w:r>
          </w:p>
        </w:tc>
        <w:tc>
          <w:tcPr>
            <w:tcW w:w="4486" w:type="dxa"/>
            <w:vAlign w:val="center"/>
          </w:tcPr>
          <w:p w14:paraId="6FEDE973">
            <w:pPr>
              <w:bidi w:val="0"/>
              <w:jc w:val="center"/>
              <w:rPr>
                <w:rFonts w:hint="default" w:ascii="Times New Roman" w:hAnsi="Times New Roman" w:cs="Times New Roman"/>
                <w:u w:val="single"/>
              </w:rPr>
            </w:pPr>
            <w:r>
              <w:rPr>
                <w:rFonts w:hint="default" w:ascii="Times New Roman" w:hAnsi="Times New Roman" w:cs="Times New Roman"/>
                <w:u w:val="single"/>
              </w:rPr>
              <w:t>不属于自然保护区。</w:t>
            </w:r>
          </w:p>
        </w:tc>
        <w:tc>
          <w:tcPr>
            <w:tcW w:w="786" w:type="dxa"/>
            <w:vAlign w:val="center"/>
          </w:tcPr>
          <w:p w14:paraId="248CADCE">
            <w:pPr>
              <w:bidi w:val="0"/>
              <w:jc w:val="center"/>
              <w:rPr>
                <w:rFonts w:hint="default" w:ascii="Times New Roman" w:hAnsi="Times New Roman" w:cs="Times New Roman"/>
                <w:u w:val="single"/>
              </w:rPr>
            </w:pPr>
            <w:r>
              <w:rPr>
                <w:rFonts w:hint="default" w:ascii="Times New Roman" w:hAnsi="Times New Roman" w:cs="Times New Roman"/>
                <w:u w:val="single"/>
              </w:rPr>
              <w:t>无</w:t>
            </w:r>
          </w:p>
        </w:tc>
      </w:tr>
      <w:tr w14:paraId="55C438FE">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08" w:type="dxa"/>
            <w:vAlign w:val="center"/>
          </w:tcPr>
          <w:p w14:paraId="3D198733">
            <w:pPr>
              <w:bidi w:val="0"/>
              <w:jc w:val="center"/>
              <w:rPr>
                <w:rFonts w:hint="default" w:ascii="Times New Roman" w:hAnsi="Times New Roman" w:cs="Times New Roman"/>
                <w:u w:val="single"/>
              </w:rPr>
            </w:pPr>
            <w:r>
              <w:rPr>
                <w:rFonts w:hint="default" w:ascii="Times New Roman" w:hAnsi="Times New Roman" w:cs="Times New Roman"/>
                <w:u w:val="single"/>
              </w:rPr>
              <w:t>3</w:t>
            </w:r>
          </w:p>
        </w:tc>
        <w:tc>
          <w:tcPr>
            <w:tcW w:w="2741" w:type="dxa"/>
            <w:vAlign w:val="center"/>
          </w:tcPr>
          <w:p w14:paraId="41F44656">
            <w:pPr>
              <w:bidi w:val="0"/>
              <w:jc w:val="center"/>
              <w:rPr>
                <w:rFonts w:hint="default" w:ascii="Times New Roman" w:hAnsi="Times New Roman" w:cs="Times New Roman"/>
                <w:u w:val="single"/>
                <w:lang w:eastAsia="zh-CN"/>
              </w:rPr>
            </w:pPr>
            <w:r>
              <w:rPr>
                <w:rFonts w:hint="default" w:ascii="Times New Roman" w:hAnsi="Times New Roman" w:cs="Times New Roman"/>
                <w:u w:val="single"/>
                <w:lang w:eastAsia="zh-CN"/>
              </w:rPr>
              <w:t>水产种质资源保护区内。</w:t>
            </w:r>
          </w:p>
        </w:tc>
        <w:tc>
          <w:tcPr>
            <w:tcW w:w="4486" w:type="dxa"/>
            <w:vAlign w:val="center"/>
          </w:tcPr>
          <w:p w14:paraId="3B025E57">
            <w:pPr>
              <w:bidi w:val="0"/>
              <w:jc w:val="center"/>
              <w:rPr>
                <w:rFonts w:hint="default" w:ascii="Times New Roman" w:hAnsi="Times New Roman" w:cs="Times New Roman"/>
                <w:u w:val="single"/>
                <w:lang w:eastAsia="zh-CN"/>
              </w:rPr>
            </w:pPr>
            <w:r>
              <w:rPr>
                <w:rFonts w:hint="default" w:ascii="Times New Roman" w:hAnsi="Times New Roman" w:cs="Times New Roman"/>
                <w:u w:val="single"/>
              </w:rPr>
              <w:t>不属于</w:t>
            </w:r>
            <w:r>
              <w:rPr>
                <w:rFonts w:hint="default" w:ascii="Times New Roman" w:hAnsi="Times New Roman" w:cs="Times New Roman"/>
                <w:u w:val="single"/>
                <w:lang w:eastAsia="zh-CN"/>
              </w:rPr>
              <w:t>水产种质资源保护区内</w:t>
            </w:r>
          </w:p>
        </w:tc>
        <w:tc>
          <w:tcPr>
            <w:tcW w:w="786" w:type="dxa"/>
            <w:vAlign w:val="center"/>
          </w:tcPr>
          <w:p w14:paraId="5349BF58">
            <w:pPr>
              <w:bidi w:val="0"/>
              <w:jc w:val="center"/>
              <w:rPr>
                <w:rFonts w:hint="default" w:ascii="Times New Roman" w:hAnsi="Times New Roman" w:cs="Times New Roman"/>
                <w:u w:val="single"/>
                <w:lang w:eastAsia="zh-CN"/>
              </w:rPr>
            </w:pPr>
            <w:r>
              <w:rPr>
                <w:rFonts w:hint="default" w:ascii="Times New Roman" w:hAnsi="Times New Roman" w:cs="Times New Roman"/>
                <w:u w:val="single"/>
              </w:rPr>
              <w:t>无</w:t>
            </w:r>
          </w:p>
        </w:tc>
      </w:tr>
      <w:tr w14:paraId="340F9C0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608" w:type="dxa"/>
            <w:vAlign w:val="center"/>
          </w:tcPr>
          <w:p w14:paraId="6F376145">
            <w:pPr>
              <w:bidi w:val="0"/>
              <w:jc w:val="center"/>
              <w:rPr>
                <w:rFonts w:hint="default" w:ascii="Times New Roman" w:hAnsi="Times New Roman" w:cs="Times New Roman"/>
                <w:u w:val="single"/>
              </w:rPr>
            </w:pPr>
            <w:r>
              <w:rPr>
                <w:rFonts w:hint="default" w:ascii="Times New Roman" w:hAnsi="Times New Roman" w:cs="Times New Roman"/>
                <w:u w:val="single"/>
              </w:rPr>
              <w:t>4</w:t>
            </w:r>
          </w:p>
        </w:tc>
        <w:tc>
          <w:tcPr>
            <w:tcW w:w="2741" w:type="dxa"/>
            <w:vAlign w:val="center"/>
          </w:tcPr>
          <w:p w14:paraId="6FFF2BA2">
            <w:pPr>
              <w:bidi w:val="0"/>
              <w:jc w:val="center"/>
              <w:rPr>
                <w:rFonts w:hint="default" w:ascii="Times New Roman" w:hAnsi="Times New Roman" w:cs="Times New Roman"/>
                <w:u w:val="single"/>
                <w:lang w:eastAsia="zh-CN"/>
              </w:rPr>
            </w:pPr>
            <w:r>
              <w:rPr>
                <w:rFonts w:hint="default" w:ascii="Times New Roman" w:hAnsi="Times New Roman" w:cs="Times New Roman"/>
                <w:u w:val="single"/>
                <w:lang w:eastAsia="zh-CN"/>
              </w:rPr>
              <w:t>省级以上湿地公园保育区、恢</w:t>
            </w:r>
          </w:p>
          <w:p w14:paraId="333A70EE">
            <w:pPr>
              <w:bidi w:val="0"/>
              <w:jc w:val="center"/>
              <w:rPr>
                <w:rFonts w:hint="default" w:ascii="Times New Roman" w:hAnsi="Times New Roman" w:cs="Times New Roman"/>
                <w:u w:val="single"/>
              </w:rPr>
            </w:pPr>
            <w:r>
              <w:rPr>
                <w:rFonts w:hint="default" w:ascii="Times New Roman" w:hAnsi="Times New Roman" w:cs="Times New Roman"/>
                <w:u w:val="single"/>
              </w:rPr>
              <w:t>复重建区内</w:t>
            </w:r>
          </w:p>
        </w:tc>
        <w:tc>
          <w:tcPr>
            <w:tcW w:w="4486" w:type="dxa"/>
            <w:vAlign w:val="center"/>
          </w:tcPr>
          <w:p w14:paraId="6B8D8BBD">
            <w:pPr>
              <w:bidi w:val="0"/>
              <w:jc w:val="center"/>
              <w:rPr>
                <w:rFonts w:hint="default" w:ascii="Times New Roman" w:hAnsi="Times New Roman" w:cs="Times New Roman"/>
                <w:u w:val="single"/>
                <w:lang w:eastAsia="zh-CN"/>
              </w:rPr>
            </w:pPr>
            <w:r>
              <w:rPr>
                <w:rFonts w:hint="default" w:ascii="Times New Roman" w:hAnsi="Times New Roman" w:cs="Times New Roman"/>
                <w:u w:val="single"/>
                <w:lang w:eastAsia="zh-CN"/>
              </w:rPr>
              <w:t>不属于湿地公园保育区、恢复重建区内</w:t>
            </w:r>
          </w:p>
        </w:tc>
        <w:tc>
          <w:tcPr>
            <w:tcW w:w="786" w:type="dxa"/>
            <w:vAlign w:val="center"/>
          </w:tcPr>
          <w:p w14:paraId="13665E95">
            <w:pPr>
              <w:bidi w:val="0"/>
              <w:jc w:val="center"/>
              <w:rPr>
                <w:rFonts w:hint="default" w:ascii="Times New Roman" w:hAnsi="Times New Roman" w:cs="Times New Roman"/>
                <w:u w:val="single"/>
              </w:rPr>
            </w:pPr>
            <w:r>
              <w:rPr>
                <w:rFonts w:hint="default" w:ascii="Times New Roman" w:hAnsi="Times New Roman" w:cs="Times New Roman"/>
                <w:u w:val="single"/>
              </w:rPr>
              <w:t>无</w:t>
            </w:r>
          </w:p>
        </w:tc>
      </w:tr>
      <w:tr w14:paraId="48A6047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608" w:type="dxa"/>
            <w:vAlign w:val="center"/>
          </w:tcPr>
          <w:p w14:paraId="126D9415">
            <w:pPr>
              <w:bidi w:val="0"/>
              <w:jc w:val="center"/>
              <w:rPr>
                <w:rFonts w:hint="default" w:ascii="Times New Roman" w:hAnsi="Times New Roman" w:cs="Times New Roman"/>
                <w:u w:val="single"/>
              </w:rPr>
            </w:pPr>
            <w:r>
              <w:rPr>
                <w:rFonts w:hint="default" w:ascii="Times New Roman" w:hAnsi="Times New Roman" w:cs="Times New Roman"/>
                <w:u w:val="single"/>
              </w:rPr>
              <w:t>5</w:t>
            </w:r>
          </w:p>
        </w:tc>
        <w:tc>
          <w:tcPr>
            <w:tcW w:w="2741" w:type="dxa"/>
            <w:vAlign w:val="center"/>
          </w:tcPr>
          <w:p w14:paraId="603C27F4">
            <w:pPr>
              <w:bidi w:val="0"/>
              <w:jc w:val="center"/>
              <w:rPr>
                <w:rFonts w:hint="default" w:ascii="Times New Roman" w:hAnsi="Times New Roman" w:cs="Times New Roman"/>
                <w:u w:val="single"/>
                <w:lang w:eastAsia="zh-CN"/>
              </w:rPr>
            </w:pPr>
            <w:r>
              <w:rPr>
                <w:rFonts w:hint="default" w:ascii="Times New Roman" w:hAnsi="Times New Roman" w:cs="Times New Roman"/>
                <w:u w:val="single"/>
                <w:lang w:eastAsia="zh-CN"/>
              </w:rPr>
              <w:t>能够由污水系统接纳但拒不</w:t>
            </w:r>
          </w:p>
          <w:p w14:paraId="57211BCC">
            <w:pPr>
              <w:bidi w:val="0"/>
              <w:jc w:val="center"/>
              <w:rPr>
                <w:rFonts w:hint="default" w:ascii="Times New Roman" w:hAnsi="Times New Roman" w:cs="Times New Roman"/>
                <w:u w:val="single"/>
              </w:rPr>
            </w:pPr>
            <w:r>
              <w:rPr>
                <w:rFonts w:hint="default" w:ascii="Times New Roman" w:hAnsi="Times New Roman" w:cs="Times New Roman"/>
                <w:u w:val="single"/>
              </w:rPr>
              <w:t>接入的</w:t>
            </w:r>
          </w:p>
        </w:tc>
        <w:tc>
          <w:tcPr>
            <w:tcW w:w="4486" w:type="dxa"/>
            <w:vAlign w:val="center"/>
          </w:tcPr>
          <w:p w14:paraId="38F520E0">
            <w:pPr>
              <w:bidi w:val="0"/>
              <w:jc w:val="center"/>
              <w:rPr>
                <w:rFonts w:hint="default" w:ascii="Times New Roman" w:hAnsi="Times New Roman" w:cs="Times New Roman"/>
                <w:u w:val="single"/>
              </w:rPr>
            </w:pPr>
            <w:r>
              <w:rPr>
                <w:rFonts w:hint="default" w:ascii="Times New Roman" w:hAnsi="Times New Roman" w:cs="Times New Roman"/>
                <w:u w:val="single"/>
              </w:rPr>
              <w:t>不属于</w:t>
            </w:r>
          </w:p>
        </w:tc>
        <w:tc>
          <w:tcPr>
            <w:tcW w:w="786" w:type="dxa"/>
            <w:vAlign w:val="center"/>
          </w:tcPr>
          <w:p w14:paraId="32968681">
            <w:pPr>
              <w:bidi w:val="0"/>
              <w:jc w:val="center"/>
              <w:rPr>
                <w:rFonts w:hint="default" w:ascii="Times New Roman" w:hAnsi="Times New Roman" w:cs="Times New Roman"/>
                <w:u w:val="single"/>
              </w:rPr>
            </w:pPr>
            <w:r>
              <w:rPr>
                <w:rFonts w:hint="default" w:ascii="Times New Roman" w:hAnsi="Times New Roman" w:cs="Times New Roman"/>
                <w:u w:val="single"/>
              </w:rPr>
              <w:t>无</w:t>
            </w:r>
          </w:p>
        </w:tc>
      </w:tr>
      <w:tr w14:paraId="4080024E">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08" w:type="dxa"/>
            <w:vAlign w:val="center"/>
          </w:tcPr>
          <w:p w14:paraId="33AAF349">
            <w:pPr>
              <w:bidi w:val="0"/>
              <w:jc w:val="center"/>
              <w:rPr>
                <w:rFonts w:hint="default" w:ascii="Times New Roman" w:hAnsi="Times New Roman" w:cs="Times New Roman"/>
                <w:u w:val="single"/>
              </w:rPr>
            </w:pPr>
            <w:r>
              <w:rPr>
                <w:rFonts w:hint="default" w:ascii="Times New Roman" w:hAnsi="Times New Roman" w:cs="Times New Roman"/>
                <w:u w:val="single"/>
              </w:rPr>
              <w:t>6</w:t>
            </w:r>
          </w:p>
        </w:tc>
        <w:tc>
          <w:tcPr>
            <w:tcW w:w="2741" w:type="dxa"/>
            <w:vAlign w:val="center"/>
          </w:tcPr>
          <w:p w14:paraId="7B5C5C7B">
            <w:pPr>
              <w:bidi w:val="0"/>
              <w:jc w:val="center"/>
              <w:rPr>
                <w:rFonts w:hint="default" w:ascii="Times New Roman" w:hAnsi="Times New Roman" w:cs="Times New Roman"/>
                <w:u w:val="single"/>
                <w:lang w:eastAsia="zh-CN"/>
              </w:rPr>
            </w:pPr>
            <w:r>
              <w:rPr>
                <w:rFonts w:hint="default" w:ascii="Times New Roman" w:hAnsi="Times New Roman" w:cs="Times New Roman"/>
                <w:u w:val="single"/>
                <w:lang w:eastAsia="zh-CN"/>
              </w:rPr>
              <w:t>经论证不符合设置要求的</w:t>
            </w:r>
          </w:p>
        </w:tc>
        <w:tc>
          <w:tcPr>
            <w:tcW w:w="4486" w:type="dxa"/>
            <w:vAlign w:val="center"/>
          </w:tcPr>
          <w:p w14:paraId="2FCB359C">
            <w:pPr>
              <w:bidi w:val="0"/>
              <w:jc w:val="center"/>
              <w:rPr>
                <w:rFonts w:hint="default" w:ascii="Times New Roman" w:hAnsi="Times New Roman" w:cs="Times New Roman"/>
                <w:u w:val="single"/>
              </w:rPr>
            </w:pPr>
            <w:r>
              <w:rPr>
                <w:rFonts w:hint="default" w:ascii="Times New Roman" w:hAnsi="Times New Roman" w:cs="Times New Roman"/>
                <w:u w:val="single"/>
              </w:rPr>
              <w:t>经论证符合设置要求</w:t>
            </w:r>
          </w:p>
        </w:tc>
        <w:tc>
          <w:tcPr>
            <w:tcW w:w="786" w:type="dxa"/>
            <w:vAlign w:val="center"/>
          </w:tcPr>
          <w:p w14:paraId="37896A54">
            <w:pPr>
              <w:bidi w:val="0"/>
              <w:jc w:val="center"/>
              <w:rPr>
                <w:rFonts w:hint="default" w:ascii="Times New Roman" w:hAnsi="Times New Roman" w:cs="Times New Roman"/>
                <w:u w:val="single"/>
              </w:rPr>
            </w:pPr>
            <w:r>
              <w:rPr>
                <w:rFonts w:hint="default" w:ascii="Times New Roman" w:hAnsi="Times New Roman" w:cs="Times New Roman"/>
                <w:u w:val="single"/>
              </w:rPr>
              <w:t>无</w:t>
            </w:r>
          </w:p>
        </w:tc>
      </w:tr>
      <w:tr w14:paraId="093011B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608" w:type="dxa"/>
            <w:vAlign w:val="center"/>
          </w:tcPr>
          <w:p w14:paraId="46F766DB">
            <w:pPr>
              <w:bidi w:val="0"/>
              <w:jc w:val="center"/>
              <w:rPr>
                <w:rFonts w:hint="default" w:ascii="Times New Roman" w:hAnsi="Times New Roman" w:cs="Times New Roman"/>
                <w:u w:val="single"/>
              </w:rPr>
            </w:pPr>
            <w:r>
              <w:rPr>
                <w:rFonts w:hint="default" w:ascii="Times New Roman" w:hAnsi="Times New Roman" w:cs="Times New Roman"/>
                <w:u w:val="single"/>
              </w:rPr>
              <w:t>7</w:t>
            </w:r>
          </w:p>
        </w:tc>
        <w:tc>
          <w:tcPr>
            <w:tcW w:w="2741" w:type="dxa"/>
            <w:vAlign w:val="center"/>
          </w:tcPr>
          <w:p w14:paraId="086D75F9">
            <w:pPr>
              <w:bidi w:val="0"/>
              <w:jc w:val="center"/>
              <w:rPr>
                <w:rFonts w:hint="default" w:ascii="Times New Roman" w:hAnsi="Times New Roman" w:cs="Times New Roman"/>
                <w:u w:val="single"/>
                <w:lang w:eastAsia="zh-CN"/>
              </w:rPr>
            </w:pPr>
            <w:r>
              <w:rPr>
                <w:rFonts w:hint="default" w:ascii="Times New Roman" w:hAnsi="Times New Roman" w:cs="Times New Roman"/>
                <w:u w:val="single"/>
                <w:lang w:eastAsia="zh-CN"/>
              </w:rPr>
              <w:t>设置可能使水域水质达不到水功能区要求的</w:t>
            </w:r>
          </w:p>
        </w:tc>
        <w:tc>
          <w:tcPr>
            <w:tcW w:w="4486" w:type="dxa"/>
            <w:vAlign w:val="center"/>
          </w:tcPr>
          <w:p w14:paraId="035F8DC0">
            <w:pPr>
              <w:bidi w:val="0"/>
              <w:jc w:val="center"/>
              <w:rPr>
                <w:rFonts w:hint="default" w:ascii="Times New Roman" w:hAnsi="Times New Roman" w:cs="Times New Roman"/>
                <w:u w:val="single"/>
                <w:lang w:eastAsia="zh-CN"/>
              </w:rPr>
            </w:pPr>
            <w:r>
              <w:rPr>
                <w:rFonts w:hint="default" w:ascii="Times New Roman" w:hAnsi="Times New Roman" w:cs="Times New Roman"/>
                <w:u w:val="single"/>
                <w:lang w:eastAsia="zh-CN"/>
              </w:rPr>
              <w:t>入河排污口设置后不影响现有水功能区划水质</w:t>
            </w:r>
          </w:p>
          <w:p w14:paraId="7433FB5E">
            <w:pPr>
              <w:bidi w:val="0"/>
              <w:jc w:val="center"/>
              <w:rPr>
                <w:rFonts w:hint="default" w:ascii="Times New Roman" w:hAnsi="Times New Roman" w:cs="Times New Roman"/>
                <w:u w:val="single"/>
              </w:rPr>
            </w:pPr>
            <w:r>
              <w:rPr>
                <w:rFonts w:hint="default" w:ascii="Times New Roman" w:hAnsi="Times New Roman" w:cs="Times New Roman"/>
                <w:u w:val="single"/>
              </w:rPr>
              <w:t>现状</w:t>
            </w:r>
          </w:p>
        </w:tc>
        <w:tc>
          <w:tcPr>
            <w:tcW w:w="786" w:type="dxa"/>
            <w:vAlign w:val="center"/>
          </w:tcPr>
          <w:p w14:paraId="579560B4">
            <w:pPr>
              <w:bidi w:val="0"/>
              <w:jc w:val="center"/>
              <w:rPr>
                <w:rFonts w:hint="default" w:ascii="Times New Roman" w:hAnsi="Times New Roman" w:cs="Times New Roman"/>
                <w:u w:val="single"/>
              </w:rPr>
            </w:pPr>
            <w:r>
              <w:rPr>
                <w:rFonts w:hint="default" w:ascii="Times New Roman" w:hAnsi="Times New Roman" w:cs="Times New Roman"/>
                <w:u w:val="single"/>
              </w:rPr>
              <w:t>无</w:t>
            </w:r>
          </w:p>
        </w:tc>
      </w:tr>
      <w:tr w14:paraId="3F9B537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47" w:hRule="atLeast"/>
        </w:trPr>
        <w:tc>
          <w:tcPr>
            <w:tcW w:w="608" w:type="dxa"/>
            <w:vAlign w:val="center"/>
          </w:tcPr>
          <w:p w14:paraId="3EEBC539">
            <w:pPr>
              <w:bidi w:val="0"/>
              <w:jc w:val="center"/>
              <w:rPr>
                <w:rFonts w:hint="default" w:ascii="Times New Roman" w:hAnsi="Times New Roman" w:cs="Times New Roman"/>
                <w:u w:val="single"/>
              </w:rPr>
            </w:pPr>
            <w:r>
              <w:rPr>
                <w:rFonts w:hint="default" w:ascii="Times New Roman" w:hAnsi="Times New Roman" w:cs="Times New Roman"/>
                <w:u w:val="single"/>
              </w:rPr>
              <w:t>8</w:t>
            </w:r>
          </w:p>
        </w:tc>
        <w:tc>
          <w:tcPr>
            <w:tcW w:w="2741" w:type="dxa"/>
            <w:vAlign w:val="center"/>
          </w:tcPr>
          <w:p w14:paraId="6EE87E5D">
            <w:pPr>
              <w:bidi w:val="0"/>
              <w:jc w:val="center"/>
              <w:rPr>
                <w:rFonts w:hint="default" w:ascii="Times New Roman" w:hAnsi="Times New Roman" w:cs="Times New Roman"/>
                <w:u w:val="single"/>
                <w:lang w:eastAsia="zh-CN"/>
              </w:rPr>
            </w:pPr>
            <w:r>
              <w:rPr>
                <w:rFonts w:hint="default" w:ascii="Times New Roman" w:hAnsi="Times New Roman" w:cs="Times New Roman"/>
                <w:u w:val="single"/>
                <w:lang w:eastAsia="zh-CN"/>
              </w:rPr>
              <w:t>其他不符合法律、法规以及国家和地方有关规定的</w:t>
            </w:r>
          </w:p>
        </w:tc>
        <w:tc>
          <w:tcPr>
            <w:tcW w:w="4486" w:type="dxa"/>
            <w:vAlign w:val="center"/>
          </w:tcPr>
          <w:p w14:paraId="4E664809">
            <w:pPr>
              <w:bidi w:val="0"/>
              <w:jc w:val="center"/>
              <w:rPr>
                <w:rFonts w:hint="default" w:ascii="Times New Roman" w:hAnsi="Times New Roman" w:cs="Times New Roman"/>
                <w:u w:val="single"/>
                <w:lang w:eastAsia="zh-CN"/>
              </w:rPr>
            </w:pPr>
            <w:r>
              <w:rPr>
                <w:rFonts w:hint="default" w:ascii="Times New Roman" w:hAnsi="Times New Roman" w:cs="Times New Roman"/>
                <w:u w:val="single"/>
                <w:lang w:eastAsia="zh-CN"/>
              </w:rPr>
              <w:t>无其他不符合法律、法规以及国家和地方有关规</w:t>
            </w:r>
          </w:p>
          <w:p w14:paraId="0BD02C43">
            <w:pPr>
              <w:bidi w:val="0"/>
              <w:jc w:val="center"/>
              <w:rPr>
                <w:rFonts w:hint="default" w:ascii="Times New Roman" w:hAnsi="Times New Roman" w:cs="Times New Roman"/>
                <w:u w:val="single"/>
              </w:rPr>
            </w:pPr>
            <w:r>
              <w:rPr>
                <w:rFonts w:hint="default" w:ascii="Times New Roman" w:hAnsi="Times New Roman" w:cs="Times New Roman"/>
                <w:u w:val="single"/>
              </w:rPr>
              <w:t>定</w:t>
            </w:r>
          </w:p>
        </w:tc>
        <w:tc>
          <w:tcPr>
            <w:tcW w:w="786" w:type="dxa"/>
            <w:vAlign w:val="center"/>
          </w:tcPr>
          <w:p w14:paraId="475F769E">
            <w:pPr>
              <w:bidi w:val="0"/>
              <w:jc w:val="center"/>
              <w:rPr>
                <w:rFonts w:hint="default" w:ascii="Times New Roman" w:hAnsi="Times New Roman" w:cs="Times New Roman"/>
                <w:u w:val="single"/>
              </w:rPr>
            </w:pPr>
            <w:r>
              <w:rPr>
                <w:rFonts w:hint="default" w:ascii="Times New Roman" w:hAnsi="Times New Roman" w:cs="Times New Roman"/>
                <w:u w:val="single"/>
              </w:rPr>
              <w:t>无</w:t>
            </w:r>
          </w:p>
        </w:tc>
      </w:tr>
    </w:tbl>
    <w:p w14:paraId="62CC228F">
      <w:pPr>
        <w:pageBreakBefore w:val="0"/>
        <w:wordWrap/>
        <w:overflowPunct/>
        <w:topLinePunct w:val="0"/>
        <w:bidi w:val="0"/>
        <w:spacing w:line="360" w:lineRule="auto"/>
        <w:ind w:firstLine="464" w:firstLineChars="200"/>
        <w:rPr>
          <w:rFonts w:ascii="宋体" w:hAnsi="宋体" w:eastAsia="宋体" w:cs="宋体"/>
          <w:sz w:val="24"/>
          <w:szCs w:val="24"/>
          <w:u w:val="single"/>
          <w:lang w:eastAsia="zh-CN"/>
        </w:rPr>
      </w:pPr>
      <w:r>
        <w:rPr>
          <w:rFonts w:ascii="Times New Roman" w:hAnsi="Times New Roman" w:eastAsia="宋体" w:cs="Times New Roman"/>
          <w:spacing w:val="-4"/>
          <w:sz w:val="24"/>
          <w:szCs w:val="24"/>
          <w:u w:val="single"/>
          <w:lang w:eastAsia="zh-CN"/>
        </w:rPr>
        <w:t>对照上表可知，本入河排污口设置无《湖南省入河排</w:t>
      </w:r>
      <w:r>
        <w:rPr>
          <w:rFonts w:ascii="Times New Roman" w:hAnsi="Times New Roman" w:eastAsia="宋体" w:cs="Times New Roman"/>
          <w:spacing w:val="-5"/>
          <w:sz w:val="24"/>
          <w:szCs w:val="24"/>
          <w:u w:val="single"/>
          <w:lang w:eastAsia="zh-CN"/>
        </w:rPr>
        <w:t>污口监督管理办法》（湘</w:t>
      </w:r>
      <w:r>
        <w:rPr>
          <w:rFonts w:ascii="Times New Roman" w:hAnsi="Times New Roman" w:eastAsia="宋体" w:cs="Times New Roman"/>
          <w:spacing w:val="-1"/>
          <w:sz w:val="24"/>
          <w:szCs w:val="24"/>
          <w:u w:val="single"/>
          <w:lang w:eastAsia="zh-CN"/>
        </w:rPr>
        <w:t>政办发〔2018〕44号）第十五条所列情形，符合《湖南省入河排污口监督管理办</w:t>
      </w:r>
      <w:r>
        <w:rPr>
          <w:rFonts w:ascii="Times New Roman" w:hAnsi="Times New Roman" w:eastAsia="宋体" w:cs="Times New Roman"/>
          <w:spacing w:val="-3"/>
          <w:sz w:val="24"/>
          <w:szCs w:val="24"/>
          <w:u w:val="single"/>
          <w:lang w:eastAsia="zh-CN"/>
        </w:rPr>
        <w:t>法》要求。</w:t>
      </w:r>
    </w:p>
    <w:p w14:paraId="09699450">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2"/>
        <w:rPr>
          <w:rFonts w:hint="default" w:ascii="Times New Roman" w:hAnsi="Times New Roman" w:eastAsia="宋体" w:cs="Times New Roman"/>
          <w:b/>
          <w:bCs/>
          <w:spacing w:val="-2"/>
          <w:sz w:val="24"/>
          <w:szCs w:val="24"/>
          <w:lang w:eastAsia="zh-CN"/>
        </w:rPr>
      </w:pPr>
      <w:bookmarkStart w:id="295" w:name="_Toc22212"/>
      <w:bookmarkStart w:id="296" w:name="_Toc18816"/>
      <w:r>
        <w:rPr>
          <w:rFonts w:hint="default" w:ascii="Times New Roman" w:hAnsi="Times New Roman" w:eastAsia="宋体" w:cs="Times New Roman"/>
          <w:b/>
          <w:bCs/>
          <w:spacing w:val="-2"/>
          <w:sz w:val="24"/>
          <w:szCs w:val="24"/>
          <w:lang w:eastAsia="zh-CN"/>
        </w:rPr>
        <w:t>9.2.3水域管理要求的相符性分析</w:t>
      </w:r>
      <w:bookmarkEnd w:id="295"/>
      <w:bookmarkEnd w:id="296"/>
    </w:p>
    <w:p w14:paraId="03CE9836">
      <w:pPr>
        <w:pageBreakBefore w:val="0"/>
        <w:widowControl w:val="0"/>
        <w:tabs>
          <w:tab w:val="left" w:pos="0"/>
        </w:tabs>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本排污口所在的</w:t>
      </w:r>
      <w:r>
        <w:rPr>
          <w:rFonts w:hint="eastAsia" w:ascii="Times New Roman" w:hAnsi="Times New Roman" w:eastAsia="宋体" w:cs="Times New Roman"/>
          <w:color w:val="auto"/>
          <w:sz w:val="24"/>
          <w:szCs w:val="24"/>
          <w:lang w:val="en-US" w:eastAsia="zh-CN"/>
        </w:rPr>
        <w:t>青山河</w:t>
      </w:r>
      <w:r>
        <w:rPr>
          <w:rFonts w:hint="default" w:ascii="Times New Roman" w:hAnsi="Times New Roman" w:eastAsia="宋体" w:cs="Times New Roman"/>
          <w:color w:val="auto"/>
          <w:sz w:val="24"/>
          <w:szCs w:val="24"/>
          <w:lang w:eastAsia="zh-CN"/>
        </w:rPr>
        <w:t>属于</w:t>
      </w:r>
      <w:r>
        <w:rPr>
          <w:rFonts w:hint="eastAsia" w:ascii="Times New Roman" w:hAnsi="Times New Roman" w:eastAsia="宋体" w:cs="Times New Roman"/>
          <w:color w:val="auto"/>
          <w:sz w:val="24"/>
          <w:szCs w:val="24"/>
          <w:lang w:val="en-US" w:eastAsia="zh-CN"/>
        </w:rPr>
        <w:t>保留区</w:t>
      </w:r>
      <w:r>
        <w:rPr>
          <w:rFonts w:hint="default" w:ascii="Times New Roman" w:hAnsi="Times New Roman" w:eastAsia="宋体" w:cs="Times New Roman"/>
          <w:color w:val="auto"/>
          <w:sz w:val="24"/>
          <w:szCs w:val="24"/>
          <w:lang w:eastAsia="zh-CN"/>
        </w:rPr>
        <w:t>，执行《地表水环境质量标准》（GB3838-2002）</w:t>
      </w:r>
      <w:r>
        <w:rPr>
          <w:rFonts w:hint="default" w:ascii="Times New Roman" w:hAnsi="Times New Roman" w:eastAsia="宋体" w:cs="Times New Roman"/>
          <w:spacing w:val="-4"/>
          <w:sz w:val="24"/>
          <w:szCs w:val="24"/>
          <w:lang w:eastAsia="zh-CN"/>
        </w:rPr>
        <w:t>Ⅲ</w:t>
      </w:r>
      <w:r>
        <w:rPr>
          <w:rFonts w:hint="default" w:ascii="Times New Roman" w:hAnsi="Times New Roman" w:eastAsia="宋体" w:cs="Times New Roman"/>
          <w:spacing w:val="-4"/>
          <w:sz w:val="24"/>
          <w:szCs w:val="24"/>
          <w:lang w:val="en-US" w:eastAsia="zh-CN"/>
        </w:rPr>
        <w:t>类</w:t>
      </w:r>
      <w:r>
        <w:rPr>
          <w:rFonts w:hint="default" w:ascii="Times New Roman" w:hAnsi="Times New Roman" w:eastAsia="宋体" w:cs="Times New Roman"/>
          <w:color w:val="auto"/>
          <w:sz w:val="24"/>
          <w:szCs w:val="24"/>
          <w:lang w:eastAsia="zh-CN"/>
        </w:rPr>
        <w:t>水质目标。</w:t>
      </w:r>
    </w:p>
    <w:p w14:paraId="6D3F13D4">
      <w:pPr>
        <w:pageBreakBefore w:val="0"/>
        <w:wordWrap/>
        <w:overflowPunct/>
        <w:topLinePunct w:val="0"/>
        <w:bidi w:val="0"/>
        <w:spacing w:line="360" w:lineRule="auto"/>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color w:val="auto"/>
          <w:sz w:val="24"/>
          <w:szCs w:val="24"/>
          <w:lang w:eastAsia="zh-CN"/>
        </w:rPr>
        <w:t>正常排放情况下，CODcr、NH</w:t>
      </w:r>
      <w:r>
        <w:rPr>
          <w:rFonts w:hint="default" w:ascii="Times New Roman" w:hAnsi="Times New Roman" w:eastAsia="宋体" w:cs="Times New Roman"/>
          <w:color w:val="auto"/>
          <w:sz w:val="24"/>
          <w:szCs w:val="24"/>
          <w:vertAlign w:val="subscript"/>
          <w:lang w:eastAsia="zh-CN"/>
        </w:rPr>
        <w:t>3</w:t>
      </w:r>
      <w:r>
        <w:rPr>
          <w:rFonts w:hint="default" w:ascii="Times New Roman" w:hAnsi="Times New Roman" w:eastAsia="宋体" w:cs="Times New Roman"/>
          <w:color w:val="auto"/>
          <w:sz w:val="24"/>
          <w:szCs w:val="24"/>
          <w:lang w:eastAsia="zh-CN"/>
        </w:rPr>
        <w:t>-N</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总磷</w:t>
      </w:r>
      <w:r>
        <w:rPr>
          <w:rFonts w:hint="default" w:ascii="Times New Roman" w:hAnsi="Times New Roman" w:eastAsia="宋体" w:cs="Times New Roman"/>
          <w:color w:val="auto"/>
          <w:sz w:val="24"/>
          <w:szCs w:val="24"/>
          <w:lang w:eastAsia="zh-CN"/>
        </w:rPr>
        <w:t>均能满足</w:t>
      </w:r>
      <w:r>
        <w:rPr>
          <w:rFonts w:hint="default" w:ascii="Times New Roman" w:hAnsi="Times New Roman" w:eastAsia="宋体" w:cs="Times New Roman"/>
          <w:spacing w:val="-4"/>
          <w:sz w:val="24"/>
          <w:szCs w:val="24"/>
          <w:lang w:eastAsia="zh-CN"/>
        </w:rPr>
        <w:t>Ⅲ</w:t>
      </w:r>
      <w:r>
        <w:rPr>
          <w:rFonts w:hint="default" w:ascii="Times New Roman" w:hAnsi="Times New Roman" w:eastAsia="宋体" w:cs="Times New Roman"/>
          <w:spacing w:val="-4"/>
          <w:sz w:val="24"/>
          <w:szCs w:val="24"/>
          <w:lang w:val="en-US" w:eastAsia="zh-CN"/>
        </w:rPr>
        <w:t>类</w:t>
      </w:r>
      <w:r>
        <w:rPr>
          <w:rFonts w:hint="default" w:ascii="Times New Roman" w:hAnsi="Times New Roman" w:eastAsia="宋体" w:cs="Times New Roman"/>
          <w:color w:val="auto"/>
          <w:sz w:val="24"/>
          <w:szCs w:val="24"/>
          <w:lang w:eastAsia="zh-CN"/>
        </w:rPr>
        <w:t>水质要求，本排污口的设置不改变排污口所处水功能区及下游水功能的使用功能，也不影响相邻水功能区的使用</w:t>
      </w:r>
      <w:r>
        <w:rPr>
          <w:rFonts w:hint="default" w:ascii="Times New Roman" w:hAnsi="Times New Roman" w:eastAsia="宋体" w:cs="Times New Roman"/>
          <w:spacing w:val="-2"/>
          <w:sz w:val="24"/>
          <w:szCs w:val="24"/>
          <w:lang w:eastAsia="zh-CN"/>
        </w:rPr>
        <w:t>。</w:t>
      </w:r>
    </w:p>
    <w:p w14:paraId="58D409EB">
      <w:pPr>
        <w:pageBreakBefore w:val="0"/>
        <w:wordWrap/>
        <w:overflowPunct/>
        <w:topLinePunct w:val="0"/>
        <w:bidi w:val="0"/>
        <w:spacing w:line="360" w:lineRule="auto"/>
        <w:outlineLvl w:val="2"/>
        <w:rPr>
          <w:rFonts w:ascii="宋体" w:hAnsi="宋体" w:eastAsia="宋体" w:cs="宋体"/>
          <w:sz w:val="24"/>
          <w:szCs w:val="24"/>
          <w:lang w:eastAsia="zh-CN"/>
        </w:rPr>
      </w:pPr>
      <w:bookmarkStart w:id="297" w:name="_Toc9069"/>
      <w:bookmarkStart w:id="298" w:name="_Toc2869"/>
      <w:r>
        <w:rPr>
          <w:rFonts w:ascii="Times New Roman" w:hAnsi="Times New Roman" w:eastAsia="Times New Roman" w:cs="Times New Roman"/>
          <w:b/>
          <w:bCs/>
          <w:spacing w:val="-2"/>
          <w:sz w:val="24"/>
          <w:szCs w:val="24"/>
          <w:lang w:eastAsia="zh-CN"/>
        </w:rPr>
        <w:t>9.2.</w:t>
      </w:r>
      <w:r>
        <w:rPr>
          <w:rFonts w:hint="eastAsia" w:ascii="Times New Roman" w:hAnsi="Times New Roman" w:eastAsia="Times New Roman" w:cs="Times New Roman"/>
          <w:b/>
          <w:bCs/>
          <w:spacing w:val="-2"/>
          <w:sz w:val="24"/>
          <w:szCs w:val="24"/>
          <w:lang w:val="en-US" w:eastAsia="zh-CN"/>
        </w:rPr>
        <w:t>4</w:t>
      </w:r>
      <w:r>
        <w:rPr>
          <w:rFonts w:ascii="宋体" w:hAnsi="宋体" w:eastAsia="宋体" w:cs="宋体"/>
          <w:b/>
          <w:bCs/>
          <w:spacing w:val="-2"/>
          <w:sz w:val="24"/>
          <w:szCs w:val="24"/>
          <w:lang w:eastAsia="zh-CN"/>
        </w:rPr>
        <w:t>入河排污口河段河床稳定性和防洪影响分析</w:t>
      </w:r>
      <w:bookmarkEnd w:id="297"/>
      <w:bookmarkEnd w:id="298"/>
    </w:p>
    <w:p w14:paraId="4D5A3311">
      <w:pPr>
        <w:pageBreakBefore w:val="0"/>
        <w:wordWrap/>
        <w:overflowPunct/>
        <w:topLinePunct w:val="0"/>
        <w:bidi w:val="0"/>
        <w:spacing w:line="360" w:lineRule="auto"/>
        <w:ind w:firstLine="480"/>
        <w:jc w:val="both"/>
        <w:rPr>
          <w:rFonts w:ascii="宋体" w:hAnsi="宋体" w:eastAsia="宋体" w:cs="宋体"/>
          <w:sz w:val="24"/>
          <w:szCs w:val="24"/>
          <w:lang w:eastAsia="zh-CN"/>
        </w:rPr>
      </w:pPr>
      <w:r>
        <w:rPr>
          <w:rFonts w:ascii="宋体" w:hAnsi="宋体" w:eastAsia="宋体" w:cs="宋体"/>
          <w:spacing w:val="-6"/>
          <w:sz w:val="24"/>
          <w:szCs w:val="24"/>
          <w:lang w:eastAsia="zh-CN"/>
        </w:rPr>
        <w:t>本项目排污口设置于</w:t>
      </w:r>
      <w:r>
        <w:rPr>
          <w:rFonts w:hint="eastAsia" w:ascii="宋体" w:hAnsi="宋体" w:eastAsia="宋体" w:cs="宋体"/>
          <w:spacing w:val="-6"/>
          <w:sz w:val="24"/>
          <w:szCs w:val="24"/>
          <w:lang w:val="en-US" w:eastAsia="zh-CN"/>
        </w:rPr>
        <w:t>青山河左岸</w:t>
      </w:r>
      <w:r>
        <w:rPr>
          <w:rFonts w:ascii="宋体" w:hAnsi="宋体" w:eastAsia="宋体" w:cs="宋体"/>
          <w:spacing w:val="-6"/>
          <w:sz w:val="24"/>
          <w:szCs w:val="24"/>
          <w:lang w:eastAsia="zh-CN"/>
        </w:rPr>
        <w:t>，</w:t>
      </w:r>
      <w:r>
        <w:rPr>
          <w:rFonts w:hint="eastAsia" w:ascii="宋体" w:hAnsi="宋体" w:eastAsia="宋体" w:cs="宋体"/>
          <w:spacing w:val="-6"/>
          <w:sz w:val="24"/>
          <w:szCs w:val="24"/>
          <w:lang w:val="en-US" w:eastAsia="zh-CN"/>
        </w:rPr>
        <w:t>青山河</w:t>
      </w:r>
      <w:r>
        <w:rPr>
          <w:rFonts w:ascii="宋体" w:hAnsi="宋体" w:eastAsia="宋体" w:cs="宋体"/>
          <w:spacing w:val="-1"/>
          <w:sz w:val="24"/>
          <w:szCs w:val="24"/>
          <w:lang w:eastAsia="zh-CN"/>
        </w:rPr>
        <w:t>两岸堤岸稳固，河道顺直、通畅。</w:t>
      </w:r>
      <w:r>
        <w:rPr>
          <w:rFonts w:hint="eastAsia" w:ascii="宋体" w:hAnsi="宋体" w:eastAsia="宋体" w:cs="宋体"/>
          <w:spacing w:val="-1"/>
          <w:sz w:val="24"/>
          <w:szCs w:val="24"/>
          <w:lang w:val="en-US" w:eastAsia="zh-CN"/>
        </w:rPr>
        <w:t>污水</w:t>
      </w:r>
      <w:r>
        <w:rPr>
          <w:rFonts w:ascii="宋体" w:hAnsi="宋体" w:eastAsia="宋体" w:cs="宋体"/>
          <w:spacing w:val="-1"/>
          <w:sz w:val="24"/>
          <w:szCs w:val="24"/>
          <w:lang w:eastAsia="zh-CN"/>
        </w:rPr>
        <w:t>采用重力自流方</w:t>
      </w:r>
      <w:r>
        <w:rPr>
          <w:rFonts w:ascii="宋体" w:hAnsi="宋体" w:eastAsia="宋体" w:cs="宋体"/>
          <w:spacing w:val="3"/>
          <w:sz w:val="24"/>
          <w:szCs w:val="24"/>
          <w:lang w:eastAsia="zh-CN"/>
        </w:rPr>
        <w:t>式，不会对</w:t>
      </w:r>
      <w:r>
        <w:rPr>
          <w:rFonts w:hint="eastAsia" w:ascii="宋体" w:hAnsi="宋体" w:eastAsia="宋体" w:cs="宋体"/>
          <w:spacing w:val="3"/>
          <w:sz w:val="24"/>
          <w:szCs w:val="24"/>
          <w:lang w:eastAsia="zh-CN"/>
        </w:rPr>
        <w:t>青山河</w:t>
      </w:r>
      <w:r>
        <w:rPr>
          <w:rFonts w:ascii="宋体" w:hAnsi="宋体" w:eastAsia="宋体" w:cs="宋体"/>
          <w:spacing w:val="3"/>
          <w:sz w:val="24"/>
          <w:szCs w:val="24"/>
          <w:lang w:eastAsia="zh-CN"/>
        </w:rPr>
        <w:t>堤岸</w:t>
      </w:r>
      <w:r>
        <w:rPr>
          <w:rFonts w:ascii="宋体" w:hAnsi="宋体" w:eastAsia="宋体" w:cs="宋体"/>
          <w:spacing w:val="2"/>
          <w:sz w:val="24"/>
          <w:szCs w:val="24"/>
          <w:lang w:eastAsia="zh-CN"/>
        </w:rPr>
        <w:t>产生冲刷。此外，本项目排污</w:t>
      </w:r>
      <w:r>
        <w:rPr>
          <w:rFonts w:ascii="宋体" w:hAnsi="宋体" w:eastAsia="宋体" w:cs="宋体"/>
          <w:spacing w:val="3"/>
          <w:sz w:val="24"/>
          <w:szCs w:val="24"/>
          <w:lang w:eastAsia="zh-CN"/>
        </w:rPr>
        <w:t>口位于河岸边，采用管道排放。本</w:t>
      </w:r>
      <w:r>
        <w:rPr>
          <w:rFonts w:hint="eastAsia" w:ascii="宋体" w:hAnsi="宋体" w:eastAsia="宋体" w:cs="宋体"/>
          <w:spacing w:val="3"/>
          <w:sz w:val="24"/>
          <w:szCs w:val="24"/>
          <w:lang w:eastAsia="zh-CN"/>
        </w:rPr>
        <w:t>项目</w:t>
      </w:r>
      <w:r>
        <w:rPr>
          <w:rFonts w:ascii="宋体" w:hAnsi="宋体" w:eastAsia="宋体" w:cs="宋体"/>
          <w:spacing w:val="2"/>
          <w:sz w:val="24"/>
          <w:szCs w:val="24"/>
          <w:lang w:eastAsia="zh-CN"/>
        </w:rPr>
        <w:t>排污口</w:t>
      </w:r>
      <w:r>
        <w:rPr>
          <w:rFonts w:hint="eastAsia" w:ascii="宋体" w:hAnsi="宋体" w:eastAsia="宋体" w:cs="宋体"/>
          <w:spacing w:val="2"/>
          <w:sz w:val="24"/>
          <w:szCs w:val="24"/>
          <w:lang w:val="en-US" w:eastAsia="zh-CN"/>
        </w:rPr>
        <w:t>将</w:t>
      </w:r>
      <w:r>
        <w:rPr>
          <w:rFonts w:ascii="宋体" w:hAnsi="宋体" w:eastAsia="宋体" w:cs="宋体"/>
          <w:spacing w:val="2"/>
          <w:sz w:val="24"/>
          <w:szCs w:val="24"/>
          <w:lang w:eastAsia="zh-CN"/>
        </w:rPr>
        <w:t>按防洪标准设</w:t>
      </w:r>
      <w:r>
        <w:rPr>
          <w:rFonts w:ascii="宋体" w:hAnsi="宋体" w:eastAsia="宋体" w:cs="宋体"/>
          <w:sz w:val="24"/>
          <w:szCs w:val="24"/>
          <w:lang w:eastAsia="zh-CN"/>
        </w:rPr>
        <w:t>计，入河排污口设置符合国家规定的防洪标</w:t>
      </w:r>
      <w:r>
        <w:rPr>
          <w:rFonts w:ascii="宋体" w:hAnsi="宋体" w:eastAsia="宋体" w:cs="宋体"/>
          <w:spacing w:val="-1"/>
          <w:sz w:val="24"/>
          <w:szCs w:val="24"/>
          <w:lang w:eastAsia="zh-CN"/>
        </w:rPr>
        <w:t>准和工程安全标准要求。</w:t>
      </w:r>
    </w:p>
    <w:p w14:paraId="18143214">
      <w:pPr>
        <w:pageBreakBefore w:val="0"/>
        <w:wordWrap/>
        <w:overflowPunct/>
        <w:topLinePunct w:val="0"/>
        <w:bidi w:val="0"/>
        <w:spacing w:line="360" w:lineRule="auto"/>
        <w:ind w:firstLine="480"/>
        <w:jc w:val="both"/>
        <w:rPr>
          <w:rFonts w:ascii="宋体" w:hAnsi="宋体" w:eastAsia="宋体" w:cs="宋体"/>
          <w:sz w:val="24"/>
          <w:szCs w:val="24"/>
          <w:lang w:eastAsia="zh-CN"/>
        </w:rPr>
      </w:pPr>
      <w:r>
        <w:rPr>
          <w:rFonts w:ascii="宋体" w:hAnsi="宋体" w:eastAsia="宋体" w:cs="宋体"/>
          <w:sz w:val="24"/>
          <w:szCs w:val="24"/>
          <w:lang w:eastAsia="zh-CN"/>
        </w:rPr>
        <w:t>综上所述，</w:t>
      </w:r>
      <w:r>
        <w:rPr>
          <w:rFonts w:hint="eastAsia" w:ascii="宋体" w:hAnsi="宋体" w:eastAsia="宋体" w:cs="宋体"/>
          <w:sz w:val="24"/>
          <w:szCs w:val="24"/>
          <w:lang w:eastAsia="zh-CN"/>
        </w:rPr>
        <w:t>本项目入河</w:t>
      </w:r>
      <w:r>
        <w:rPr>
          <w:rFonts w:ascii="宋体" w:hAnsi="宋体" w:eastAsia="宋体" w:cs="宋体"/>
          <w:sz w:val="24"/>
          <w:szCs w:val="24"/>
          <w:lang w:eastAsia="zh-CN"/>
        </w:rPr>
        <w:t>排污口</w:t>
      </w:r>
      <w:r>
        <w:rPr>
          <w:rFonts w:ascii="宋体" w:hAnsi="宋体" w:eastAsia="宋体" w:cs="宋体"/>
          <w:spacing w:val="-1"/>
          <w:sz w:val="24"/>
          <w:szCs w:val="24"/>
          <w:lang w:eastAsia="zh-CN"/>
        </w:rPr>
        <w:t>符合国家相关法律法规、政策要</w:t>
      </w:r>
      <w:r>
        <w:rPr>
          <w:rFonts w:ascii="宋体" w:hAnsi="宋体" w:eastAsia="宋体" w:cs="宋体"/>
          <w:sz w:val="24"/>
          <w:szCs w:val="24"/>
          <w:lang w:eastAsia="zh-CN"/>
        </w:rPr>
        <w:t>求，符合生态红线、三线一单</w:t>
      </w:r>
      <w:r>
        <w:rPr>
          <w:rFonts w:ascii="宋体" w:hAnsi="宋体" w:eastAsia="宋体" w:cs="宋体"/>
          <w:spacing w:val="-1"/>
          <w:sz w:val="24"/>
          <w:szCs w:val="24"/>
          <w:lang w:eastAsia="zh-CN"/>
        </w:rPr>
        <w:t>、水资源管理要求以及水功能区管理要求要求，因此，本排污口设置是可行的。</w:t>
      </w:r>
    </w:p>
    <w:p w14:paraId="3174C9BA">
      <w:pPr>
        <w:pStyle w:val="3"/>
        <w:pageBreakBefore w:val="0"/>
        <w:widowControl/>
        <w:kinsoku w:val="0"/>
        <w:wordWrap/>
        <w:overflowPunct/>
        <w:topLinePunct w:val="0"/>
        <w:autoSpaceDE w:val="0"/>
        <w:autoSpaceDN w:val="0"/>
        <w:bidi w:val="0"/>
        <w:adjustRightInd w:val="0"/>
        <w:snapToGrid w:val="0"/>
        <w:spacing w:before="0" w:after="0" w:line="360" w:lineRule="auto"/>
        <w:contextualSpacing/>
        <w:jc w:val="both"/>
        <w:textAlignment w:val="baseline"/>
        <w:rPr>
          <w:rFonts w:ascii="Times New Roman" w:hAnsi="Times New Roman" w:eastAsia="宋体" w:cs="Times New Roman"/>
          <w:color w:val="auto"/>
          <w:szCs w:val="28"/>
          <w:lang w:eastAsia="zh-CN"/>
        </w:rPr>
      </w:pPr>
      <w:bookmarkStart w:id="299" w:name="_Toc136"/>
      <w:bookmarkStart w:id="300" w:name="_Toc5626"/>
      <w:r>
        <w:rPr>
          <w:rFonts w:ascii="Times New Roman" w:hAnsi="Times New Roman" w:eastAsia="宋体" w:cs="Times New Roman"/>
          <w:color w:val="auto"/>
          <w:szCs w:val="28"/>
          <w:lang w:eastAsia="zh-CN"/>
        </w:rPr>
        <w:t>9.</w:t>
      </w:r>
      <w:r>
        <w:rPr>
          <w:rFonts w:hint="eastAsia" w:ascii="Times New Roman" w:hAnsi="Times New Roman" w:eastAsia="宋体" w:cs="Times New Roman"/>
          <w:color w:val="auto"/>
          <w:szCs w:val="28"/>
          <w:lang w:val="en-US" w:eastAsia="zh-CN"/>
        </w:rPr>
        <w:t>2</w:t>
      </w:r>
      <w:r>
        <w:rPr>
          <w:rFonts w:ascii="Times New Roman" w:hAnsi="Times New Roman" w:eastAsia="宋体" w:cs="Times New Roman"/>
          <w:color w:val="auto"/>
          <w:szCs w:val="28"/>
          <w:lang w:eastAsia="zh-CN"/>
        </w:rPr>
        <w:t>水生态环境保护目标的符合性</w:t>
      </w:r>
      <w:bookmarkEnd w:id="299"/>
      <w:bookmarkEnd w:id="300"/>
    </w:p>
    <w:p w14:paraId="3B046DA9">
      <w:pPr>
        <w:pStyle w:val="4"/>
        <w:pageBreakBefore w:val="0"/>
        <w:kinsoku/>
        <w:wordWrap/>
        <w:overflowPunct/>
        <w:topLinePunct w:val="0"/>
        <w:autoSpaceDE/>
        <w:autoSpaceDN/>
        <w:bidi w:val="0"/>
        <w:adjustRightInd/>
        <w:snapToGrid/>
        <w:spacing w:before="0" w:after="0" w:line="360" w:lineRule="auto"/>
        <w:textAlignment w:val="auto"/>
        <w:rPr>
          <w:rFonts w:ascii="Times New Roman" w:hAnsi="Times New Roman" w:eastAsia="宋体" w:cs="Times New Roman"/>
          <w:color w:val="auto"/>
          <w:lang w:eastAsia="zh-CN"/>
        </w:rPr>
      </w:pPr>
      <w:bookmarkStart w:id="301" w:name="_Toc29039"/>
      <w:bookmarkStart w:id="302" w:name="_Toc15976"/>
      <w:r>
        <w:rPr>
          <w:rFonts w:ascii="Times New Roman" w:hAnsi="Times New Roman" w:eastAsia="Times New Roman" w:cs="Times New Roman"/>
          <w:bCs/>
          <w:spacing w:val="-2"/>
          <w:szCs w:val="24"/>
        </w:rPr>
        <w:t>9.</w:t>
      </w:r>
      <w:r>
        <w:rPr>
          <w:rFonts w:hint="eastAsia" w:ascii="Times New Roman" w:hAnsi="Times New Roman" w:eastAsia="宋体" w:cs="Times New Roman"/>
          <w:bCs/>
          <w:spacing w:val="-2"/>
          <w:szCs w:val="24"/>
          <w:lang w:val="en-US" w:eastAsia="zh-CN"/>
        </w:rPr>
        <w:t>2</w:t>
      </w:r>
      <w:r>
        <w:rPr>
          <w:rFonts w:ascii="Times New Roman" w:hAnsi="Times New Roman" w:eastAsia="Times New Roman" w:cs="Times New Roman"/>
          <w:bCs/>
          <w:spacing w:val="-2"/>
          <w:szCs w:val="24"/>
        </w:rPr>
        <w:t>.1</w:t>
      </w:r>
      <w:r>
        <w:rPr>
          <w:rFonts w:ascii="Times New Roman" w:hAnsi="Times New Roman" w:eastAsia="宋体" w:cs="Times New Roman"/>
          <w:color w:val="auto"/>
          <w:lang w:eastAsia="zh-CN"/>
        </w:rPr>
        <w:t>水域管理要求的相符性分析</w:t>
      </w:r>
      <w:bookmarkEnd w:id="301"/>
      <w:bookmarkEnd w:id="302"/>
    </w:p>
    <w:p w14:paraId="6F4F730A">
      <w:pPr>
        <w:pageBreakBefore w:val="0"/>
        <w:widowControl w:val="0"/>
        <w:tabs>
          <w:tab w:val="left" w:pos="0"/>
        </w:tabs>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宋体" w:cs="Times New Roman"/>
          <w:color w:val="auto"/>
          <w:sz w:val="24"/>
          <w:szCs w:val="24"/>
          <w:lang w:eastAsia="zh-CN"/>
        </w:rPr>
      </w:pPr>
      <w:r>
        <w:rPr>
          <w:rFonts w:ascii="Times New Roman" w:hAnsi="Times New Roman" w:eastAsia="宋体" w:cs="Times New Roman"/>
          <w:color w:val="auto"/>
          <w:sz w:val="24"/>
          <w:szCs w:val="24"/>
          <w:lang w:eastAsia="zh-CN"/>
        </w:rPr>
        <w:t>本排污口所在的</w:t>
      </w:r>
      <w:r>
        <w:rPr>
          <w:rFonts w:hint="eastAsia" w:ascii="Times New Roman" w:hAnsi="Times New Roman" w:eastAsia="宋体" w:cs="Times New Roman"/>
          <w:color w:val="auto"/>
          <w:sz w:val="24"/>
          <w:szCs w:val="24"/>
          <w:lang w:val="en-US" w:eastAsia="zh-CN"/>
        </w:rPr>
        <w:t>青山河</w:t>
      </w:r>
      <w:r>
        <w:rPr>
          <w:rFonts w:ascii="Times New Roman" w:hAnsi="Times New Roman" w:eastAsia="宋体" w:cs="Times New Roman"/>
          <w:color w:val="auto"/>
          <w:sz w:val="24"/>
          <w:szCs w:val="24"/>
          <w:lang w:eastAsia="zh-CN"/>
        </w:rPr>
        <w:t>属于</w:t>
      </w:r>
      <w:r>
        <w:rPr>
          <w:rFonts w:hint="eastAsia" w:ascii="Times New Roman" w:hAnsi="Times New Roman" w:eastAsia="宋体" w:cs="Times New Roman"/>
          <w:color w:val="auto"/>
          <w:sz w:val="24"/>
          <w:szCs w:val="24"/>
          <w:lang w:val="en-US" w:eastAsia="zh-CN"/>
        </w:rPr>
        <w:t>保留区</w:t>
      </w:r>
      <w:r>
        <w:rPr>
          <w:rFonts w:ascii="Times New Roman" w:hAnsi="Times New Roman" w:eastAsia="宋体" w:cs="Times New Roman"/>
          <w:color w:val="auto"/>
          <w:sz w:val="24"/>
          <w:szCs w:val="24"/>
          <w:lang w:eastAsia="zh-CN"/>
        </w:rPr>
        <w:t>，执行《地表水环境质量标准》（GB3838-2002）</w:t>
      </w:r>
      <w:r>
        <w:rPr>
          <w:rFonts w:hint="default" w:ascii="Times New Roman" w:hAnsi="Times New Roman" w:eastAsia="宋体" w:cs="Times New Roman"/>
          <w:spacing w:val="-4"/>
          <w:sz w:val="24"/>
          <w:szCs w:val="24"/>
          <w:lang w:eastAsia="zh-CN"/>
        </w:rPr>
        <w:t>Ⅲ</w:t>
      </w:r>
      <w:r>
        <w:rPr>
          <w:rFonts w:hint="default" w:ascii="Times New Roman" w:hAnsi="Times New Roman" w:eastAsia="宋体" w:cs="Times New Roman"/>
          <w:spacing w:val="-4"/>
          <w:sz w:val="24"/>
          <w:szCs w:val="24"/>
          <w:lang w:val="en-US" w:eastAsia="zh-CN"/>
        </w:rPr>
        <w:t>类</w:t>
      </w:r>
      <w:r>
        <w:rPr>
          <w:rFonts w:ascii="Times New Roman" w:hAnsi="Times New Roman" w:eastAsia="宋体" w:cs="Times New Roman"/>
          <w:color w:val="auto"/>
          <w:sz w:val="24"/>
          <w:szCs w:val="24"/>
          <w:lang w:eastAsia="zh-CN"/>
        </w:rPr>
        <w:t>水质目标。</w:t>
      </w:r>
    </w:p>
    <w:p w14:paraId="7E56AF64">
      <w:pPr>
        <w:pageBreakBefore w:val="0"/>
        <w:wordWrap/>
        <w:overflowPunct/>
        <w:topLinePunct w:val="0"/>
        <w:bidi w:val="0"/>
        <w:spacing w:line="360" w:lineRule="auto"/>
        <w:ind w:firstLine="480" w:firstLineChars="200"/>
        <w:rPr>
          <w:rFonts w:ascii="宋体" w:hAnsi="宋体" w:eastAsia="宋体" w:cs="宋体"/>
          <w:sz w:val="24"/>
          <w:szCs w:val="24"/>
          <w:lang w:eastAsia="zh-CN"/>
        </w:rPr>
      </w:pPr>
      <w:r>
        <w:rPr>
          <w:rFonts w:ascii="Times New Roman" w:hAnsi="Times New Roman" w:eastAsia="宋体" w:cs="Times New Roman"/>
          <w:color w:val="auto"/>
          <w:sz w:val="24"/>
          <w:szCs w:val="24"/>
          <w:lang w:eastAsia="zh-CN"/>
        </w:rPr>
        <w:t>正常排放情况下，CODcr、NH</w:t>
      </w:r>
      <w:r>
        <w:rPr>
          <w:rFonts w:ascii="Times New Roman" w:hAnsi="Times New Roman" w:eastAsia="宋体" w:cs="Times New Roman"/>
          <w:color w:val="auto"/>
          <w:sz w:val="24"/>
          <w:szCs w:val="24"/>
          <w:vertAlign w:val="subscript"/>
          <w:lang w:eastAsia="zh-CN"/>
        </w:rPr>
        <w:t>3</w:t>
      </w:r>
      <w:r>
        <w:rPr>
          <w:rFonts w:ascii="Times New Roman" w:hAnsi="Times New Roman" w:eastAsia="宋体" w:cs="Times New Roman"/>
          <w:color w:val="auto"/>
          <w:sz w:val="24"/>
          <w:szCs w:val="24"/>
          <w:lang w:eastAsia="zh-CN"/>
        </w:rPr>
        <w:t>-N</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总磷</w:t>
      </w:r>
      <w:r>
        <w:rPr>
          <w:rFonts w:ascii="Times New Roman" w:hAnsi="Times New Roman" w:eastAsia="宋体" w:cs="Times New Roman"/>
          <w:color w:val="auto"/>
          <w:sz w:val="24"/>
          <w:szCs w:val="24"/>
          <w:lang w:eastAsia="zh-CN"/>
        </w:rPr>
        <w:t>均能满足</w:t>
      </w:r>
      <w:r>
        <w:rPr>
          <w:rFonts w:hint="default" w:ascii="Times New Roman" w:hAnsi="Times New Roman" w:eastAsia="宋体" w:cs="Times New Roman"/>
          <w:spacing w:val="-4"/>
          <w:sz w:val="24"/>
          <w:szCs w:val="24"/>
          <w:lang w:eastAsia="zh-CN"/>
        </w:rPr>
        <w:t>Ⅲ</w:t>
      </w:r>
      <w:r>
        <w:rPr>
          <w:rFonts w:hint="eastAsia" w:ascii="宋体" w:hAnsi="宋体" w:eastAsia="宋体" w:cs="宋体"/>
          <w:spacing w:val="-4"/>
          <w:sz w:val="24"/>
          <w:szCs w:val="24"/>
          <w:lang w:val="en-US" w:eastAsia="zh-CN"/>
        </w:rPr>
        <w:t>类</w:t>
      </w:r>
      <w:r>
        <w:rPr>
          <w:rFonts w:ascii="Times New Roman" w:hAnsi="Times New Roman" w:eastAsia="宋体" w:cs="Times New Roman"/>
          <w:color w:val="auto"/>
          <w:sz w:val="24"/>
          <w:szCs w:val="24"/>
          <w:lang w:eastAsia="zh-CN"/>
        </w:rPr>
        <w:t>水质要求，本排污口的设置不改变排污口所处水功能区及下游水功能的使用功能，也不影响相邻水功能区的使用</w:t>
      </w:r>
      <w:r>
        <w:rPr>
          <w:rFonts w:ascii="宋体" w:hAnsi="宋体" w:eastAsia="宋体" w:cs="宋体"/>
          <w:spacing w:val="-1"/>
          <w:sz w:val="24"/>
          <w:szCs w:val="24"/>
          <w:lang w:eastAsia="zh-CN"/>
        </w:rPr>
        <w:t>。</w:t>
      </w:r>
    </w:p>
    <w:p w14:paraId="3A35DC2C">
      <w:pPr>
        <w:pStyle w:val="3"/>
        <w:pageBreakBefore w:val="0"/>
        <w:widowControl/>
        <w:kinsoku w:val="0"/>
        <w:wordWrap/>
        <w:overflowPunct/>
        <w:topLinePunct w:val="0"/>
        <w:autoSpaceDE w:val="0"/>
        <w:autoSpaceDN w:val="0"/>
        <w:bidi w:val="0"/>
        <w:adjustRightInd w:val="0"/>
        <w:snapToGrid w:val="0"/>
        <w:spacing w:before="0" w:after="0" w:line="360" w:lineRule="auto"/>
        <w:contextualSpacing/>
        <w:jc w:val="both"/>
        <w:textAlignment w:val="baseline"/>
        <w:rPr>
          <w:rFonts w:ascii="Times New Roman" w:hAnsi="Times New Roman" w:eastAsia="宋体" w:cs="Times New Roman"/>
          <w:color w:val="auto"/>
          <w:szCs w:val="28"/>
          <w:u w:val="single" w:color="auto"/>
          <w:lang w:eastAsia="zh-CN"/>
        </w:rPr>
      </w:pPr>
      <w:bookmarkStart w:id="303" w:name="_Toc27106"/>
      <w:bookmarkStart w:id="304" w:name="_Toc26997"/>
      <w:r>
        <w:rPr>
          <w:rFonts w:ascii="Times New Roman" w:hAnsi="Times New Roman" w:eastAsia="宋体" w:cs="Times New Roman"/>
          <w:color w:val="auto"/>
          <w:szCs w:val="28"/>
          <w:lang w:eastAsia="zh-CN"/>
        </w:rPr>
        <w:t>9</w:t>
      </w:r>
      <w:r>
        <w:rPr>
          <w:rFonts w:ascii="Times New Roman" w:hAnsi="Times New Roman" w:eastAsia="宋体" w:cs="Times New Roman"/>
          <w:color w:val="auto"/>
          <w:szCs w:val="28"/>
          <w:u w:val="single" w:color="auto"/>
          <w:lang w:eastAsia="zh-CN"/>
        </w:rPr>
        <w:t>.</w:t>
      </w:r>
      <w:r>
        <w:rPr>
          <w:rFonts w:hint="eastAsia" w:ascii="Times New Roman" w:hAnsi="Times New Roman" w:eastAsia="宋体" w:cs="Times New Roman"/>
          <w:color w:val="auto"/>
          <w:szCs w:val="28"/>
          <w:u w:val="single" w:color="auto"/>
          <w:lang w:val="en-US" w:eastAsia="zh-CN"/>
        </w:rPr>
        <w:t>3</w:t>
      </w:r>
      <w:r>
        <w:rPr>
          <w:rFonts w:ascii="Times New Roman" w:hAnsi="Times New Roman" w:eastAsia="宋体" w:cs="Times New Roman"/>
          <w:color w:val="auto"/>
          <w:szCs w:val="28"/>
          <w:u w:val="single" w:color="auto"/>
          <w:lang w:eastAsia="zh-CN"/>
        </w:rPr>
        <w:t>应采取的水生态环境保护措施及实施效果分析</w:t>
      </w:r>
      <w:bookmarkEnd w:id="303"/>
      <w:bookmarkEnd w:id="304"/>
    </w:p>
    <w:p w14:paraId="5662E1FC">
      <w:pPr>
        <w:pStyle w:val="58"/>
        <w:pageBreakBefore w:val="0"/>
        <w:widowControl/>
        <w:numPr>
          <w:ilvl w:val="0"/>
          <w:numId w:val="0"/>
        </w:numPr>
        <w:kinsoku w:val="0"/>
        <w:wordWrap/>
        <w:overflowPunct/>
        <w:topLinePunct w:val="0"/>
        <w:autoSpaceDE w:val="0"/>
        <w:autoSpaceDN w:val="0"/>
        <w:bidi w:val="0"/>
        <w:adjustRightInd w:val="0"/>
        <w:snapToGrid w:val="0"/>
        <w:spacing w:after="0" w:line="360" w:lineRule="auto"/>
        <w:jc w:val="both"/>
        <w:textAlignment w:val="baseline"/>
        <w:rPr>
          <w:rFonts w:hint="default" w:ascii="Times New Roman" w:hAnsi="Times New Roman" w:eastAsia="宋体" w:cs="Times New Roman"/>
          <w:color w:val="auto"/>
          <w:sz w:val="24"/>
          <w:szCs w:val="24"/>
          <w:highlight w:val="none"/>
          <w:u w:val="single" w:color="auto"/>
          <w:lang w:val="en-US" w:eastAsia="zh-CN"/>
        </w:rPr>
      </w:pPr>
      <w:bookmarkStart w:id="305" w:name="_Toc18962"/>
      <w:bookmarkStart w:id="306" w:name="_Toc10532"/>
      <w:r>
        <w:rPr>
          <w:rFonts w:hint="eastAsia" w:ascii="Times New Roman" w:hAnsi="Times New Roman" w:eastAsia="宋体" w:cs="Times New Roman"/>
          <w:color w:val="auto"/>
          <w:sz w:val="24"/>
          <w:szCs w:val="24"/>
          <w:highlight w:val="none"/>
          <w:u w:val="single" w:color="auto"/>
          <w:lang w:val="en-US" w:eastAsia="zh-CN"/>
        </w:rPr>
        <w:t>9.3.1</w:t>
      </w:r>
      <w:r>
        <w:rPr>
          <w:rFonts w:hint="default" w:ascii="Times New Roman" w:hAnsi="Times New Roman" w:eastAsia="宋体" w:cs="Times New Roman"/>
          <w:color w:val="auto"/>
          <w:sz w:val="24"/>
          <w:szCs w:val="24"/>
          <w:highlight w:val="none"/>
          <w:u w:val="single" w:color="auto"/>
          <w:lang w:val="en-US" w:eastAsia="zh-CN"/>
        </w:rPr>
        <w:t>工程措施</w:t>
      </w:r>
      <w:bookmarkEnd w:id="305"/>
      <w:bookmarkEnd w:id="306"/>
    </w:p>
    <w:p w14:paraId="53C24967">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eastAsia="zh-CN"/>
        </w:rPr>
      </w:pPr>
      <w:r>
        <w:rPr>
          <w:rFonts w:hint="default" w:ascii="Times New Roman" w:hAnsi="Times New Roman" w:eastAsia="宋体" w:cs="Times New Roman"/>
          <w:color w:val="auto"/>
          <w:sz w:val="24"/>
          <w:szCs w:val="24"/>
          <w:u w:val="single" w:color="auto"/>
        </w:rPr>
        <w:t>为了保证污水得到有效处理，实现污水达标排放，避免工程运行期间出现污水非正常排放，或将非正常排放损失降至最低，提出以下水污染防治措施：</w:t>
      </w:r>
    </w:p>
    <w:p w14:paraId="1BEF704B">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en-US" w:eastAsia="zh-CN"/>
        </w:rPr>
      </w:pPr>
      <w:r>
        <w:rPr>
          <w:rFonts w:hint="default" w:ascii="Times New Roman" w:hAnsi="Times New Roman" w:eastAsia="宋体" w:cs="Times New Roman"/>
          <w:color w:val="auto"/>
          <w:sz w:val="24"/>
          <w:highlight w:val="none"/>
          <w:u w:val="single" w:color="auto"/>
          <w:lang w:val="en-US" w:eastAsia="zh-CN"/>
        </w:rPr>
        <w:t>（1）加强对各类机械设备定期检查、维护和管理，同时配备必要的备用设备，当设备出现运转故障时及时更换，以减少事故的隐患。</w:t>
      </w:r>
    </w:p>
    <w:p w14:paraId="5C14C917">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rPr>
      </w:pPr>
      <w:r>
        <w:rPr>
          <w:rFonts w:hint="default" w:ascii="Times New Roman" w:hAnsi="Times New Roman" w:eastAsia="宋体" w:cs="Times New Roman"/>
          <w:color w:val="auto"/>
          <w:sz w:val="24"/>
          <w:highlight w:val="none"/>
          <w:u w:val="single" w:color="auto"/>
          <w:lang w:eastAsia="zh-CN"/>
        </w:rPr>
        <w:t>（</w:t>
      </w:r>
      <w:r>
        <w:rPr>
          <w:rFonts w:hint="default" w:ascii="Times New Roman" w:hAnsi="Times New Roman" w:eastAsia="宋体" w:cs="Times New Roman"/>
          <w:color w:val="auto"/>
          <w:sz w:val="24"/>
          <w:highlight w:val="none"/>
          <w:u w:val="single" w:color="auto"/>
          <w:lang w:val="en-US" w:eastAsia="zh-CN"/>
        </w:rPr>
        <w:t>2</w:t>
      </w:r>
      <w:r>
        <w:rPr>
          <w:rFonts w:hint="default" w:ascii="Times New Roman" w:hAnsi="Times New Roman" w:eastAsia="宋体" w:cs="Times New Roman"/>
          <w:color w:val="auto"/>
          <w:sz w:val="24"/>
          <w:highlight w:val="none"/>
          <w:u w:val="single" w:color="auto"/>
          <w:lang w:eastAsia="zh-CN"/>
        </w:rPr>
        <w:t>）</w:t>
      </w:r>
      <w:r>
        <w:rPr>
          <w:rFonts w:hint="default" w:ascii="Times New Roman" w:hAnsi="Times New Roman" w:eastAsia="宋体" w:cs="Times New Roman"/>
          <w:color w:val="auto"/>
          <w:sz w:val="24"/>
          <w:highlight w:val="none"/>
          <w:u w:val="single" w:color="auto"/>
        </w:rPr>
        <w:t>完善排污口的规范化建设</w:t>
      </w:r>
    </w:p>
    <w:p w14:paraId="5793AB6A">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en-US" w:eastAsia="zh-CN"/>
        </w:rPr>
      </w:pPr>
      <w:r>
        <w:rPr>
          <w:rFonts w:hint="default" w:ascii="Times New Roman" w:hAnsi="Times New Roman" w:eastAsia="宋体" w:cs="Times New Roman"/>
          <w:color w:val="auto"/>
          <w:sz w:val="24"/>
          <w:highlight w:val="none"/>
          <w:u w:val="single" w:color="auto"/>
          <w:lang w:val="en-US" w:eastAsia="zh-CN"/>
        </w:rPr>
        <w:t>参照《入河（海）排污口命名与编码规则（HJ1235-2021）》要求，</w:t>
      </w:r>
      <w:r>
        <w:rPr>
          <w:rFonts w:hint="default" w:ascii="Times New Roman" w:hAnsi="Times New Roman" w:eastAsia="宋体" w:cs="Times New Roman"/>
          <w:color w:val="auto"/>
          <w:sz w:val="24"/>
          <w:highlight w:val="none"/>
          <w:u w:val="single" w:color="auto"/>
        </w:rPr>
        <w:t>入河排污口应设立标识牌，并在接入废污水口和排污口处设置</w:t>
      </w:r>
      <w:r>
        <w:rPr>
          <w:rFonts w:hint="eastAsia" w:ascii="Times New Roman" w:hAnsi="Times New Roman" w:cs="Times New Roman"/>
          <w:color w:val="auto"/>
          <w:sz w:val="24"/>
          <w:highlight w:val="none"/>
          <w:u w:val="single" w:color="auto"/>
          <w:lang w:val="en-US" w:eastAsia="zh-CN"/>
        </w:rPr>
        <w:t>管道</w:t>
      </w:r>
      <w:r>
        <w:rPr>
          <w:rFonts w:hint="default" w:ascii="Times New Roman" w:hAnsi="Times New Roman" w:eastAsia="宋体" w:cs="Times New Roman"/>
          <w:color w:val="auto"/>
          <w:sz w:val="24"/>
          <w:highlight w:val="none"/>
          <w:u w:val="single" w:color="auto"/>
        </w:rPr>
        <w:t>段取样点；将排污口基本情况和排放的主要污染物质量、入河排污口位置图以及定期报表资料进行归档，建立入河排污口档案。</w:t>
      </w:r>
    </w:p>
    <w:p w14:paraId="2361BF8C">
      <w:pPr>
        <w:pStyle w:val="58"/>
        <w:pageBreakBefore w:val="0"/>
        <w:widowControl/>
        <w:numPr>
          <w:ilvl w:val="0"/>
          <w:numId w:val="0"/>
        </w:numPr>
        <w:kinsoku w:val="0"/>
        <w:wordWrap/>
        <w:overflowPunct/>
        <w:topLinePunct w:val="0"/>
        <w:autoSpaceDE w:val="0"/>
        <w:autoSpaceDN w:val="0"/>
        <w:bidi w:val="0"/>
        <w:adjustRightInd w:val="0"/>
        <w:snapToGrid w:val="0"/>
        <w:spacing w:after="0" w:line="360" w:lineRule="auto"/>
        <w:jc w:val="both"/>
        <w:textAlignment w:val="baseline"/>
        <w:rPr>
          <w:rFonts w:hint="default" w:ascii="Times New Roman" w:hAnsi="Times New Roman" w:eastAsia="宋体" w:cs="Times New Roman"/>
          <w:color w:val="auto"/>
          <w:sz w:val="24"/>
          <w:szCs w:val="24"/>
          <w:highlight w:val="none"/>
          <w:u w:val="single" w:color="auto"/>
          <w:lang w:val="en-US" w:eastAsia="zh-CN"/>
        </w:rPr>
      </w:pPr>
      <w:bookmarkStart w:id="307" w:name="_Toc3035"/>
      <w:bookmarkStart w:id="308" w:name="_Toc24068"/>
      <w:bookmarkStart w:id="309" w:name="_Toc25784"/>
      <w:bookmarkStart w:id="310" w:name="_Toc27176"/>
      <w:bookmarkStart w:id="311" w:name="_Toc16566"/>
      <w:r>
        <w:rPr>
          <w:rFonts w:hint="eastAsia" w:ascii="Times New Roman" w:hAnsi="Times New Roman" w:eastAsia="宋体" w:cs="Times New Roman"/>
          <w:color w:val="auto"/>
          <w:sz w:val="24"/>
          <w:szCs w:val="24"/>
          <w:highlight w:val="none"/>
          <w:u w:val="single" w:color="auto"/>
          <w:lang w:val="en-US" w:eastAsia="zh-CN"/>
        </w:rPr>
        <w:t>9.3.2</w:t>
      </w:r>
      <w:r>
        <w:rPr>
          <w:rFonts w:hint="default" w:ascii="Times New Roman" w:hAnsi="Times New Roman" w:eastAsia="宋体" w:cs="Times New Roman"/>
          <w:color w:val="auto"/>
          <w:sz w:val="24"/>
          <w:szCs w:val="24"/>
          <w:highlight w:val="none"/>
          <w:u w:val="single" w:color="auto"/>
          <w:lang w:val="en-US" w:eastAsia="zh-CN"/>
        </w:rPr>
        <w:t>管理措施</w:t>
      </w:r>
      <w:bookmarkEnd w:id="307"/>
      <w:bookmarkEnd w:id="308"/>
      <w:bookmarkEnd w:id="309"/>
      <w:bookmarkEnd w:id="310"/>
    </w:p>
    <w:bookmarkEnd w:id="311"/>
    <w:p w14:paraId="36082486">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zh-CN"/>
        </w:rPr>
      </w:pPr>
      <w:r>
        <w:rPr>
          <w:rFonts w:hint="default" w:ascii="Times New Roman" w:hAnsi="Times New Roman" w:eastAsia="宋体" w:cs="Times New Roman"/>
          <w:color w:val="auto"/>
          <w:sz w:val="24"/>
          <w:highlight w:val="none"/>
          <w:u w:val="single" w:color="auto"/>
          <w:lang w:val="en-US" w:eastAsia="zh-CN"/>
        </w:rPr>
        <w:t>（1）</w:t>
      </w:r>
      <w:r>
        <w:rPr>
          <w:rFonts w:hint="default" w:ascii="Times New Roman" w:hAnsi="Times New Roman" w:eastAsia="宋体" w:cs="Times New Roman"/>
          <w:color w:val="auto"/>
          <w:sz w:val="24"/>
          <w:highlight w:val="none"/>
          <w:u w:val="single" w:color="auto"/>
          <w:lang w:val="zh-CN"/>
        </w:rPr>
        <w:t>加强工程运行管理</w:t>
      </w:r>
    </w:p>
    <w:p w14:paraId="476C227B">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zh-CN"/>
        </w:rPr>
      </w:pPr>
      <w:r>
        <w:rPr>
          <w:rFonts w:hint="default" w:ascii="Times New Roman" w:hAnsi="Times New Roman" w:eastAsia="宋体" w:cs="Times New Roman"/>
          <w:color w:val="auto"/>
          <w:sz w:val="24"/>
          <w:highlight w:val="none"/>
          <w:u w:val="single" w:color="auto"/>
          <w:lang w:val="zh-CN"/>
        </w:rPr>
        <w:t>切实加强</w:t>
      </w:r>
      <w:r>
        <w:rPr>
          <w:rFonts w:hint="default" w:ascii="Times New Roman" w:hAnsi="Times New Roman" w:eastAsia="宋体" w:cs="Times New Roman"/>
          <w:color w:val="auto"/>
          <w:sz w:val="24"/>
          <w:highlight w:val="none"/>
          <w:u w:val="single" w:color="auto"/>
          <w:lang w:val="en-US"/>
        </w:rPr>
        <w:t>自建污水处理站</w:t>
      </w:r>
      <w:r>
        <w:rPr>
          <w:rFonts w:hint="default" w:ascii="Times New Roman" w:hAnsi="Times New Roman" w:eastAsia="宋体" w:cs="Times New Roman"/>
          <w:color w:val="auto"/>
          <w:sz w:val="24"/>
          <w:highlight w:val="none"/>
          <w:u w:val="single" w:color="auto"/>
          <w:lang w:val="zh-CN"/>
        </w:rPr>
        <w:t>运行管理，保证污水处理工程运行率达100%，避免非正常排放现象的发生。加强生产管理，防止“跑、冒、滴、漏”。严格安全生产管理，经常性开展安全生产检查，发现问题并及时解决，消除事故隐患。强化生产操作人员的安全培训教育，增强全体职工的责任感，保证生产操作人员熟悉发生非正常排放时的应急处理措施</w:t>
      </w:r>
      <w:r>
        <w:rPr>
          <w:rFonts w:hint="default" w:ascii="Times New Roman" w:hAnsi="Times New Roman" w:eastAsia="宋体" w:cs="Times New Roman"/>
          <w:color w:val="auto"/>
          <w:sz w:val="24"/>
          <w:highlight w:val="none"/>
          <w:u w:val="single" w:color="auto"/>
          <w:lang w:val="en-US" w:eastAsia="zh-CN"/>
        </w:rPr>
        <w:t>。</w:t>
      </w:r>
    </w:p>
    <w:p w14:paraId="7669DCD2">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zh-CN"/>
        </w:rPr>
      </w:pPr>
      <w:r>
        <w:rPr>
          <w:rFonts w:hint="default" w:ascii="Times New Roman" w:hAnsi="Times New Roman" w:eastAsia="宋体" w:cs="Times New Roman"/>
          <w:color w:val="auto"/>
          <w:sz w:val="24"/>
          <w:highlight w:val="none"/>
          <w:u w:val="single" w:color="auto"/>
          <w:lang w:val="en-US" w:eastAsia="zh-CN"/>
        </w:rPr>
        <w:t>（2）加强培训教育</w:t>
      </w:r>
    </w:p>
    <w:p w14:paraId="652CD8C3">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zh-CN"/>
        </w:rPr>
      </w:pPr>
      <w:r>
        <w:rPr>
          <w:rFonts w:hint="default" w:ascii="Times New Roman" w:hAnsi="Times New Roman" w:eastAsia="宋体" w:cs="Times New Roman"/>
          <w:color w:val="auto"/>
          <w:sz w:val="24"/>
          <w:highlight w:val="none"/>
          <w:u w:val="single" w:color="auto"/>
          <w:lang w:val="en-US" w:eastAsia="zh-CN"/>
        </w:rPr>
        <w:t>加强区域水资源及</w:t>
      </w:r>
      <w:r>
        <w:rPr>
          <w:rFonts w:hint="eastAsia" w:ascii="Times New Roman" w:hAnsi="Times New Roman" w:eastAsia="宋体" w:cs="Times New Roman"/>
          <w:color w:val="auto"/>
          <w:sz w:val="24"/>
          <w:highlight w:val="none"/>
          <w:u w:val="single" w:color="auto"/>
          <w:lang w:val="en-US" w:eastAsia="zh-CN"/>
        </w:rPr>
        <w:t>生态环境保护</w:t>
      </w:r>
      <w:r>
        <w:rPr>
          <w:rFonts w:hint="default" w:ascii="Times New Roman" w:hAnsi="Times New Roman" w:eastAsia="宋体" w:cs="Times New Roman"/>
          <w:color w:val="auto"/>
          <w:sz w:val="24"/>
          <w:highlight w:val="none"/>
          <w:u w:val="single" w:color="auto"/>
          <w:lang w:val="en-US" w:eastAsia="zh-CN"/>
        </w:rPr>
        <w:t>工作，制定水资源及生态环境保护对策措施，以预防或减轻对水生态及水资源可持续利用的不良影响。</w:t>
      </w:r>
    </w:p>
    <w:p w14:paraId="70B9E175">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rPr>
      </w:pPr>
      <w:r>
        <w:rPr>
          <w:rFonts w:hint="default" w:ascii="Times New Roman" w:hAnsi="Times New Roman" w:eastAsia="宋体" w:cs="Times New Roman"/>
          <w:color w:val="auto"/>
          <w:sz w:val="24"/>
          <w:highlight w:val="none"/>
          <w:u w:val="single" w:color="auto"/>
          <w:lang w:eastAsia="zh-CN"/>
        </w:rPr>
        <w:t>（</w:t>
      </w:r>
      <w:r>
        <w:rPr>
          <w:rFonts w:hint="default" w:ascii="Times New Roman" w:hAnsi="Times New Roman" w:eastAsia="宋体" w:cs="Times New Roman"/>
          <w:color w:val="auto"/>
          <w:sz w:val="24"/>
          <w:highlight w:val="none"/>
          <w:u w:val="single" w:color="auto"/>
          <w:lang w:val="en-US" w:eastAsia="zh-CN"/>
        </w:rPr>
        <w:t>3</w:t>
      </w:r>
      <w:r>
        <w:rPr>
          <w:rFonts w:hint="default" w:ascii="Times New Roman" w:hAnsi="Times New Roman" w:eastAsia="宋体" w:cs="Times New Roman"/>
          <w:color w:val="auto"/>
          <w:sz w:val="24"/>
          <w:highlight w:val="none"/>
          <w:u w:val="single" w:color="auto"/>
          <w:lang w:eastAsia="zh-CN"/>
        </w:rPr>
        <w:t>）</w:t>
      </w:r>
      <w:r>
        <w:rPr>
          <w:rFonts w:hint="default" w:ascii="Times New Roman" w:hAnsi="Times New Roman" w:eastAsia="宋体" w:cs="Times New Roman"/>
          <w:color w:val="auto"/>
          <w:sz w:val="24"/>
          <w:highlight w:val="none"/>
          <w:u w:val="single" w:color="auto"/>
        </w:rPr>
        <w:t>定期检修机械设备</w:t>
      </w:r>
    </w:p>
    <w:p w14:paraId="1172C75C">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en-US" w:eastAsia="zh-CN"/>
        </w:rPr>
      </w:pPr>
      <w:r>
        <w:rPr>
          <w:rFonts w:hint="default" w:ascii="Times New Roman" w:hAnsi="Times New Roman" w:eastAsia="宋体" w:cs="Times New Roman"/>
          <w:color w:val="auto"/>
          <w:sz w:val="24"/>
          <w:highlight w:val="none"/>
          <w:u w:val="single" w:color="auto"/>
        </w:rPr>
        <w:t>加强对各类设备的定期检查、维护和管理，以减少事故隐患。</w:t>
      </w:r>
    </w:p>
    <w:p w14:paraId="493E3493">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zh-CN"/>
        </w:rPr>
      </w:pPr>
      <w:r>
        <w:rPr>
          <w:rFonts w:hint="default" w:ascii="Times New Roman" w:hAnsi="Times New Roman" w:eastAsia="宋体" w:cs="Times New Roman"/>
          <w:color w:val="auto"/>
          <w:sz w:val="24"/>
          <w:highlight w:val="none"/>
          <w:u w:val="single" w:color="auto"/>
          <w:lang w:val="en-US" w:eastAsia="zh-CN"/>
        </w:rPr>
        <w:t>（4）</w:t>
      </w:r>
      <w:r>
        <w:rPr>
          <w:rFonts w:hint="default" w:ascii="Times New Roman" w:hAnsi="Times New Roman" w:eastAsia="宋体" w:cs="Times New Roman"/>
          <w:color w:val="auto"/>
          <w:sz w:val="24"/>
          <w:highlight w:val="none"/>
          <w:u w:val="single" w:color="auto"/>
          <w:lang w:val="en-US"/>
        </w:rPr>
        <w:t>建立信息报送制度</w:t>
      </w:r>
    </w:p>
    <w:p w14:paraId="7FFADC1E">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zh-CN"/>
        </w:rPr>
      </w:pPr>
      <w:r>
        <w:rPr>
          <w:rFonts w:hint="default" w:ascii="Times New Roman" w:hAnsi="Times New Roman" w:eastAsia="宋体" w:cs="Times New Roman"/>
          <w:color w:val="auto"/>
          <w:sz w:val="24"/>
          <w:highlight w:val="none"/>
          <w:u w:val="single" w:color="auto"/>
          <w:lang w:val="zh-CN"/>
        </w:rPr>
        <w:t>入河排污口设置单位定期向县级或市级行政主管部门如实报送上一年度入河排污口有关情况的报表。</w:t>
      </w:r>
    </w:p>
    <w:p w14:paraId="3DD6F548">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zh-CN"/>
        </w:rPr>
      </w:pPr>
      <w:r>
        <w:rPr>
          <w:rFonts w:hint="default" w:ascii="Times New Roman" w:hAnsi="Times New Roman" w:eastAsia="宋体" w:cs="Times New Roman"/>
          <w:color w:val="auto"/>
          <w:sz w:val="24"/>
          <w:highlight w:val="none"/>
          <w:u w:val="single" w:color="auto"/>
          <w:lang w:val="zh-CN"/>
        </w:rPr>
        <w:t>县级或市级行政主管部门每年按照规定的审批权限，对排污口开展监督性检查和年审工作，不定期组织排污口第三方监督性监测，并向上级行政主管部门报告排水水质、水量及污染物排放状况的统计报表。</w:t>
      </w:r>
    </w:p>
    <w:p w14:paraId="3DBA083D">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zh-CN"/>
        </w:rPr>
      </w:pPr>
      <w:r>
        <w:rPr>
          <w:rFonts w:hint="default" w:ascii="Times New Roman" w:hAnsi="Times New Roman" w:eastAsia="宋体" w:cs="Times New Roman"/>
          <w:color w:val="auto"/>
          <w:sz w:val="24"/>
          <w:highlight w:val="none"/>
          <w:u w:val="single" w:color="auto"/>
          <w:lang w:val="en-US" w:eastAsia="zh-CN"/>
        </w:rPr>
        <w:t>（5）</w:t>
      </w:r>
      <w:r>
        <w:rPr>
          <w:rFonts w:hint="default" w:ascii="Times New Roman" w:hAnsi="Times New Roman" w:eastAsia="宋体" w:cs="Times New Roman"/>
          <w:color w:val="auto"/>
          <w:sz w:val="24"/>
          <w:highlight w:val="none"/>
          <w:u w:val="single" w:color="auto"/>
          <w:lang w:val="en-US"/>
        </w:rPr>
        <w:t>开展排污口设置竣工验收</w:t>
      </w:r>
    </w:p>
    <w:p w14:paraId="3D459937">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zh-CN"/>
        </w:rPr>
      </w:pPr>
      <w:r>
        <w:rPr>
          <w:rFonts w:hint="default" w:ascii="Times New Roman" w:hAnsi="Times New Roman" w:eastAsia="宋体" w:cs="Times New Roman"/>
          <w:color w:val="auto"/>
          <w:sz w:val="24"/>
          <w:highlight w:val="none"/>
          <w:u w:val="single" w:color="auto"/>
          <w:lang w:val="zh-CN"/>
        </w:rPr>
        <w:t>为加强入河排污口监督管理，切实保护水资源和水环境，入河排污口设置单位在工程竣工验收后，应尽快向设置审批单位申请验收，经验收合格后的入河排污口方可正式投入使用。</w:t>
      </w:r>
    </w:p>
    <w:p w14:paraId="48D0AD94">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zh-CN"/>
        </w:rPr>
      </w:pPr>
      <w:r>
        <w:rPr>
          <w:rFonts w:hint="default" w:ascii="Times New Roman" w:hAnsi="Times New Roman" w:eastAsia="宋体" w:cs="Times New Roman"/>
          <w:color w:val="auto"/>
          <w:sz w:val="24"/>
          <w:highlight w:val="none"/>
          <w:u w:val="single" w:color="auto"/>
          <w:lang w:val="zh-CN"/>
        </w:rPr>
        <w:t>入河排污口设置验收内容应包括：污水处理设施验收合格；入河排污口设置审批手续完备，技术资料齐全；入河排污口已按行政许可决定的要求建成，污水排放符合行政许可决定中提出的标准及总量控制要求；有削减要求或削减承诺的，有关措施和承诺已经落实；污水处理设施水质水量监测设备、监测频次、报送信息方式等符合有关规定的要求；入河排污口设置单位有完善的水污染事件应急预案；有关水资源保护措施全面落实等。</w:t>
      </w:r>
    </w:p>
    <w:p w14:paraId="450C5826">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zh-CN"/>
        </w:rPr>
      </w:pPr>
      <w:r>
        <w:rPr>
          <w:rFonts w:hint="default" w:ascii="Times New Roman" w:hAnsi="Times New Roman" w:eastAsia="宋体" w:cs="Times New Roman"/>
          <w:color w:val="auto"/>
          <w:sz w:val="24"/>
          <w:highlight w:val="none"/>
          <w:u w:val="single" w:color="auto"/>
          <w:lang w:val="en-US" w:eastAsia="zh-CN"/>
        </w:rPr>
        <w:t>（6）</w:t>
      </w:r>
      <w:r>
        <w:rPr>
          <w:rFonts w:hint="default" w:ascii="Times New Roman" w:hAnsi="Times New Roman" w:eastAsia="宋体" w:cs="Times New Roman"/>
          <w:color w:val="auto"/>
          <w:sz w:val="24"/>
          <w:highlight w:val="none"/>
          <w:u w:val="single" w:color="auto"/>
          <w:lang w:val="en-US"/>
        </w:rPr>
        <w:t>加强水功能区监督管理</w:t>
      </w:r>
    </w:p>
    <w:p w14:paraId="49C256A0">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zh-CN"/>
        </w:rPr>
      </w:pPr>
      <w:r>
        <w:rPr>
          <w:rFonts w:hint="default" w:ascii="Times New Roman" w:hAnsi="Times New Roman" w:eastAsia="宋体" w:cs="Times New Roman"/>
          <w:color w:val="auto"/>
          <w:sz w:val="24"/>
          <w:highlight w:val="none"/>
          <w:u w:val="single" w:color="auto"/>
          <w:lang w:val="zh-CN"/>
        </w:rPr>
        <w:t>根据水利部《水功能区监督管理办法》，</w:t>
      </w:r>
      <w:r>
        <w:rPr>
          <w:rFonts w:hint="default" w:ascii="Times New Roman" w:hAnsi="Times New Roman" w:eastAsia="宋体" w:cs="Times New Roman"/>
          <w:color w:val="auto"/>
          <w:sz w:val="24"/>
          <w:highlight w:val="none"/>
          <w:u w:val="single" w:color="auto"/>
          <w:lang w:val="en-US"/>
        </w:rPr>
        <w:t>湘潭市</w:t>
      </w:r>
      <w:r>
        <w:rPr>
          <w:rFonts w:hint="default" w:ascii="Times New Roman" w:hAnsi="Times New Roman" w:eastAsia="宋体" w:cs="Times New Roman"/>
          <w:color w:val="auto"/>
          <w:sz w:val="24"/>
          <w:highlight w:val="none"/>
          <w:u w:val="single" w:color="auto"/>
          <w:lang w:val="zh-CN"/>
        </w:rPr>
        <w:t>生态环境局</w:t>
      </w:r>
      <w:r>
        <w:rPr>
          <w:rFonts w:hint="default" w:ascii="Times New Roman" w:hAnsi="Times New Roman" w:eastAsia="宋体" w:cs="Times New Roman"/>
          <w:color w:val="auto"/>
          <w:sz w:val="24"/>
          <w:highlight w:val="none"/>
          <w:u w:val="single" w:color="auto"/>
          <w:lang w:val="en-US"/>
        </w:rPr>
        <w:t>湘潭县</w:t>
      </w:r>
      <w:r>
        <w:rPr>
          <w:rFonts w:hint="default" w:ascii="Times New Roman" w:hAnsi="Times New Roman" w:eastAsia="宋体" w:cs="Times New Roman"/>
          <w:color w:val="auto"/>
          <w:sz w:val="24"/>
          <w:highlight w:val="none"/>
          <w:u w:val="single" w:color="auto"/>
          <w:lang w:val="zh-CN"/>
        </w:rPr>
        <w:t>分局应加强水功能区监督管理。开展水功能区水质监测工作，及时掌握水功能区水环境状况，采取切实可行的措施确保实现水功能区水质管理目标。</w:t>
      </w:r>
    </w:p>
    <w:p w14:paraId="3A32E73A">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zh-CN"/>
        </w:rPr>
      </w:pPr>
      <w:r>
        <w:rPr>
          <w:rFonts w:hint="default" w:ascii="Times New Roman" w:hAnsi="Times New Roman" w:eastAsia="宋体" w:cs="Times New Roman"/>
          <w:color w:val="auto"/>
          <w:sz w:val="24"/>
          <w:highlight w:val="none"/>
          <w:u w:val="single" w:color="auto"/>
          <w:lang w:val="en-US" w:eastAsia="zh-CN"/>
        </w:rPr>
        <w:t>（7）</w:t>
      </w:r>
      <w:r>
        <w:rPr>
          <w:rFonts w:hint="default" w:ascii="Times New Roman" w:hAnsi="Times New Roman" w:eastAsia="宋体" w:cs="Times New Roman"/>
          <w:color w:val="auto"/>
          <w:sz w:val="24"/>
          <w:highlight w:val="none"/>
          <w:u w:val="single" w:color="auto"/>
          <w:lang w:val="en-US"/>
        </w:rPr>
        <w:t>对水质的监测计划</w:t>
      </w:r>
    </w:p>
    <w:p w14:paraId="0B3D5F1D">
      <w:pPr>
        <w:pStyle w:val="45"/>
        <w:pageBreakBefore w:val="0"/>
        <w:widowControl/>
        <w:tabs>
          <w:tab w:val="left" w:pos="1189"/>
        </w:tabs>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color w:val="auto"/>
          <w:sz w:val="24"/>
          <w:highlight w:val="none"/>
          <w:u w:val="single" w:color="auto"/>
          <w:lang w:val="en-US" w:eastAsia="zh-CN"/>
        </w:rPr>
      </w:pPr>
      <w:r>
        <w:rPr>
          <w:rFonts w:hint="eastAsia" w:ascii="Times New Roman" w:hAnsi="Times New Roman" w:eastAsia="宋体" w:cs="Times New Roman"/>
          <w:color w:val="auto"/>
          <w:sz w:val="24"/>
          <w:highlight w:val="none"/>
          <w:u w:val="single" w:color="auto"/>
          <w:lang w:val="en-US" w:eastAsia="zh-CN"/>
        </w:rPr>
        <w:t>根据《排污单位自行监测技术指南 农副食品加工业》（HJ986-2018）、《排污单位自行监测技术指南 食品制造》HJ1084-2020，污染源</w:t>
      </w:r>
      <w:r>
        <w:rPr>
          <w:rFonts w:hint="default" w:ascii="Times New Roman" w:hAnsi="Times New Roman" w:eastAsia="宋体" w:cs="Times New Roman"/>
          <w:color w:val="auto"/>
          <w:sz w:val="24"/>
          <w:highlight w:val="none"/>
          <w:u w:val="single" w:color="auto"/>
          <w:lang w:val="zh-CN"/>
        </w:rPr>
        <w:t>监测计划见表</w:t>
      </w:r>
      <w:r>
        <w:rPr>
          <w:rFonts w:hint="eastAsia" w:ascii="Times New Roman" w:hAnsi="Times New Roman" w:eastAsia="宋体" w:cs="Times New Roman"/>
          <w:color w:val="auto"/>
          <w:sz w:val="24"/>
          <w:highlight w:val="none"/>
          <w:u w:val="single" w:color="auto"/>
          <w:lang w:val="en-US" w:eastAsia="zh-CN"/>
        </w:rPr>
        <w:t>9.3-1</w:t>
      </w:r>
      <w:r>
        <w:rPr>
          <w:rFonts w:hint="default" w:ascii="Times New Roman" w:hAnsi="Times New Roman" w:eastAsia="宋体" w:cs="Times New Roman"/>
          <w:color w:val="auto"/>
          <w:sz w:val="24"/>
          <w:highlight w:val="none"/>
          <w:u w:val="single" w:color="auto"/>
          <w:lang w:val="zh-CN"/>
        </w:rPr>
        <w:t>。</w:t>
      </w:r>
    </w:p>
    <w:p w14:paraId="58BFD23C">
      <w:pPr>
        <w:autoSpaceDE w:val="0"/>
        <w:autoSpaceDN w:val="0"/>
        <w:snapToGrid w:val="0"/>
        <w:spacing w:line="240" w:lineRule="auto"/>
        <w:jc w:val="center"/>
        <w:rPr>
          <w:rFonts w:hint="default" w:ascii="Times New Roman" w:hAnsi="Times New Roman" w:eastAsia="宋体" w:cs="Times New Roman"/>
          <w:b/>
          <w:bCs/>
          <w:color w:val="auto"/>
          <w:sz w:val="21"/>
          <w:szCs w:val="21"/>
          <w:highlight w:val="none"/>
          <w:u w:val="single" w:color="auto"/>
          <w:lang w:val="en-US" w:eastAsia="zh-CN"/>
        </w:rPr>
      </w:pPr>
      <w:r>
        <w:rPr>
          <w:rFonts w:hint="default" w:ascii="Times New Roman" w:hAnsi="Times New Roman" w:eastAsia="宋体" w:cs="Times New Roman"/>
          <w:b/>
          <w:bCs/>
          <w:color w:val="auto"/>
          <w:sz w:val="21"/>
          <w:szCs w:val="21"/>
          <w:highlight w:val="none"/>
          <w:u w:val="single" w:color="auto"/>
          <w:lang w:val="en-US" w:eastAsia="zh-CN"/>
        </w:rPr>
        <w:t>表</w:t>
      </w:r>
      <w:r>
        <w:rPr>
          <w:rFonts w:hint="eastAsia" w:ascii="Times New Roman" w:hAnsi="Times New Roman" w:eastAsia="宋体" w:cs="Times New Roman"/>
          <w:b/>
          <w:bCs/>
          <w:color w:val="auto"/>
          <w:sz w:val="21"/>
          <w:szCs w:val="21"/>
          <w:highlight w:val="none"/>
          <w:u w:val="single" w:color="auto"/>
          <w:lang w:val="en-US" w:eastAsia="zh-CN"/>
        </w:rPr>
        <w:t>9.3-1</w:t>
      </w:r>
      <w:r>
        <w:rPr>
          <w:rFonts w:hint="default" w:ascii="Times New Roman" w:hAnsi="Times New Roman" w:eastAsia="宋体" w:cs="Times New Roman"/>
          <w:b/>
          <w:bCs/>
          <w:color w:val="auto"/>
          <w:sz w:val="21"/>
          <w:szCs w:val="21"/>
          <w:highlight w:val="none"/>
          <w:u w:val="single" w:color="auto"/>
          <w:lang w:val="en-US" w:eastAsia="zh-CN"/>
        </w:rPr>
        <w:t>项目环境监测计划表</w:t>
      </w:r>
    </w:p>
    <w:tbl>
      <w:tblPr>
        <w:tblStyle w:val="2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2379"/>
        <w:gridCol w:w="1102"/>
        <w:gridCol w:w="1226"/>
        <w:gridCol w:w="2331"/>
      </w:tblGrid>
      <w:tr w14:paraId="0787A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863" w:type="pct"/>
            <w:tcBorders>
              <w:tl2br w:val="nil"/>
              <w:tr2bl w:val="nil"/>
            </w:tcBorders>
            <w:noWrap w:val="0"/>
            <w:vAlign w:val="center"/>
          </w:tcPr>
          <w:p w14:paraId="2E942195">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single" w:color="auto"/>
              </w:rPr>
            </w:pPr>
            <w:r>
              <w:rPr>
                <w:rFonts w:hint="default" w:ascii="Times New Roman" w:hAnsi="Times New Roman" w:eastAsia="宋体" w:cs="Times New Roman"/>
                <w:color w:val="auto"/>
                <w:sz w:val="21"/>
                <w:szCs w:val="21"/>
                <w:u w:val="single" w:color="auto"/>
              </w:rPr>
              <w:t>监测点位</w:t>
            </w:r>
          </w:p>
        </w:tc>
        <w:tc>
          <w:tcPr>
            <w:tcW w:w="1397" w:type="pct"/>
            <w:tcBorders>
              <w:tl2br w:val="nil"/>
              <w:tr2bl w:val="nil"/>
            </w:tcBorders>
            <w:noWrap w:val="0"/>
            <w:vAlign w:val="center"/>
          </w:tcPr>
          <w:p w14:paraId="1F7AA134">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single" w:color="auto"/>
              </w:rPr>
            </w:pPr>
            <w:r>
              <w:rPr>
                <w:rFonts w:hint="default" w:ascii="Times New Roman" w:hAnsi="Times New Roman" w:eastAsia="宋体" w:cs="Times New Roman"/>
                <w:color w:val="auto"/>
                <w:sz w:val="21"/>
                <w:szCs w:val="21"/>
                <w:u w:val="single" w:color="auto"/>
              </w:rPr>
              <w:t>监测因子</w:t>
            </w:r>
          </w:p>
        </w:tc>
        <w:tc>
          <w:tcPr>
            <w:tcW w:w="647" w:type="pct"/>
            <w:tcBorders>
              <w:tl2br w:val="nil"/>
              <w:tr2bl w:val="nil"/>
            </w:tcBorders>
            <w:noWrap w:val="0"/>
            <w:vAlign w:val="center"/>
          </w:tcPr>
          <w:p w14:paraId="7ED7ABAF">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single" w:color="auto"/>
              </w:rPr>
            </w:pPr>
            <w:r>
              <w:rPr>
                <w:rFonts w:hint="default" w:ascii="Times New Roman" w:hAnsi="Times New Roman" w:eastAsia="宋体" w:cs="Times New Roman"/>
                <w:color w:val="auto"/>
                <w:sz w:val="21"/>
                <w:szCs w:val="21"/>
                <w:u w:val="single" w:color="auto"/>
              </w:rPr>
              <w:t>监测频次</w:t>
            </w:r>
          </w:p>
        </w:tc>
        <w:tc>
          <w:tcPr>
            <w:tcW w:w="720" w:type="pct"/>
            <w:tcBorders>
              <w:tl2br w:val="nil"/>
              <w:tr2bl w:val="nil"/>
            </w:tcBorders>
            <w:noWrap w:val="0"/>
            <w:vAlign w:val="center"/>
          </w:tcPr>
          <w:p w14:paraId="236AB95F">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single" w:color="auto"/>
              </w:rPr>
            </w:pPr>
            <w:r>
              <w:rPr>
                <w:rFonts w:hint="default" w:ascii="Times New Roman" w:hAnsi="Times New Roman" w:eastAsia="宋体" w:cs="Times New Roman"/>
                <w:color w:val="auto"/>
                <w:sz w:val="21"/>
                <w:szCs w:val="21"/>
                <w:u w:val="single" w:color="auto"/>
              </w:rPr>
              <w:t>监测</w:t>
            </w:r>
          </w:p>
          <w:p w14:paraId="6568D462">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sz w:val="21"/>
                <w:szCs w:val="21"/>
                <w:u w:val="single" w:color="auto"/>
                <w:lang w:val="en-US" w:eastAsia="zh-CN"/>
              </w:rPr>
            </w:pPr>
            <w:r>
              <w:rPr>
                <w:rFonts w:hint="eastAsia" w:eastAsia="宋体" w:cs="Times New Roman"/>
                <w:color w:val="auto"/>
                <w:sz w:val="21"/>
                <w:szCs w:val="21"/>
                <w:u w:val="single" w:color="auto"/>
                <w:lang w:val="en-US" w:eastAsia="zh-CN"/>
              </w:rPr>
              <w:t>情况</w:t>
            </w:r>
          </w:p>
        </w:tc>
        <w:tc>
          <w:tcPr>
            <w:tcW w:w="1369" w:type="pct"/>
            <w:tcBorders>
              <w:tl2br w:val="nil"/>
              <w:tr2bl w:val="nil"/>
            </w:tcBorders>
            <w:noWrap w:val="0"/>
            <w:vAlign w:val="center"/>
          </w:tcPr>
          <w:p w14:paraId="43225877">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single" w:color="auto"/>
              </w:rPr>
            </w:pPr>
            <w:r>
              <w:rPr>
                <w:rFonts w:hint="default" w:ascii="Times New Roman" w:hAnsi="Times New Roman" w:eastAsia="宋体" w:cs="Times New Roman"/>
                <w:color w:val="auto"/>
                <w:sz w:val="21"/>
                <w:szCs w:val="21"/>
                <w:u w:val="single" w:color="auto"/>
              </w:rPr>
              <w:t>执行标准</w:t>
            </w:r>
          </w:p>
        </w:tc>
      </w:tr>
      <w:tr w14:paraId="4C2B1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863" w:type="pct"/>
            <w:vMerge w:val="restart"/>
            <w:tcBorders>
              <w:tl2br w:val="nil"/>
              <w:tr2bl w:val="nil"/>
            </w:tcBorders>
            <w:noWrap w:val="0"/>
            <w:vAlign w:val="center"/>
          </w:tcPr>
          <w:p w14:paraId="03896F65">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污水处理</w:t>
            </w:r>
            <w:r>
              <w:rPr>
                <w:rFonts w:hint="eastAsia" w:ascii="Times New Roman" w:hAnsi="Times New Roman" w:eastAsia="宋体" w:cs="Times New Roman"/>
                <w:color w:val="auto"/>
                <w:sz w:val="21"/>
                <w:szCs w:val="21"/>
                <w:u w:val="single" w:color="auto"/>
                <w:lang w:val="en-US" w:eastAsia="zh-CN"/>
              </w:rPr>
              <w:t>设施</w:t>
            </w:r>
            <w:r>
              <w:rPr>
                <w:rFonts w:hint="eastAsia" w:eastAsia="宋体" w:cs="Times New Roman"/>
                <w:color w:val="auto"/>
                <w:sz w:val="21"/>
                <w:szCs w:val="21"/>
                <w:u w:val="single" w:color="auto"/>
                <w:lang w:val="en-US" w:eastAsia="zh-CN"/>
              </w:rPr>
              <w:t>出口</w:t>
            </w:r>
          </w:p>
        </w:tc>
        <w:tc>
          <w:tcPr>
            <w:tcW w:w="1397" w:type="pct"/>
            <w:tcBorders>
              <w:tl2br w:val="nil"/>
              <w:tr2bl w:val="nil"/>
            </w:tcBorders>
            <w:noWrap w:val="0"/>
            <w:vAlign w:val="center"/>
          </w:tcPr>
          <w:p w14:paraId="2C2B28F0">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single" w:color="auto"/>
                <w:lang w:val="en-US" w:eastAsia="zh-CN"/>
              </w:rPr>
            </w:pPr>
            <w:r>
              <w:rPr>
                <w:rFonts w:hint="default" w:ascii="Times New Roman" w:hAnsi="Times New Roman" w:eastAsia="宋体" w:cs="Times New Roman"/>
                <w:color w:val="auto"/>
                <w:sz w:val="21"/>
                <w:szCs w:val="21"/>
                <w:u w:val="single" w:color="auto"/>
                <w:lang w:val="en-US" w:eastAsia="zh-CN"/>
              </w:rPr>
              <w:t>流量、pH值、悬浮物、五日生化需氧量、化学需氧量、氨氮、总磷</w:t>
            </w:r>
            <w:r>
              <w:rPr>
                <w:rFonts w:hint="eastAsia" w:ascii="Times New Roman" w:hAnsi="Times New Roman" w:eastAsia="宋体" w:cs="Times New Roman"/>
                <w:color w:val="auto"/>
                <w:sz w:val="21"/>
                <w:szCs w:val="21"/>
                <w:u w:val="single" w:color="auto"/>
                <w:lang w:val="en-US" w:eastAsia="zh-CN"/>
              </w:rPr>
              <w:t>、</w:t>
            </w:r>
          </w:p>
        </w:tc>
        <w:tc>
          <w:tcPr>
            <w:tcW w:w="647" w:type="pct"/>
            <w:tcBorders>
              <w:tl2br w:val="nil"/>
              <w:tr2bl w:val="nil"/>
            </w:tcBorders>
            <w:noWrap w:val="0"/>
            <w:vAlign w:val="center"/>
          </w:tcPr>
          <w:p w14:paraId="3ECABED2">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季度</w:t>
            </w:r>
          </w:p>
        </w:tc>
        <w:tc>
          <w:tcPr>
            <w:tcW w:w="720" w:type="pct"/>
            <w:tcBorders>
              <w:tl2br w:val="nil"/>
              <w:tr2bl w:val="nil"/>
            </w:tcBorders>
            <w:noWrap w:val="0"/>
            <w:vAlign w:val="center"/>
          </w:tcPr>
          <w:p w14:paraId="68111930">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single" w:color="auto"/>
              </w:rPr>
            </w:pPr>
            <w:r>
              <w:rPr>
                <w:rFonts w:hint="default" w:ascii="Times New Roman" w:hAnsi="Times New Roman" w:eastAsia="宋体" w:cs="Times New Roman"/>
                <w:color w:val="auto"/>
                <w:sz w:val="21"/>
                <w:szCs w:val="21"/>
                <w:u w:val="single" w:color="auto"/>
              </w:rPr>
              <w:t>手工监测</w:t>
            </w:r>
          </w:p>
        </w:tc>
        <w:tc>
          <w:tcPr>
            <w:tcW w:w="1369" w:type="pct"/>
            <w:vMerge w:val="restart"/>
            <w:tcBorders>
              <w:tl2br w:val="nil"/>
              <w:tr2bl w:val="nil"/>
            </w:tcBorders>
            <w:noWrap w:val="0"/>
            <w:vAlign w:val="center"/>
          </w:tcPr>
          <w:p w14:paraId="624D463D">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single" w:color="auto"/>
                <w:lang w:eastAsia="zh-CN"/>
              </w:rPr>
            </w:pPr>
            <w:r>
              <w:rPr>
                <w:rFonts w:hint="eastAsia" w:ascii="Times New Roman" w:hAnsi="Times New Roman" w:eastAsia="宋体" w:cs="Times New Roman"/>
                <w:color w:val="auto"/>
                <w:sz w:val="21"/>
                <w:szCs w:val="21"/>
                <w:u w:val="single" w:color="auto"/>
                <w:lang w:val="en-US" w:eastAsia="zh-CN"/>
              </w:rPr>
              <w:t>《食品加工制造业水污染物排放标准》（GB46817-2025）</w:t>
            </w:r>
          </w:p>
        </w:tc>
      </w:tr>
      <w:tr w14:paraId="2B3C1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863" w:type="pct"/>
            <w:vMerge w:val="continue"/>
            <w:tcBorders>
              <w:tl2br w:val="nil"/>
              <w:tr2bl w:val="nil"/>
            </w:tcBorders>
            <w:noWrap w:val="0"/>
            <w:vAlign w:val="center"/>
          </w:tcPr>
          <w:p w14:paraId="79EC8A30">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single" w:color="auto"/>
                <w:lang w:val="en-US" w:eastAsia="zh-CN"/>
              </w:rPr>
            </w:pPr>
          </w:p>
        </w:tc>
        <w:tc>
          <w:tcPr>
            <w:tcW w:w="1397" w:type="pct"/>
            <w:tcBorders>
              <w:tl2br w:val="nil"/>
              <w:tr2bl w:val="nil"/>
            </w:tcBorders>
            <w:noWrap w:val="0"/>
            <w:vAlign w:val="center"/>
          </w:tcPr>
          <w:p w14:paraId="058A25F2">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色度</w:t>
            </w:r>
          </w:p>
        </w:tc>
        <w:tc>
          <w:tcPr>
            <w:tcW w:w="647" w:type="pct"/>
            <w:tcBorders>
              <w:tl2br w:val="nil"/>
              <w:tr2bl w:val="nil"/>
            </w:tcBorders>
            <w:noWrap w:val="0"/>
            <w:vAlign w:val="center"/>
          </w:tcPr>
          <w:p w14:paraId="026B6B23">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single" w:color="auto"/>
                <w:lang w:val="en-US" w:eastAsia="zh-CN"/>
              </w:rPr>
            </w:pPr>
            <w:r>
              <w:rPr>
                <w:rFonts w:hint="eastAsia" w:ascii="Times New Roman" w:hAnsi="Times New Roman" w:eastAsia="宋体" w:cs="Times New Roman"/>
                <w:color w:val="auto"/>
                <w:sz w:val="21"/>
                <w:szCs w:val="21"/>
                <w:u w:val="single" w:color="auto"/>
                <w:lang w:val="en-US" w:eastAsia="zh-CN"/>
              </w:rPr>
              <w:t>半年</w:t>
            </w:r>
          </w:p>
        </w:tc>
        <w:tc>
          <w:tcPr>
            <w:tcW w:w="720" w:type="pct"/>
            <w:tcBorders>
              <w:tl2br w:val="nil"/>
              <w:tr2bl w:val="nil"/>
            </w:tcBorders>
            <w:noWrap w:val="0"/>
            <w:vAlign w:val="center"/>
          </w:tcPr>
          <w:p w14:paraId="009055CA">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single" w:color="auto"/>
              </w:rPr>
            </w:pPr>
            <w:r>
              <w:rPr>
                <w:rFonts w:hint="default" w:ascii="Times New Roman" w:hAnsi="Times New Roman" w:eastAsia="宋体" w:cs="Times New Roman"/>
                <w:color w:val="auto"/>
                <w:sz w:val="21"/>
                <w:szCs w:val="21"/>
                <w:u w:val="single" w:color="auto"/>
              </w:rPr>
              <w:t>手工监测</w:t>
            </w:r>
          </w:p>
        </w:tc>
        <w:tc>
          <w:tcPr>
            <w:tcW w:w="1369" w:type="pct"/>
            <w:vMerge w:val="continue"/>
            <w:tcBorders>
              <w:tl2br w:val="nil"/>
              <w:tr2bl w:val="nil"/>
            </w:tcBorders>
            <w:noWrap w:val="0"/>
            <w:vAlign w:val="center"/>
          </w:tcPr>
          <w:p w14:paraId="2B542FFA">
            <w:pPr>
              <w:pStyle w:val="3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sz w:val="21"/>
                <w:szCs w:val="21"/>
                <w:u w:val="single" w:color="auto"/>
                <w:lang w:val="en-US" w:eastAsia="zh-CN"/>
              </w:rPr>
            </w:pPr>
          </w:p>
        </w:tc>
      </w:tr>
    </w:tbl>
    <w:p w14:paraId="470CB534">
      <w:pPr>
        <w:pageBreakBefore w:val="0"/>
        <w:wordWrap/>
        <w:overflowPunct/>
        <w:topLinePunct w:val="0"/>
        <w:bidi w:val="0"/>
        <w:spacing w:line="360" w:lineRule="auto"/>
        <w:jc w:val="center"/>
        <w:rPr>
          <w:rFonts w:ascii="宋体" w:hAnsi="宋体" w:eastAsia="宋体" w:cs="宋体"/>
          <w:sz w:val="24"/>
          <w:szCs w:val="24"/>
          <w:lang w:eastAsia="zh-CN"/>
        </w:rPr>
      </w:pPr>
    </w:p>
    <w:p w14:paraId="31742A44">
      <w:pPr>
        <w:pageBreakBefore w:val="0"/>
        <w:wordWrap/>
        <w:overflowPunct/>
        <w:topLinePunct w:val="0"/>
        <w:bidi w:val="0"/>
        <w:spacing w:line="360" w:lineRule="auto"/>
        <w:rPr>
          <w:rFonts w:ascii="宋体" w:hAnsi="宋体" w:eastAsia="宋体" w:cs="宋体"/>
          <w:sz w:val="24"/>
          <w:szCs w:val="24"/>
          <w:lang w:eastAsia="zh-CN"/>
        </w:rPr>
        <w:sectPr>
          <w:footerReference r:id="rId13" w:type="default"/>
          <w:pgSz w:w="11905" w:h="16838"/>
          <w:pgMar w:top="1440" w:right="1803" w:bottom="1440" w:left="1803" w:header="828" w:footer="794" w:gutter="0"/>
          <w:pgNumType w:fmt="decimal"/>
          <w:cols w:space="0" w:num="1"/>
          <w:rtlGutter w:val="0"/>
          <w:docGrid w:linePitch="0" w:charSpace="0"/>
        </w:sectPr>
      </w:pPr>
    </w:p>
    <w:p w14:paraId="54D549DA">
      <w:pPr>
        <w:keepNext w:val="0"/>
        <w:keepLines w:val="0"/>
        <w:pageBreakBefore w:val="0"/>
        <w:widowControl/>
        <w:kinsoku w:val="0"/>
        <w:wordWrap/>
        <w:overflowPunct/>
        <w:topLinePunct w:val="0"/>
        <w:autoSpaceDE w:val="0"/>
        <w:autoSpaceDN w:val="0"/>
        <w:bidi w:val="0"/>
        <w:adjustRightInd w:val="0"/>
        <w:snapToGrid w:val="0"/>
        <w:spacing w:before="334" w:line="360" w:lineRule="auto"/>
        <w:jc w:val="center"/>
        <w:textAlignment w:val="baseline"/>
        <w:outlineLvl w:val="0"/>
        <w:rPr>
          <w:rFonts w:hint="default" w:ascii="Times New Roman" w:hAnsi="Times New Roman" w:eastAsia="宋体" w:cs="Times New Roman"/>
          <w:b/>
          <w:bCs/>
          <w:spacing w:val="6"/>
          <w:sz w:val="31"/>
          <w:szCs w:val="31"/>
          <w:lang w:eastAsia="zh-CN"/>
        </w:rPr>
      </w:pPr>
      <w:bookmarkStart w:id="312" w:name="_Toc25102"/>
      <w:bookmarkStart w:id="313" w:name="_Toc16611"/>
      <w:r>
        <w:rPr>
          <w:rFonts w:hint="default" w:ascii="Times New Roman" w:hAnsi="Times New Roman" w:eastAsia="宋体" w:cs="Times New Roman"/>
          <w:b/>
          <w:bCs/>
          <w:spacing w:val="6"/>
          <w:sz w:val="31"/>
          <w:szCs w:val="31"/>
          <w:lang w:eastAsia="zh-CN"/>
        </w:rPr>
        <w:t>10结论与建议</w:t>
      </w:r>
      <w:bookmarkEnd w:id="312"/>
      <w:bookmarkEnd w:id="313"/>
    </w:p>
    <w:p w14:paraId="68B93C23">
      <w:pPr>
        <w:pStyle w:val="3"/>
        <w:pageBreakBefore w:val="0"/>
        <w:widowControl/>
        <w:kinsoku w:val="0"/>
        <w:wordWrap/>
        <w:overflowPunct/>
        <w:topLinePunct w:val="0"/>
        <w:autoSpaceDE w:val="0"/>
        <w:autoSpaceDN w:val="0"/>
        <w:bidi w:val="0"/>
        <w:adjustRightInd w:val="0"/>
        <w:snapToGrid w:val="0"/>
        <w:spacing w:before="0" w:after="0" w:line="360" w:lineRule="auto"/>
        <w:ind w:left="0"/>
        <w:contextualSpacing/>
        <w:jc w:val="both"/>
        <w:textAlignment w:val="baseline"/>
        <w:rPr>
          <w:lang w:eastAsia="zh-CN"/>
        </w:rPr>
      </w:pPr>
      <w:bookmarkStart w:id="314" w:name="_Toc12964"/>
      <w:bookmarkStart w:id="315" w:name="_Toc3665"/>
      <w:r>
        <w:rPr>
          <w:rFonts w:ascii="Times New Roman" w:hAnsi="Times New Roman" w:eastAsia="宋体" w:cs="Times New Roman"/>
          <w:color w:val="auto"/>
          <w:szCs w:val="28"/>
          <w:lang w:eastAsia="zh-CN"/>
        </w:rPr>
        <w:t>10.1结论</w:t>
      </w:r>
      <w:bookmarkEnd w:id="314"/>
      <w:bookmarkEnd w:id="315"/>
    </w:p>
    <w:p w14:paraId="75182B41">
      <w:pPr>
        <w:pageBreakBefore w:val="0"/>
        <w:wordWrap/>
        <w:overflowPunct/>
        <w:topLinePunct w:val="0"/>
        <w:bidi w:val="0"/>
        <w:spacing w:line="360" w:lineRule="auto"/>
        <w:ind w:left="0"/>
        <w:outlineLvl w:val="2"/>
        <w:rPr>
          <w:rFonts w:ascii="宋体" w:hAnsi="宋体" w:eastAsia="宋体" w:cs="宋体"/>
          <w:sz w:val="24"/>
          <w:szCs w:val="24"/>
          <w:lang w:eastAsia="zh-CN"/>
        </w:rPr>
      </w:pPr>
      <w:bookmarkStart w:id="316" w:name="_Toc7349"/>
      <w:bookmarkStart w:id="317" w:name="_Toc3427"/>
      <w:r>
        <w:rPr>
          <w:rFonts w:ascii="Times New Roman" w:hAnsi="Times New Roman" w:eastAsia="Times New Roman" w:cs="Times New Roman"/>
          <w:b/>
          <w:bCs/>
          <w:spacing w:val="-3"/>
          <w:sz w:val="24"/>
          <w:szCs w:val="24"/>
          <w:lang w:eastAsia="zh-CN"/>
        </w:rPr>
        <w:t>10.1.1</w:t>
      </w:r>
      <w:r>
        <w:rPr>
          <w:rFonts w:ascii="宋体" w:hAnsi="宋体" w:eastAsia="宋体" w:cs="宋体"/>
          <w:b/>
          <w:bCs/>
          <w:spacing w:val="-3"/>
          <w:sz w:val="24"/>
          <w:szCs w:val="24"/>
          <w:lang w:eastAsia="zh-CN"/>
        </w:rPr>
        <w:t>入河排污口</w:t>
      </w:r>
      <w:bookmarkEnd w:id="316"/>
      <w:bookmarkEnd w:id="317"/>
    </w:p>
    <w:p w14:paraId="46601584">
      <w:pPr>
        <w:pStyle w:val="45"/>
        <w:keepNext w:val="0"/>
        <w:keepLines w:val="0"/>
        <w:pageBreakBefore w:val="0"/>
        <w:widowControl w:val="0"/>
        <w:tabs>
          <w:tab w:val="left" w:pos="2021"/>
        </w:tabs>
        <w:kinsoku/>
        <w:wordWrap/>
        <w:overflowPunct/>
        <w:topLinePunct w:val="0"/>
        <w:autoSpaceDE/>
        <w:autoSpaceDN/>
        <w:bidi w:val="0"/>
        <w:adjustRightInd/>
        <w:snapToGrid w:val="0"/>
        <w:spacing w:line="360" w:lineRule="auto"/>
        <w:ind w:left="0" w:leftChars="0" w:right="0" w:firstLine="480" w:firstLineChars="200"/>
        <w:jc w:val="both"/>
        <w:textAlignment w:val="auto"/>
        <w:outlineLvl w:val="9"/>
        <w:rPr>
          <w:rFonts w:hint="default" w:ascii="Times New Roman" w:hAnsi="Times New Roman" w:cs="Times New Roman"/>
          <w:color w:val="auto"/>
          <w:sz w:val="24"/>
          <w:highlight w:val="none"/>
          <w:u w:val="none" w:color="auto"/>
        </w:rPr>
      </w:pPr>
      <w:bookmarkStart w:id="318" w:name="_Toc21188"/>
      <w:r>
        <w:rPr>
          <w:rFonts w:hint="default" w:ascii="Times New Roman" w:hAnsi="Times New Roman" w:cs="Times New Roman"/>
          <w:color w:val="auto"/>
          <w:sz w:val="24"/>
          <w:highlight w:val="none"/>
          <w:u w:val="none" w:color="auto"/>
        </w:rPr>
        <w:t>（</w:t>
      </w:r>
      <w:r>
        <w:rPr>
          <w:rFonts w:hint="default" w:ascii="Times New Roman" w:hAnsi="Times New Roman" w:cs="Times New Roman"/>
          <w:color w:val="auto"/>
          <w:sz w:val="24"/>
          <w:highlight w:val="none"/>
          <w:u w:val="none" w:color="auto"/>
          <w:lang w:val="en-US" w:eastAsia="zh-CN"/>
        </w:rPr>
        <w:t>1</w:t>
      </w:r>
      <w:r>
        <w:rPr>
          <w:rFonts w:hint="default" w:ascii="Times New Roman" w:hAnsi="Times New Roman" w:cs="Times New Roman"/>
          <w:color w:val="auto"/>
          <w:sz w:val="24"/>
          <w:highlight w:val="none"/>
          <w:u w:val="none" w:color="auto"/>
        </w:rPr>
        <w:t>）入河排污口设置</w:t>
      </w:r>
      <w:bookmarkEnd w:id="318"/>
    </w:p>
    <w:p w14:paraId="682D0BFF">
      <w:pPr>
        <w:keepNext w:val="0"/>
        <w:keepLines w:val="0"/>
        <w:pageBreakBefore w:val="0"/>
        <w:kinsoku/>
        <w:wordWrap/>
        <w:overflowPunct/>
        <w:topLinePunct w:val="0"/>
        <w:bidi w:val="0"/>
        <w:spacing w:line="360" w:lineRule="auto"/>
        <w:ind w:left="0" w:leftChars="0" w:right="0" w:firstLine="480" w:firstLineChars="200"/>
        <w:jc w:val="both"/>
        <w:textAlignment w:val="auto"/>
        <w:rPr>
          <w:rFonts w:hint="default" w:ascii="Times New Roman" w:hAnsi="Times New Roman" w:eastAsia="宋体" w:cs="Times New Roman"/>
          <w:color w:val="auto"/>
          <w:sz w:val="24"/>
          <w:szCs w:val="24"/>
          <w:highlight w:val="yellow"/>
          <w:u w:val="none" w:color="auto"/>
          <w:lang w:val="en-US" w:eastAsia="zh-CN" w:bidi="zh-CN"/>
        </w:rPr>
      </w:pPr>
      <w:r>
        <w:rPr>
          <w:rFonts w:hint="default" w:ascii="Times New Roman" w:hAnsi="Times New Roman" w:eastAsia="宋体" w:cs="Times New Roman"/>
          <w:color w:val="auto"/>
          <w:sz w:val="24"/>
          <w:szCs w:val="24"/>
          <w:u w:val="none" w:color="auto"/>
          <w:lang w:eastAsia="zh-CN" w:bidi="zh-CN"/>
        </w:rPr>
        <w:t>入河排污口</w:t>
      </w:r>
      <w:r>
        <w:rPr>
          <w:rFonts w:hint="default" w:ascii="Times New Roman" w:hAnsi="Times New Roman" w:eastAsia="宋体" w:cs="Times New Roman"/>
          <w:color w:val="auto"/>
          <w:sz w:val="24"/>
          <w:szCs w:val="24"/>
          <w:u w:val="none" w:color="auto"/>
          <w:lang w:val="en-US" w:eastAsia="zh-CN" w:bidi="zh-CN"/>
        </w:rPr>
        <w:t>位置</w:t>
      </w:r>
      <w:r>
        <w:rPr>
          <w:rFonts w:hint="default" w:ascii="Times New Roman" w:hAnsi="Times New Roman" w:eastAsia="宋体" w:cs="Times New Roman"/>
          <w:color w:val="auto"/>
          <w:sz w:val="24"/>
          <w:szCs w:val="24"/>
          <w:u w:val="none" w:color="auto"/>
          <w:lang w:eastAsia="zh-CN" w:bidi="zh-CN"/>
        </w:rPr>
        <w:t>：</w:t>
      </w:r>
      <w:r>
        <w:rPr>
          <w:rFonts w:hint="default" w:ascii="Times New Roman" w:hAnsi="Times New Roman" w:cs="Times New Roman"/>
          <w:color w:val="auto"/>
          <w:sz w:val="24"/>
          <w:szCs w:val="24"/>
          <w:highlight w:val="none"/>
          <w:u w:val="none" w:color="auto"/>
          <w:lang w:eastAsia="zh-CN"/>
        </w:rPr>
        <w:t>湘潭县石鼓镇垅塅村上田组</w:t>
      </w:r>
      <w:r>
        <w:rPr>
          <w:rFonts w:hint="default" w:ascii="Times New Roman" w:hAnsi="Times New Roman" w:cs="Times New Roman"/>
          <w:color w:val="auto"/>
          <w:sz w:val="24"/>
          <w:szCs w:val="24"/>
          <w:highlight w:val="none"/>
          <w:u w:val="none" w:color="auto"/>
          <w:lang w:val="en-US" w:eastAsia="zh-CN"/>
        </w:rPr>
        <w:t>青山河左岸</w:t>
      </w:r>
    </w:p>
    <w:p w14:paraId="545624D9">
      <w:pPr>
        <w:keepNext w:val="0"/>
        <w:keepLines w:val="0"/>
        <w:pageBreakBefore w:val="0"/>
        <w:kinsoku/>
        <w:wordWrap/>
        <w:overflowPunct/>
        <w:topLinePunct w:val="0"/>
        <w:bidi w:val="0"/>
        <w:spacing w:line="360" w:lineRule="auto"/>
        <w:ind w:left="0" w:leftChars="0" w:right="0" w:firstLine="480" w:firstLineChars="200"/>
        <w:jc w:val="both"/>
        <w:textAlignment w:val="auto"/>
        <w:rPr>
          <w:rFonts w:hint="default" w:ascii="Times New Roman" w:hAnsi="Times New Roman" w:eastAsia="宋体" w:cs="Times New Roman"/>
          <w:color w:val="auto"/>
          <w:sz w:val="24"/>
          <w:szCs w:val="24"/>
          <w:highlight w:val="none"/>
          <w:u w:val="none" w:color="auto"/>
          <w:lang w:eastAsia="zh-CN"/>
        </w:rPr>
      </w:pPr>
      <w:r>
        <w:rPr>
          <w:rFonts w:hint="default" w:ascii="Times New Roman" w:hAnsi="Times New Roman" w:eastAsia="宋体" w:cs="Times New Roman"/>
          <w:color w:val="auto"/>
          <w:sz w:val="24"/>
          <w:szCs w:val="24"/>
          <w:u w:val="none" w:color="auto"/>
          <w:lang w:eastAsia="zh-CN" w:bidi="zh-CN"/>
        </w:rPr>
        <w:t>入河排污口位置：</w:t>
      </w:r>
      <w:r>
        <w:rPr>
          <w:rFonts w:hint="default" w:ascii="Times New Roman" w:hAnsi="Times New Roman" w:eastAsia="宋体" w:cs="Times New Roman"/>
          <w:color w:val="auto"/>
          <w:sz w:val="24"/>
          <w:szCs w:val="24"/>
          <w:highlight w:val="none"/>
          <w:u w:val="none" w:color="auto"/>
          <w:lang w:eastAsia="zh-CN"/>
        </w:rPr>
        <w:t>E112°30′56.928″，N27°30′50.536″</w:t>
      </w:r>
    </w:p>
    <w:p w14:paraId="252654CF">
      <w:pPr>
        <w:keepNext w:val="0"/>
        <w:keepLines w:val="0"/>
        <w:pageBreakBefore w:val="0"/>
        <w:kinsoku/>
        <w:wordWrap/>
        <w:overflowPunct/>
        <w:topLinePunct w:val="0"/>
        <w:bidi w:val="0"/>
        <w:spacing w:line="360" w:lineRule="auto"/>
        <w:ind w:left="0" w:leftChars="0" w:right="0" w:firstLine="480" w:firstLineChars="200"/>
        <w:jc w:val="both"/>
        <w:textAlignment w:val="auto"/>
        <w:rPr>
          <w:rFonts w:hint="default" w:ascii="Times New Roman" w:hAnsi="Times New Roman" w:eastAsia="宋体" w:cs="Times New Roman"/>
          <w:color w:val="auto"/>
          <w:sz w:val="24"/>
          <w:szCs w:val="24"/>
          <w:u w:val="none" w:color="auto"/>
          <w:lang w:val="en-US" w:eastAsia="zh-CN" w:bidi="zh-CN"/>
        </w:rPr>
      </w:pPr>
      <w:r>
        <w:rPr>
          <w:rFonts w:hint="default" w:ascii="Times New Roman" w:hAnsi="Times New Roman" w:eastAsia="宋体" w:cs="Times New Roman"/>
          <w:color w:val="auto"/>
          <w:sz w:val="24"/>
          <w:szCs w:val="24"/>
          <w:u w:val="none" w:color="auto"/>
          <w:lang w:eastAsia="zh-CN" w:bidi="zh-CN"/>
        </w:rPr>
        <w:t>入河排污口类型：</w:t>
      </w:r>
      <w:r>
        <w:rPr>
          <w:rFonts w:hint="default" w:ascii="Times New Roman" w:hAnsi="Times New Roman" w:eastAsia="宋体" w:cs="Times New Roman"/>
          <w:color w:val="auto"/>
          <w:sz w:val="24"/>
          <w:szCs w:val="24"/>
          <w:u w:val="none" w:color="auto"/>
          <w:lang w:val="en-US" w:eastAsia="zh-CN" w:bidi="zh-CN"/>
        </w:rPr>
        <w:t>新建</w:t>
      </w:r>
    </w:p>
    <w:p w14:paraId="1B7D7C50">
      <w:pPr>
        <w:keepNext w:val="0"/>
        <w:keepLines w:val="0"/>
        <w:pageBreakBefore w:val="0"/>
        <w:kinsoku/>
        <w:wordWrap/>
        <w:overflowPunct/>
        <w:topLinePunct w:val="0"/>
        <w:bidi w:val="0"/>
        <w:spacing w:line="360" w:lineRule="auto"/>
        <w:ind w:left="0" w:leftChars="0" w:right="0" w:firstLine="480" w:firstLineChars="200"/>
        <w:jc w:val="both"/>
        <w:textAlignment w:val="auto"/>
        <w:rPr>
          <w:rFonts w:hint="default" w:ascii="Times New Roman" w:hAnsi="Times New Roman" w:eastAsia="宋体" w:cs="Times New Roman"/>
          <w:color w:val="auto"/>
          <w:sz w:val="24"/>
          <w:szCs w:val="24"/>
          <w:u w:val="none" w:color="auto"/>
          <w:lang w:bidi="zh-CN"/>
        </w:rPr>
      </w:pPr>
      <w:r>
        <w:rPr>
          <w:rFonts w:hint="default" w:ascii="Times New Roman" w:hAnsi="Times New Roman" w:eastAsia="宋体" w:cs="Times New Roman"/>
          <w:color w:val="auto"/>
          <w:sz w:val="24"/>
          <w:szCs w:val="24"/>
          <w:u w:val="none" w:color="auto"/>
          <w:lang w:bidi="zh-CN"/>
        </w:rPr>
        <w:t>排放方式：</w:t>
      </w:r>
      <w:r>
        <w:rPr>
          <w:rFonts w:hint="default" w:ascii="Times New Roman" w:hAnsi="Times New Roman" w:cs="Times New Roman"/>
          <w:color w:val="auto"/>
          <w:sz w:val="24"/>
          <w:szCs w:val="24"/>
          <w:u w:val="none" w:color="auto"/>
          <w:lang w:val="en-US" w:bidi="zh-CN"/>
        </w:rPr>
        <w:t>连续排放，流量不稳定且无规律，但不属于冲击型排放</w:t>
      </w:r>
    </w:p>
    <w:p w14:paraId="3E9A40FB">
      <w:pPr>
        <w:keepNext w:val="0"/>
        <w:keepLines w:val="0"/>
        <w:pageBreakBefore w:val="0"/>
        <w:kinsoku/>
        <w:wordWrap/>
        <w:overflowPunct/>
        <w:topLinePunct w:val="0"/>
        <w:bidi w:val="0"/>
        <w:spacing w:line="360" w:lineRule="auto"/>
        <w:ind w:left="0" w:leftChars="0" w:right="0" w:firstLine="480" w:firstLineChars="200"/>
        <w:jc w:val="both"/>
        <w:textAlignment w:val="auto"/>
        <w:rPr>
          <w:rFonts w:hint="default" w:ascii="Times New Roman" w:hAnsi="Times New Roman" w:eastAsia="宋体" w:cs="Times New Roman"/>
          <w:color w:val="auto"/>
          <w:sz w:val="24"/>
          <w:szCs w:val="24"/>
          <w:u w:val="none" w:color="auto"/>
          <w:lang w:eastAsia="zh-CN" w:bidi="zh-CN"/>
        </w:rPr>
      </w:pPr>
      <w:r>
        <w:rPr>
          <w:rFonts w:hint="default" w:ascii="Times New Roman" w:hAnsi="Times New Roman" w:eastAsia="宋体" w:cs="Times New Roman"/>
          <w:color w:val="auto"/>
          <w:sz w:val="24"/>
          <w:szCs w:val="24"/>
          <w:u w:val="none" w:color="auto"/>
          <w:lang w:bidi="zh-CN"/>
        </w:rPr>
        <w:t>入河方式：</w:t>
      </w:r>
      <w:r>
        <w:rPr>
          <w:rFonts w:hint="default" w:ascii="Times New Roman" w:hAnsi="Times New Roman" w:cs="Times New Roman"/>
          <w:color w:val="auto"/>
          <w:sz w:val="24"/>
          <w:szCs w:val="24"/>
          <w:u w:val="none" w:color="auto"/>
          <w:lang w:val="en-US" w:eastAsia="zh-CN" w:bidi="zh-CN"/>
        </w:rPr>
        <w:t>自建管道（管道长度为310m）</w:t>
      </w:r>
    </w:p>
    <w:p w14:paraId="0B759749">
      <w:pPr>
        <w:keepNext w:val="0"/>
        <w:keepLines w:val="0"/>
        <w:pageBreakBefore w:val="0"/>
        <w:kinsoku/>
        <w:wordWrap/>
        <w:overflowPunct/>
        <w:topLinePunct w:val="0"/>
        <w:bidi w:val="0"/>
        <w:spacing w:line="360" w:lineRule="auto"/>
        <w:ind w:left="0" w:leftChars="0" w:right="0" w:firstLine="480" w:firstLineChars="200"/>
        <w:jc w:val="both"/>
        <w:textAlignment w:val="auto"/>
        <w:rPr>
          <w:rFonts w:hint="default" w:ascii="Times New Roman" w:hAnsi="Times New Roman" w:eastAsia="宋体" w:cs="Times New Roman"/>
          <w:color w:val="auto"/>
          <w:sz w:val="24"/>
          <w:szCs w:val="24"/>
          <w:u w:val="none" w:color="auto"/>
          <w:lang w:val="en-US" w:eastAsia="zh-CN" w:bidi="zh-CN"/>
        </w:rPr>
      </w:pPr>
      <w:r>
        <w:rPr>
          <w:rFonts w:hint="default" w:ascii="Times New Roman" w:hAnsi="Times New Roman" w:eastAsia="宋体" w:cs="Times New Roman"/>
          <w:color w:val="auto"/>
          <w:sz w:val="24"/>
          <w:szCs w:val="24"/>
          <w:u w:val="none" w:color="auto"/>
          <w:lang w:val="en-US" w:eastAsia="zh-CN" w:bidi="zh-CN"/>
        </w:rPr>
        <w:t>纳污</w:t>
      </w:r>
      <w:r>
        <w:rPr>
          <w:rFonts w:hint="default" w:ascii="Times New Roman" w:hAnsi="Times New Roman" w:eastAsia="宋体" w:cs="Times New Roman"/>
          <w:color w:val="auto"/>
          <w:sz w:val="24"/>
          <w:szCs w:val="24"/>
          <w:u w:val="none" w:color="auto"/>
          <w:lang w:bidi="zh-CN"/>
        </w:rPr>
        <w:t>水体：</w:t>
      </w:r>
      <w:r>
        <w:rPr>
          <w:rFonts w:hint="default" w:ascii="Times New Roman" w:hAnsi="Times New Roman" w:cs="Times New Roman"/>
          <w:color w:val="auto"/>
          <w:sz w:val="24"/>
          <w:szCs w:val="24"/>
          <w:highlight w:val="none"/>
          <w:u w:val="none" w:color="auto"/>
          <w:lang w:val="en-US" w:eastAsia="zh-CN"/>
        </w:rPr>
        <w:t>青山河</w:t>
      </w:r>
    </w:p>
    <w:p w14:paraId="2AF399EF">
      <w:pPr>
        <w:keepNext w:val="0"/>
        <w:keepLines w:val="0"/>
        <w:pageBreakBefore w:val="0"/>
        <w:kinsoku/>
        <w:wordWrap/>
        <w:overflowPunct/>
        <w:topLinePunct w:val="0"/>
        <w:bidi w:val="0"/>
        <w:spacing w:line="360" w:lineRule="auto"/>
        <w:ind w:left="0" w:leftChars="0" w:right="0" w:firstLine="480" w:firstLineChars="200"/>
        <w:jc w:val="both"/>
        <w:textAlignment w:val="auto"/>
        <w:rPr>
          <w:rFonts w:hint="default" w:ascii="Times New Roman" w:hAnsi="Times New Roman" w:eastAsia="宋体" w:cs="Times New Roman"/>
          <w:color w:val="auto"/>
          <w:sz w:val="24"/>
          <w:szCs w:val="24"/>
          <w:u w:val="none" w:color="auto"/>
          <w:lang w:val="en-US" w:eastAsia="zh-CN" w:bidi="zh-CN"/>
        </w:rPr>
      </w:pPr>
      <w:r>
        <w:rPr>
          <w:rFonts w:hint="default" w:ascii="Times New Roman" w:hAnsi="Times New Roman" w:eastAsia="宋体" w:cs="Times New Roman"/>
          <w:color w:val="auto"/>
          <w:sz w:val="24"/>
          <w:szCs w:val="24"/>
          <w:u w:val="none" w:color="auto"/>
          <w:lang w:bidi="zh-CN"/>
        </w:rPr>
        <w:t>排入</w:t>
      </w:r>
      <w:r>
        <w:rPr>
          <w:rFonts w:hint="default" w:ascii="Times New Roman" w:hAnsi="Times New Roman" w:eastAsia="宋体" w:cs="Times New Roman"/>
          <w:color w:val="auto"/>
          <w:sz w:val="24"/>
          <w:szCs w:val="24"/>
          <w:u w:val="none" w:color="auto"/>
          <w:lang w:val="en-US" w:eastAsia="zh-CN" w:bidi="zh-CN"/>
        </w:rPr>
        <w:t>的水功能区：</w:t>
      </w:r>
      <w:r>
        <w:rPr>
          <w:rFonts w:hint="default" w:ascii="Times New Roman" w:hAnsi="Times New Roman" w:cs="Times New Roman"/>
          <w:color w:val="auto"/>
          <w:sz w:val="24"/>
          <w:szCs w:val="24"/>
          <w:u w:val="none" w:color="auto"/>
          <w:lang w:val="en-US" w:eastAsia="zh-CN" w:bidi="zh-CN"/>
        </w:rPr>
        <w:t>保留区，</w:t>
      </w:r>
      <w:r>
        <w:rPr>
          <w:rFonts w:hint="default" w:ascii="Times New Roman" w:hAnsi="Times New Roman" w:eastAsia="宋体" w:cs="Times New Roman"/>
          <w:color w:val="auto"/>
          <w:sz w:val="24"/>
          <w:szCs w:val="24"/>
          <w:u w:val="none" w:color="auto"/>
          <w:lang w:val="en-US" w:eastAsia="zh-CN" w:bidi="zh-CN"/>
        </w:rPr>
        <w:t>Ⅲ类；</w:t>
      </w:r>
    </w:p>
    <w:p w14:paraId="4B429C26">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u w:val="none" w:color="auto"/>
          <w:lang w:bidi="zh-CN"/>
        </w:rPr>
        <w:t>设计排放标准：</w:t>
      </w:r>
      <w:r>
        <w:rPr>
          <w:rFonts w:hint="default" w:ascii="Times New Roman" w:hAnsi="Times New Roman" w:cs="Times New Roman"/>
          <w:color w:val="auto"/>
          <w:sz w:val="24"/>
          <w:u w:val="none" w:color="auto"/>
          <w:lang w:eastAsia="zh-CN"/>
        </w:rPr>
        <w:t>出水水质执行</w:t>
      </w:r>
      <w:r>
        <w:rPr>
          <w:rFonts w:hint="default" w:ascii="Times New Roman" w:hAnsi="Times New Roman" w:eastAsia="宋体" w:cs="Times New Roman"/>
          <w:bCs/>
          <w:color w:val="000000"/>
          <w:sz w:val="24"/>
          <w:szCs w:val="24"/>
          <w:u w:val="none" w:color="auto"/>
          <w:lang w:eastAsia="zh-CN"/>
        </w:rPr>
        <w:t>《食品加工制造业水污染物排放标准》（GB46817-2025）</w:t>
      </w:r>
      <w:r>
        <w:rPr>
          <w:rFonts w:hint="default" w:ascii="Times New Roman" w:hAnsi="Times New Roman" w:cs="Times New Roman"/>
          <w:bCs/>
          <w:color w:val="000000"/>
          <w:sz w:val="24"/>
          <w:szCs w:val="24"/>
          <w:u w:val="none" w:color="auto"/>
        </w:rPr>
        <w:t>表</w:t>
      </w:r>
      <w:r>
        <w:rPr>
          <w:rFonts w:hint="eastAsia" w:ascii="Times New Roman" w:hAnsi="Times New Roman" w:eastAsia="宋体" w:cs="Times New Roman"/>
          <w:bCs/>
          <w:color w:val="000000"/>
          <w:sz w:val="24"/>
          <w:szCs w:val="24"/>
          <w:u w:val="none" w:color="auto"/>
          <w:lang w:val="en-US" w:eastAsia="zh-CN"/>
        </w:rPr>
        <w:t>1直接排放限值</w:t>
      </w:r>
      <w:r>
        <w:rPr>
          <w:rFonts w:hint="default" w:ascii="Times New Roman" w:hAnsi="Times New Roman" w:eastAsia="宋体" w:cs="Times New Roman"/>
          <w:color w:val="auto"/>
          <w:kern w:val="0"/>
          <w:sz w:val="24"/>
          <w:szCs w:val="24"/>
          <w:u w:val="none" w:color="auto"/>
          <w:vertAlign w:val="baseline"/>
          <w:lang w:val="en-US" w:eastAsia="zh-CN"/>
        </w:rPr>
        <w:t>。</w:t>
      </w:r>
    </w:p>
    <w:p w14:paraId="3B671E25">
      <w:pPr>
        <w:pStyle w:val="4"/>
        <w:pageBreakBefore w:val="0"/>
        <w:widowControl w:val="0"/>
        <w:kinsoku/>
        <w:wordWrap/>
        <w:overflowPunct/>
        <w:topLinePunct w:val="0"/>
        <w:autoSpaceDE/>
        <w:autoSpaceDN/>
        <w:bidi w:val="0"/>
        <w:adjustRightInd/>
        <w:snapToGrid/>
        <w:spacing w:before="0" w:after="0" w:line="360" w:lineRule="auto"/>
        <w:ind w:left="0"/>
        <w:textAlignment w:val="auto"/>
        <w:rPr>
          <w:rFonts w:ascii="Times New Roman" w:hAnsi="Times New Roman" w:eastAsia="宋体" w:cs="Times New Roman"/>
          <w:color w:val="auto"/>
          <w:lang w:eastAsia="zh-CN"/>
        </w:rPr>
      </w:pPr>
      <w:bookmarkStart w:id="319" w:name="_Toc13619"/>
      <w:bookmarkStart w:id="320" w:name="_Toc4936"/>
      <w:r>
        <w:rPr>
          <w:rFonts w:hint="eastAsia" w:ascii="Times New Roman" w:hAnsi="Times New Roman" w:eastAsia="宋体" w:cs="Times New Roman"/>
          <w:color w:val="auto"/>
          <w:lang w:eastAsia="zh-CN"/>
        </w:rPr>
        <w:t>10</w:t>
      </w:r>
      <w:r>
        <w:rPr>
          <w:rFonts w:ascii="Times New Roman" w:hAnsi="Times New Roman" w:eastAsia="宋体" w:cs="Times New Roman"/>
          <w:color w:val="auto"/>
          <w:lang w:eastAsia="zh-CN"/>
        </w:rPr>
        <w:t>.1.2 入河排污口设置影响分析结论</w:t>
      </w:r>
      <w:bookmarkEnd w:id="319"/>
      <w:bookmarkEnd w:id="320"/>
    </w:p>
    <w:p w14:paraId="0705FDAE">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湘潭县怡和顺科技有限公司</w:t>
      </w:r>
      <w:r>
        <w:rPr>
          <w:rFonts w:ascii="Times New Roman" w:hAnsi="Times New Roman" w:eastAsia="宋体" w:cs="Times New Roman"/>
          <w:color w:val="auto"/>
          <w:sz w:val="24"/>
          <w:szCs w:val="24"/>
          <w:lang w:eastAsia="zh-CN"/>
        </w:rPr>
        <w:t>入河排污口设置于</w:t>
      </w:r>
      <w:r>
        <w:rPr>
          <w:rFonts w:hint="eastAsia" w:ascii="Times New Roman" w:hAnsi="Times New Roman" w:eastAsia="宋体" w:cs="Times New Roman"/>
          <w:color w:val="auto"/>
          <w:sz w:val="24"/>
          <w:szCs w:val="24"/>
          <w:lang w:val="en-US" w:eastAsia="zh-CN"/>
        </w:rPr>
        <w:t>青山河左岸</w:t>
      </w:r>
      <w:r>
        <w:rPr>
          <w:rFonts w:ascii="Times New Roman" w:hAnsi="Times New Roman" w:eastAsia="宋体" w:cs="Times New Roman"/>
          <w:color w:val="auto"/>
          <w:sz w:val="24"/>
          <w:szCs w:val="24"/>
          <w:lang w:eastAsia="zh-CN"/>
        </w:rPr>
        <w:t>，尾水排入</w:t>
      </w:r>
      <w:r>
        <w:rPr>
          <w:rFonts w:hint="eastAsia" w:ascii="Times New Roman" w:hAnsi="Times New Roman" w:eastAsia="宋体" w:cs="Times New Roman"/>
          <w:color w:val="auto"/>
          <w:sz w:val="24"/>
          <w:szCs w:val="24"/>
          <w:lang w:val="en-US" w:eastAsia="zh-CN"/>
        </w:rPr>
        <w:t>青山河</w:t>
      </w:r>
      <w:r>
        <w:rPr>
          <w:rFonts w:ascii="Times New Roman" w:hAnsi="Times New Roman" w:eastAsia="宋体" w:cs="Times New Roman"/>
          <w:color w:val="auto"/>
          <w:sz w:val="24"/>
          <w:szCs w:val="24"/>
          <w:lang w:eastAsia="zh-CN"/>
        </w:rPr>
        <w:t>。项目出水水质执行</w:t>
      </w:r>
      <w:r>
        <w:rPr>
          <w:rFonts w:hint="eastAsia" w:ascii="Times New Roman" w:hAnsi="Times New Roman" w:eastAsia="宋体" w:cs="Times New Roman"/>
          <w:color w:val="auto"/>
          <w:sz w:val="24"/>
          <w:szCs w:val="24"/>
          <w:lang w:eastAsia="zh-CN"/>
        </w:rPr>
        <w:t>《食品加工制造业水污染物排放标准》（GB46817-2025）</w:t>
      </w:r>
      <w:r>
        <w:rPr>
          <w:rFonts w:hint="default" w:ascii="Times New Roman" w:hAnsi="Times New Roman" w:eastAsia="宋体" w:cs="Times New Roman"/>
          <w:color w:val="auto"/>
          <w:sz w:val="24"/>
          <w:szCs w:val="24"/>
          <w:lang w:eastAsia="zh-CN"/>
        </w:rPr>
        <w:t>表</w:t>
      </w:r>
      <w:r>
        <w:rPr>
          <w:rFonts w:hint="eastAsia" w:ascii="Times New Roman" w:hAnsi="Times New Roman" w:eastAsia="宋体" w:cs="Times New Roman"/>
          <w:color w:val="auto"/>
          <w:sz w:val="24"/>
          <w:szCs w:val="24"/>
          <w:lang w:val="en-US" w:eastAsia="zh-CN"/>
        </w:rPr>
        <w:t>1直接排放限值</w:t>
      </w:r>
      <w:r>
        <w:rPr>
          <w:rFonts w:ascii="Times New Roman" w:hAnsi="Times New Roman" w:eastAsia="宋体" w:cs="Times New Roman"/>
          <w:color w:val="auto"/>
          <w:sz w:val="24"/>
          <w:szCs w:val="24"/>
          <w:lang w:eastAsia="zh-CN"/>
        </w:rPr>
        <w:t>。根据排污口上下游常规断面例行监测结果和预测分析可知，由于本项目废水排放量较小，枯水期本企业正常工况下游河段COD</w:t>
      </w:r>
      <w:r>
        <w:rPr>
          <w:rFonts w:ascii="Times New Roman" w:hAnsi="Times New Roman" w:eastAsia="宋体" w:cs="Times New Roman"/>
          <w:color w:val="auto"/>
          <w:sz w:val="24"/>
          <w:szCs w:val="24"/>
          <w:vertAlign w:val="subscript"/>
          <w:lang w:eastAsia="zh-CN"/>
        </w:rPr>
        <w:t>Cr</w:t>
      </w:r>
      <w:r>
        <w:rPr>
          <w:rFonts w:ascii="Times New Roman" w:hAnsi="Times New Roman" w:eastAsia="宋体" w:cs="Times New Roman"/>
          <w:color w:val="auto"/>
          <w:sz w:val="24"/>
          <w:szCs w:val="24"/>
          <w:lang w:eastAsia="zh-CN"/>
        </w:rPr>
        <w:t>、NH</w:t>
      </w:r>
      <w:r>
        <w:rPr>
          <w:rFonts w:ascii="Times New Roman" w:hAnsi="Times New Roman" w:eastAsia="宋体" w:cs="Times New Roman"/>
          <w:color w:val="auto"/>
          <w:sz w:val="24"/>
          <w:szCs w:val="24"/>
          <w:vertAlign w:val="subscript"/>
          <w:lang w:eastAsia="zh-CN"/>
        </w:rPr>
        <w:t>3</w:t>
      </w:r>
      <w:r>
        <w:rPr>
          <w:rFonts w:ascii="Times New Roman" w:hAnsi="Times New Roman" w:eastAsia="宋体" w:cs="Times New Roman"/>
          <w:color w:val="auto"/>
          <w:sz w:val="24"/>
          <w:szCs w:val="24"/>
          <w:lang w:eastAsia="zh-CN"/>
        </w:rPr>
        <w:t>-N、TP的浓度预测值均能够满足《地表水环境质量标准》（GB3838-2002）</w:t>
      </w:r>
      <w:r>
        <w:rPr>
          <w:rFonts w:hint="default" w:ascii="Times New Roman" w:hAnsi="Times New Roman" w:eastAsia="宋体" w:cs="Times New Roman"/>
          <w:spacing w:val="-4"/>
          <w:sz w:val="24"/>
          <w:szCs w:val="24"/>
          <w:lang w:eastAsia="zh-CN"/>
        </w:rPr>
        <w:t>Ⅲ</w:t>
      </w:r>
      <w:r>
        <w:rPr>
          <w:rFonts w:ascii="Times New Roman" w:hAnsi="Times New Roman" w:eastAsia="宋体" w:cs="Times New Roman"/>
          <w:color w:val="auto"/>
          <w:sz w:val="24"/>
          <w:szCs w:val="24"/>
          <w:lang w:eastAsia="zh-CN"/>
        </w:rPr>
        <w:t>类标准限值要求，本排污口的设置不改变排污口所处水功能区及下游水功能的使用功能，也基本不会影响相邻水功能区的使用。非正常排放项目应采取相应防范措施，禁止事故废水排放的发生。</w:t>
      </w:r>
    </w:p>
    <w:p w14:paraId="547BB6B9">
      <w:pPr>
        <w:pStyle w:val="4"/>
        <w:pageBreakBefore w:val="0"/>
        <w:widowControl w:val="0"/>
        <w:kinsoku/>
        <w:wordWrap/>
        <w:overflowPunct/>
        <w:topLinePunct w:val="0"/>
        <w:bidi w:val="0"/>
        <w:adjustRightInd/>
        <w:snapToGrid/>
        <w:spacing w:before="0" w:after="0" w:line="360" w:lineRule="auto"/>
        <w:ind w:left="0"/>
        <w:textAlignment w:val="auto"/>
        <w:rPr>
          <w:rFonts w:ascii="Times New Roman" w:hAnsi="Times New Roman" w:eastAsia="宋体" w:cs="Times New Roman"/>
          <w:color w:val="auto"/>
          <w:szCs w:val="24"/>
          <w:lang w:eastAsia="zh-CN"/>
        </w:rPr>
      </w:pPr>
      <w:bookmarkStart w:id="321" w:name="_Toc3259"/>
      <w:bookmarkStart w:id="322" w:name="_Toc26902"/>
      <w:r>
        <w:rPr>
          <w:rFonts w:hint="eastAsia" w:ascii="Times New Roman" w:hAnsi="Times New Roman" w:eastAsia="宋体" w:cs="Times New Roman"/>
          <w:color w:val="auto"/>
          <w:szCs w:val="24"/>
          <w:lang w:eastAsia="zh-CN"/>
        </w:rPr>
        <w:t>10</w:t>
      </w:r>
      <w:r>
        <w:rPr>
          <w:rFonts w:ascii="Times New Roman" w:hAnsi="Times New Roman" w:eastAsia="宋体" w:cs="Times New Roman"/>
          <w:color w:val="auto"/>
          <w:szCs w:val="24"/>
          <w:lang w:eastAsia="zh-CN"/>
        </w:rPr>
        <w:t>.1.3 入河排污口设置合理、可行性</w:t>
      </w:r>
      <w:bookmarkEnd w:id="321"/>
      <w:bookmarkEnd w:id="322"/>
    </w:p>
    <w:p w14:paraId="3AD10A56">
      <w:pPr>
        <w:pageBreakBefore w:val="0"/>
        <w:widowControl w:val="0"/>
        <w:kinsoku/>
        <w:wordWrap/>
        <w:overflowPunct/>
        <w:topLinePunct w:val="0"/>
        <w:bidi w:val="0"/>
        <w:adjustRightInd/>
        <w:snapToGrid/>
        <w:spacing w:line="360" w:lineRule="auto"/>
        <w:ind w:left="0" w:firstLine="480" w:firstLineChars="200"/>
        <w:textAlignment w:val="auto"/>
        <w:rPr>
          <w:rFonts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湘潭县怡和顺科技有限公司</w:t>
      </w:r>
      <w:r>
        <w:rPr>
          <w:rFonts w:ascii="Times New Roman" w:hAnsi="Times New Roman" w:eastAsia="宋体" w:cs="Times New Roman"/>
          <w:color w:val="auto"/>
          <w:sz w:val="24"/>
          <w:szCs w:val="24"/>
          <w:lang w:eastAsia="zh-CN"/>
        </w:rPr>
        <w:t>入河排污口设置符合国家法律法规和相关产业政策，入河排污口不涉及饮用水水源保护区核心区和缓冲区，不位于省级以上人民政府要求削减排污总量的水域。企业废水直接纳污水体为</w:t>
      </w:r>
      <w:r>
        <w:rPr>
          <w:rFonts w:hint="eastAsia" w:ascii="Times New Roman" w:hAnsi="Times New Roman" w:eastAsia="宋体" w:cs="Times New Roman"/>
          <w:color w:val="auto"/>
          <w:sz w:val="24"/>
          <w:szCs w:val="24"/>
          <w:lang w:val="en-US" w:eastAsia="zh-CN"/>
        </w:rPr>
        <w:t>青山河</w:t>
      </w:r>
      <w:r>
        <w:rPr>
          <w:rFonts w:ascii="Times New Roman" w:hAnsi="Times New Roman" w:eastAsia="宋体" w:cs="Times New Roman"/>
          <w:color w:val="auto"/>
          <w:sz w:val="24"/>
          <w:szCs w:val="24"/>
          <w:lang w:eastAsia="zh-CN"/>
        </w:rPr>
        <w:t>，据调查，本入河排污口下游段为</w:t>
      </w:r>
      <w:r>
        <w:rPr>
          <w:rFonts w:hint="eastAsia" w:ascii="Times New Roman" w:hAnsi="Times New Roman" w:eastAsia="宋体" w:cs="Times New Roman"/>
          <w:color w:val="auto"/>
          <w:sz w:val="24"/>
          <w:szCs w:val="24"/>
          <w:lang w:val="en-US" w:eastAsia="zh-CN"/>
        </w:rPr>
        <w:t>保留区</w:t>
      </w:r>
      <w:r>
        <w:rPr>
          <w:rFonts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青山河</w:t>
      </w:r>
      <w:r>
        <w:rPr>
          <w:rFonts w:ascii="Times New Roman" w:hAnsi="Times New Roman" w:eastAsia="宋体" w:cs="Times New Roman"/>
          <w:color w:val="auto"/>
          <w:sz w:val="24"/>
          <w:szCs w:val="24"/>
          <w:lang w:eastAsia="zh-CN"/>
        </w:rPr>
        <w:t>在接纳本企业排水后，受影响水域范围及受影响程度有限。入河排污口设置后，污染物排放量</w:t>
      </w:r>
      <w:r>
        <w:rPr>
          <w:rFonts w:hint="eastAsia" w:ascii="Times New Roman" w:hAnsi="Times New Roman" w:eastAsia="宋体" w:cs="Times New Roman"/>
          <w:color w:val="auto"/>
          <w:sz w:val="24"/>
          <w:szCs w:val="24"/>
          <w:lang w:val="en-US" w:eastAsia="zh-CN"/>
        </w:rPr>
        <w:t>远</w:t>
      </w:r>
      <w:r>
        <w:rPr>
          <w:rFonts w:ascii="Times New Roman" w:hAnsi="Times New Roman" w:eastAsia="宋体" w:cs="Times New Roman"/>
          <w:color w:val="auto"/>
          <w:sz w:val="24"/>
          <w:szCs w:val="24"/>
          <w:lang w:eastAsia="zh-CN"/>
        </w:rPr>
        <w:t>小于</w:t>
      </w:r>
      <w:r>
        <w:rPr>
          <w:rFonts w:hint="eastAsia" w:ascii="Times New Roman" w:hAnsi="Times New Roman" w:eastAsia="宋体" w:cs="Times New Roman"/>
          <w:color w:val="auto"/>
          <w:sz w:val="24"/>
          <w:szCs w:val="24"/>
          <w:lang w:val="en-US" w:eastAsia="zh-CN"/>
        </w:rPr>
        <w:t>青山河</w:t>
      </w:r>
      <w:r>
        <w:rPr>
          <w:rFonts w:ascii="Times New Roman" w:hAnsi="Times New Roman" w:eastAsia="宋体" w:cs="Times New Roman"/>
          <w:color w:val="auto"/>
          <w:sz w:val="24"/>
          <w:szCs w:val="24"/>
          <w:lang w:eastAsia="zh-CN"/>
        </w:rPr>
        <w:t>水功能区纳污总量，不会改变水功能区水质类别，本项目排污口设置不影响邻近其他取水户用水安全，不影响防洪安全，不会对周边水生生态造成重大影响。本工程排污口设置及排放方式合理、可行。</w:t>
      </w:r>
    </w:p>
    <w:p w14:paraId="1C616A65">
      <w:pPr>
        <w:pStyle w:val="4"/>
        <w:pageBreakBefore w:val="0"/>
        <w:widowControl w:val="0"/>
        <w:kinsoku/>
        <w:wordWrap/>
        <w:overflowPunct/>
        <w:topLinePunct w:val="0"/>
        <w:bidi w:val="0"/>
        <w:adjustRightInd/>
        <w:snapToGrid/>
        <w:spacing w:before="0" w:after="0" w:line="360" w:lineRule="auto"/>
        <w:ind w:left="0"/>
        <w:textAlignment w:val="auto"/>
        <w:rPr>
          <w:rFonts w:ascii="Times New Roman" w:hAnsi="Times New Roman" w:eastAsia="宋体" w:cs="Times New Roman"/>
          <w:color w:val="auto"/>
          <w:szCs w:val="24"/>
          <w:lang w:eastAsia="zh-CN"/>
        </w:rPr>
      </w:pPr>
      <w:bookmarkStart w:id="323" w:name="_Toc431"/>
      <w:bookmarkStart w:id="324" w:name="_Toc4363"/>
      <w:r>
        <w:rPr>
          <w:rFonts w:hint="eastAsia" w:ascii="Times New Roman" w:hAnsi="Times New Roman" w:eastAsia="宋体" w:cs="Times New Roman"/>
          <w:color w:val="auto"/>
          <w:szCs w:val="24"/>
          <w:lang w:eastAsia="zh-CN"/>
        </w:rPr>
        <w:t>10</w:t>
      </w:r>
      <w:r>
        <w:rPr>
          <w:rFonts w:ascii="Times New Roman" w:hAnsi="Times New Roman" w:eastAsia="宋体" w:cs="Times New Roman"/>
          <w:color w:val="auto"/>
          <w:szCs w:val="24"/>
          <w:lang w:eastAsia="zh-CN"/>
        </w:rPr>
        <w:t>.1.4 综合结论</w:t>
      </w:r>
      <w:bookmarkEnd w:id="323"/>
      <w:bookmarkEnd w:id="324"/>
    </w:p>
    <w:p w14:paraId="360F8F63">
      <w:pPr>
        <w:pStyle w:val="40"/>
        <w:pageBreakBefore w:val="0"/>
        <w:widowControl w:val="0"/>
        <w:kinsoku/>
        <w:wordWrap/>
        <w:overflowPunct/>
        <w:topLinePunct w:val="0"/>
        <w:bidi w:val="0"/>
        <w:adjustRightInd/>
        <w:snapToGrid/>
        <w:spacing w:line="360" w:lineRule="auto"/>
        <w:ind w:left="0" w:firstLine="480" w:firstLineChars="200"/>
        <w:textAlignment w:val="auto"/>
        <w:rPr>
          <w:rFonts w:ascii="Times New Roman" w:hAnsi="Times New Roman" w:eastAsia="宋体" w:cs="Times New Roman"/>
          <w:color w:val="auto"/>
          <w:szCs w:val="24"/>
          <w:lang w:eastAsia="zh-CN"/>
        </w:rPr>
      </w:pPr>
      <w:r>
        <w:rPr>
          <w:rFonts w:ascii="Times New Roman" w:hAnsi="Times New Roman" w:eastAsia="宋体" w:cs="Times New Roman"/>
          <w:color w:val="auto"/>
          <w:szCs w:val="24"/>
          <w:lang w:eastAsia="zh-CN"/>
        </w:rPr>
        <w:t>排污口的设置符合国家法律法规和相关产业政策，符合《湖南省入河排污口监督管理办法》（湘政办发〔2018〕44号）；符合水资源管理要求；符合水功能区管理要求；对防洪及下游农灌不造成影响；不影响第三者权益。在正常排放情况下本入河排污口对</w:t>
      </w:r>
      <w:r>
        <w:rPr>
          <w:rFonts w:hint="eastAsia" w:ascii="Times New Roman" w:hAnsi="Times New Roman" w:eastAsia="宋体" w:cs="Times New Roman"/>
          <w:color w:val="auto"/>
          <w:szCs w:val="24"/>
          <w:lang w:val="en-US" w:eastAsia="zh-CN"/>
        </w:rPr>
        <w:t>青山河</w:t>
      </w:r>
      <w:r>
        <w:rPr>
          <w:rFonts w:ascii="Times New Roman" w:hAnsi="Times New Roman" w:eastAsia="宋体" w:cs="Times New Roman"/>
          <w:color w:val="auto"/>
          <w:szCs w:val="24"/>
          <w:lang w:eastAsia="zh-CN"/>
        </w:rPr>
        <w:t>水质影响较小。因此，</w:t>
      </w:r>
      <w:r>
        <w:rPr>
          <w:rFonts w:hint="eastAsia" w:ascii="Times New Roman" w:hAnsi="Times New Roman" w:eastAsia="宋体" w:cs="Times New Roman"/>
          <w:color w:val="auto"/>
          <w:szCs w:val="24"/>
          <w:lang w:eastAsia="zh-CN"/>
        </w:rPr>
        <w:t>湘潭县怡和顺科技有限公司</w:t>
      </w:r>
      <w:r>
        <w:rPr>
          <w:rFonts w:ascii="Times New Roman" w:hAnsi="Times New Roman" w:eastAsia="宋体" w:cs="Times New Roman"/>
          <w:color w:val="auto"/>
          <w:szCs w:val="24"/>
          <w:lang w:eastAsia="zh-CN"/>
        </w:rPr>
        <w:t>入河排污口设置基本合理。</w:t>
      </w:r>
    </w:p>
    <w:p w14:paraId="1DA8B57C">
      <w:pPr>
        <w:pStyle w:val="3"/>
        <w:pageBreakBefore w:val="0"/>
        <w:widowControl w:val="0"/>
        <w:kinsoku/>
        <w:wordWrap/>
        <w:overflowPunct/>
        <w:topLinePunct w:val="0"/>
        <w:bidi w:val="0"/>
        <w:adjustRightInd/>
        <w:snapToGrid/>
        <w:spacing w:before="0" w:after="0" w:line="360" w:lineRule="auto"/>
        <w:ind w:left="0"/>
        <w:textAlignment w:val="auto"/>
        <w:rPr>
          <w:rFonts w:ascii="Times New Roman" w:hAnsi="Times New Roman" w:eastAsia="宋体" w:cs="Times New Roman"/>
          <w:color w:val="auto"/>
          <w:sz w:val="24"/>
          <w:szCs w:val="24"/>
          <w:lang w:eastAsia="zh-CN"/>
        </w:rPr>
      </w:pPr>
      <w:bookmarkStart w:id="325" w:name="_Toc8993"/>
      <w:bookmarkStart w:id="326" w:name="_Toc23359"/>
      <w:bookmarkStart w:id="327" w:name="_Toc14043"/>
      <w:r>
        <w:rPr>
          <w:rFonts w:hint="eastAsia" w:ascii="Times New Roman" w:hAnsi="Times New Roman" w:eastAsia="宋体" w:cs="Times New Roman"/>
          <w:color w:val="auto"/>
          <w:sz w:val="24"/>
          <w:szCs w:val="24"/>
          <w:lang w:eastAsia="zh-CN"/>
        </w:rPr>
        <w:t>10</w:t>
      </w:r>
      <w:r>
        <w:rPr>
          <w:rFonts w:ascii="Times New Roman" w:hAnsi="Times New Roman" w:eastAsia="宋体" w:cs="Times New Roman"/>
          <w:color w:val="auto"/>
          <w:sz w:val="24"/>
          <w:szCs w:val="24"/>
          <w:lang w:eastAsia="zh-CN"/>
        </w:rPr>
        <w:t>.2建议</w:t>
      </w:r>
      <w:bookmarkEnd w:id="325"/>
      <w:bookmarkEnd w:id="326"/>
      <w:bookmarkEnd w:id="327"/>
    </w:p>
    <w:p w14:paraId="2E2EC8F9">
      <w:pPr>
        <w:pageBreakBefore w:val="0"/>
        <w:widowControl w:val="0"/>
        <w:kinsoku/>
        <w:wordWrap/>
        <w:overflowPunct/>
        <w:topLinePunct w:val="0"/>
        <w:bidi w:val="0"/>
        <w:adjustRightInd/>
        <w:snapToGrid/>
        <w:spacing w:line="360" w:lineRule="auto"/>
        <w:ind w:left="0" w:firstLine="480" w:firstLineChars="200"/>
        <w:textAlignment w:val="auto"/>
        <w:rPr>
          <w:rFonts w:ascii="Times New Roman" w:hAnsi="Times New Roman" w:eastAsia="宋体" w:cs="Times New Roman"/>
          <w:color w:val="auto"/>
          <w:sz w:val="24"/>
          <w:szCs w:val="24"/>
          <w:lang w:eastAsia="zh-CN"/>
        </w:rPr>
      </w:pPr>
      <w:r>
        <w:rPr>
          <w:rFonts w:ascii="Times New Roman" w:hAnsi="Times New Roman" w:eastAsia="宋体" w:cs="Times New Roman"/>
          <w:color w:val="auto"/>
          <w:sz w:val="24"/>
          <w:szCs w:val="24"/>
          <w:lang w:eastAsia="zh-CN"/>
        </w:rPr>
        <w:t>为进一步保护和维持该水域的生态环境质量状况，提出以下几点建议：</w:t>
      </w:r>
    </w:p>
    <w:p w14:paraId="5B731B39">
      <w:pPr>
        <w:pageBreakBefore w:val="0"/>
        <w:widowControl w:val="0"/>
        <w:kinsoku/>
        <w:wordWrap/>
        <w:overflowPunct/>
        <w:topLinePunct w:val="0"/>
        <w:bidi w:val="0"/>
        <w:adjustRightInd/>
        <w:snapToGrid/>
        <w:spacing w:line="360" w:lineRule="auto"/>
        <w:ind w:left="0" w:firstLine="480" w:firstLineChars="200"/>
        <w:textAlignment w:val="auto"/>
        <w:rPr>
          <w:rFonts w:ascii="Times New Roman" w:hAnsi="Times New Roman" w:eastAsia="宋体" w:cs="Times New Roman"/>
          <w:color w:val="auto"/>
          <w:sz w:val="24"/>
          <w:szCs w:val="24"/>
          <w:lang w:eastAsia="zh-CN"/>
        </w:rPr>
      </w:pPr>
      <w:r>
        <w:rPr>
          <w:rFonts w:ascii="Times New Roman" w:hAnsi="Times New Roman" w:eastAsia="宋体" w:cs="Times New Roman"/>
          <w:color w:val="auto"/>
          <w:sz w:val="24"/>
          <w:szCs w:val="24"/>
          <w:lang w:eastAsia="zh-CN"/>
        </w:rPr>
        <w:t>（1）按照国家规范排污口的要求，对该排污口进行规范化建设管理。</w:t>
      </w:r>
    </w:p>
    <w:p w14:paraId="3A6FD13F">
      <w:pPr>
        <w:pageBreakBefore w:val="0"/>
        <w:widowControl w:val="0"/>
        <w:kinsoku/>
        <w:wordWrap/>
        <w:overflowPunct/>
        <w:topLinePunct w:val="0"/>
        <w:bidi w:val="0"/>
        <w:adjustRightInd/>
        <w:snapToGrid/>
        <w:spacing w:line="360" w:lineRule="auto"/>
        <w:ind w:left="0" w:firstLine="480" w:firstLineChars="200"/>
        <w:textAlignment w:val="auto"/>
        <w:rPr>
          <w:rFonts w:ascii="Times New Roman" w:hAnsi="Times New Roman" w:eastAsia="宋体" w:cs="Times New Roman"/>
          <w:color w:val="auto"/>
          <w:sz w:val="24"/>
          <w:szCs w:val="24"/>
          <w:lang w:eastAsia="zh-CN"/>
        </w:rPr>
      </w:pPr>
      <w:r>
        <w:rPr>
          <w:rFonts w:ascii="Times New Roman" w:hAnsi="Times New Roman" w:eastAsia="宋体" w:cs="Times New Roman"/>
          <w:color w:val="auto"/>
          <w:sz w:val="24"/>
          <w:szCs w:val="24"/>
          <w:lang w:eastAsia="zh-CN"/>
        </w:rPr>
        <w:t>（2）对入河排污口进行测量，为排污口的数字化、精确化提供支撑。</w:t>
      </w:r>
    </w:p>
    <w:p w14:paraId="545D9974">
      <w:pPr>
        <w:pageBreakBefore w:val="0"/>
        <w:widowControl w:val="0"/>
        <w:kinsoku/>
        <w:wordWrap/>
        <w:overflowPunct/>
        <w:topLinePunct w:val="0"/>
        <w:bidi w:val="0"/>
        <w:adjustRightInd/>
        <w:snapToGrid/>
        <w:spacing w:line="360" w:lineRule="auto"/>
        <w:ind w:left="0" w:firstLine="480" w:firstLineChars="200"/>
        <w:textAlignment w:val="auto"/>
        <w:rPr>
          <w:rFonts w:ascii="Times New Roman" w:hAnsi="Times New Roman" w:eastAsia="宋体" w:cs="Times New Roman"/>
          <w:color w:val="auto"/>
          <w:sz w:val="24"/>
          <w:szCs w:val="24"/>
          <w:lang w:eastAsia="zh-CN"/>
        </w:rPr>
      </w:pPr>
      <w:r>
        <w:rPr>
          <w:rFonts w:ascii="Times New Roman" w:hAnsi="Times New Roman" w:eastAsia="宋体" w:cs="Times New Roman"/>
          <w:color w:val="auto"/>
          <w:sz w:val="24"/>
          <w:szCs w:val="24"/>
          <w:lang w:eastAsia="zh-CN"/>
        </w:rPr>
        <w:t>（3）加强污水处理设施的检查与维护。对污水处理站污水处理设施定期检查、维修，确保处理系统安全稳定运行，尽量避免事故排污发生。</w:t>
      </w:r>
    </w:p>
    <w:p w14:paraId="6F48CA95">
      <w:pPr>
        <w:pageBreakBefore w:val="0"/>
        <w:widowControl w:val="0"/>
        <w:kinsoku/>
        <w:wordWrap/>
        <w:overflowPunct/>
        <w:topLinePunct w:val="0"/>
        <w:bidi w:val="0"/>
        <w:adjustRightInd/>
        <w:snapToGrid/>
        <w:spacing w:line="360" w:lineRule="auto"/>
        <w:ind w:left="0" w:firstLine="480" w:firstLineChars="200"/>
        <w:textAlignment w:val="auto"/>
        <w:rPr>
          <w:rFonts w:ascii="Times New Roman" w:hAnsi="Times New Roman" w:eastAsia="宋体" w:cs="Times New Roman"/>
          <w:color w:val="auto"/>
          <w:sz w:val="24"/>
          <w:szCs w:val="24"/>
          <w:lang w:eastAsia="zh-CN"/>
        </w:rPr>
      </w:pPr>
      <w:r>
        <w:rPr>
          <w:rFonts w:ascii="Times New Roman" w:hAnsi="Times New Roman" w:eastAsia="宋体" w:cs="Times New Roman"/>
          <w:color w:val="auto"/>
          <w:sz w:val="24"/>
          <w:szCs w:val="24"/>
          <w:lang w:eastAsia="zh-CN"/>
        </w:rPr>
        <w:t>（4）运行管理单位应制定事故排放的应急预案。包括具体技术措施、工程措施和管理措施，同时报相关主管部门备案，并切实在运行中落实。</w:t>
      </w:r>
    </w:p>
    <w:p w14:paraId="30D94D9A">
      <w:pPr>
        <w:pageBreakBefore w:val="0"/>
        <w:wordWrap/>
        <w:overflowPunct/>
        <w:topLinePunct w:val="0"/>
        <w:bidi w:val="0"/>
        <w:spacing w:line="360" w:lineRule="auto"/>
        <w:ind w:left="0" w:firstLine="472"/>
        <w:rPr>
          <w:rFonts w:ascii="宋体" w:hAnsi="宋体" w:eastAsia="宋体" w:cs="宋体"/>
          <w:sz w:val="24"/>
          <w:szCs w:val="24"/>
          <w:lang w:eastAsia="zh-CN"/>
        </w:rPr>
      </w:pPr>
      <w:r>
        <w:rPr>
          <w:rFonts w:ascii="Times New Roman" w:hAnsi="Times New Roman" w:eastAsia="宋体" w:cs="Times New Roman"/>
          <w:color w:val="auto"/>
          <w:sz w:val="24"/>
          <w:szCs w:val="24"/>
          <w:lang w:eastAsia="zh-CN"/>
        </w:rPr>
        <w:t>（5）在企业运行后应按排污许可对污水进行监测，防范进水水质超标导致的尾水超标排放情况，严格执行污水排放标准，确保出水水质稳定达标排放，并把监测结果向主管部门通报</w:t>
      </w:r>
      <w:r>
        <w:rPr>
          <w:rFonts w:ascii="宋体" w:hAnsi="宋体" w:eastAsia="宋体" w:cs="宋体"/>
          <w:spacing w:val="-2"/>
          <w:sz w:val="24"/>
          <w:szCs w:val="24"/>
          <w:lang w:eastAsia="zh-CN"/>
        </w:rPr>
        <w:t>。</w:t>
      </w:r>
    </w:p>
    <w:p w14:paraId="71F7B80C">
      <w:pPr>
        <w:jc w:val="both"/>
        <w:rPr>
          <w:rFonts w:hint="default"/>
          <w:lang w:val="en-US" w:eastAsia="zh-CN"/>
        </w:rPr>
      </w:pPr>
      <w:bookmarkStart w:id="328" w:name="_GoBack"/>
      <w:bookmarkEnd w:id="328"/>
    </w:p>
    <w:sectPr>
      <w:headerReference r:id="rId14" w:type="default"/>
      <w:footerReference r:id="rId15" w:type="default"/>
      <w:pgSz w:w="11905" w:h="16838"/>
      <w:pgMar w:top="1440" w:right="1803" w:bottom="1440" w:left="1803" w:header="828" w:footer="794" w:gutter="0"/>
      <w:pgNumType w:fmt="decimal"/>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6538A">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7DCB46">
                          <w:pPr>
                            <w:pStyle w:val="15"/>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B7DCB46">
                    <w:pPr>
                      <w:pStyle w:val="15"/>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D155B">
    <w:pPr>
      <w:spacing w:line="176" w:lineRule="auto"/>
      <w:ind w:left="4183"/>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8BF0FE">
                          <w:pPr>
                            <w:pStyle w:val="15"/>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F8BF0FE">
                    <w:pPr>
                      <w:pStyle w:val="15"/>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5CA585">
    <w:pPr>
      <w:spacing w:line="176" w:lineRule="auto"/>
      <w:ind w:left="4291"/>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A2A4E4">
                          <w:pPr>
                            <w:pStyle w:val="15"/>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4A2A4E4">
                    <w:pPr>
                      <w:pStyle w:val="15"/>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859E2">
    <w:pPr>
      <w:spacing w:line="173" w:lineRule="auto"/>
      <w:ind w:left="417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73B672">
                          <w:pPr>
                            <w:pStyle w:val="15"/>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A73B672">
                    <w:pPr>
                      <w:pStyle w:val="15"/>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DBDED">
    <w:pPr>
      <w:spacing w:line="176" w:lineRule="auto"/>
      <w:ind w:left="4292"/>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BEA839">
                          <w:pPr>
                            <w:pStyle w:val="15"/>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72BEA839">
                    <w:pPr>
                      <w:pStyle w:val="15"/>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AD1E0">
    <w:pPr>
      <w:spacing w:line="176" w:lineRule="auto"/>
      <w:ind w:left="4173"/>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DDC98D">
                          <w:pPr>
                            <w:pStyle w:val="15"/>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29DDC98D">
                    <w:pPr>
                      <w:pStyle w:val="15"/>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2AF84">
    <w:pPr>
      <w:spacing w:line="176" w:lineRule="auto"/>
      <w:ind w:left="4173"/>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7E26FF">
                          <w:pPr>
                            <w:pStyle w:val="15"/>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457E26FF">
                    <w:pPr>
                      <w:pStyle w:val="15"/>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BAAA4F">
    <w:pPr>
      <w:spacing w:line="176" w:lineRule="auto"/>
      <w:ind w:left="4169"/>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9525C9">
                          <w:pPr>
                            <w:pStyle w:val="15"/>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599525C9">
                    <w:pPr>
                      <w:pStyle w:val="15"/>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F1E9B">
    <w:pPr>
      <w:spacing w:line="176" w:lineRule="auto"/>
      <w:ind w:left="4137"/>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8BA5B0">
                          <w:pPr>
                            <w:pStyle w:val="15"/>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158BA5B0">
                    <w:pPr>
                      <w:pStyle w:val="15"/>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DAD53">
    <w:pPr>
      <w:pStyle w:val="15"/>
      <w:ind w:firstLine="360"/>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81D215">
                          <w:pPr>
                            <w:pStyle w:val="15"/>
                          </w:pPr>
                          <w:r>
                            <w:fldChar w:fldCharType="begin"/>
                          </w:r>
                          <w:r>
                            <w:instrText xml:space="preserve"> PAGE  \* MERGEFORMAT </w:instrText>
                          </w:r>
                          <w:r>
                            <w:fldChar w:fldCharType="separate"/>
                          </w:r>
                          <w:r>
                            <w:t>56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Edhg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EdhgzAgAAYwQAAA4AAAAAAAAAAQAgAAAAHwEAAGRycy9lMm9Eb2MueG1sUEsF&#10;BgAAAAAGAAYAWQEAAMQFAAAAAA==&#10;">
              <v:fill on="f" focussize="0,0"/>
              <v:stroke on="f" weight="0.5pt"/>
              <v:imagedata o:title=""/>
              <o:lock v:ext="edit" aspectratio="f"/>
              <v:textbox inset="0mm,0mm,0mm,0mm" style="mso-fit-shape-to-text:t;">
                <w:txbxContent>
                  <w:p w14:paraId="7481D215">
                    <w:pPr>
                      <w:pStyle w:val="15"/>
                    </w:pPr>
                    <w:r>
                      <w:fldChar w:fldCharType="begin"/>
                    </w:r>
                    <w:r>
                      <w:instrText xml:space="preserve"> PAGE  \* MERGEFORMAT </w:instrText>
                    </w:r>
                    <w:r>
                      <w:fldChar w:fldCharType="separate"/>
                    </w:r>
                    <w:r>
                      <w:t>56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C54DEB">
    <w:pPr>
      <w:pBdr>
        <w:bottom w:val="none" w:color="auto" w:sz="0" w:space="0"/>
      </w:pBdr>
      <w:spacing w:before="48" w:line="218" w:lineRule="auto"/>
      <w:ind w:right="4"/>
      <w:jc w:val="center"/>
      <w:rPr>
        <w:rFonts w:ascii="宋体" w:hAnsi="宋体" w:eastAsia="宋体" w:cs="宋体"/>
        <w:sz w:val="18"/>
        <w:szCs w:val="18"/>
        <w:lang w:eastAsia="zh-CN"/>
      </w:rPr>
    </w:pPr>
    <w:r>
      <w:rPr>
        <w:rFonts w:hint="eastAsia" w:ascii="宋体" w:hAnsi="宋体" w:eastAsia="宋体" w:cs="宋体"/>
        <w:spacing w:val="-1"/>
        <w:sz w:val="18"/>
        <w:szCs w:val="18"/>
        <w:lang w:eastAsia="zh-CN"/>
      </w:rPr>
      <w:t>湘潭县怡和顺科技有限公司</w:t>
    </w:r>
    <w:r>
      <w:rPr>
        <w:rFonts w:ascii="宋体" w:hAnsi="宋体" w:eastAsia="宋体" w:cs="宋体"/>
        <w:spacing w:val="-1"/>
        <w:sz w:val="18"/>
        <w:szCs w:val="18"/>
        <w:lang w:eastAsia="zh-CN"/>
      </w:rPr>
      <w:t>入河排污口设置论证报告</w:t>
    </w:r>
  </w:p>
  <w:p w14:paraId="199634A3">
    <w:pPr>
      <w:pBdr>
        <w:bottom w:val="single" w:color="auto" w:sz="4" w:space="0"/>
      </w:pBdr>
      <w:spacing w:before="13" w:line="18"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234599">
    <w:pPr>
      <w:pBdr>
        <w:bottom w:val="none" w:color="auto" w:sz="0" w:space="0"/>
      </w:pBdr>
      <w:spacing w:before="48" w:line="218" w:lineRule="auto"/>
      <w:jc w:val="center"/>
      <w:rPr>
        <w:rFonts w:ascii="宋体" w:hAnsi="宋体" w:eastAsia="宋体" w:cs="宋体"/>
        <w:sz w:val="18"/>
        <w:szCs w:val="18"/>
        <w:lang w:eastAsia="zh-CN"/>
      </w:rPr>
    </w:pPr>
    <w:r>
      <w:rPr>
        <w:rFonts w:hint="eastAsia" w:ascii="宋体" w:hAnsi="宋体" w:eastAsia="宋体" w:cs="宋体"/>
        <w:spacing w:val="-1"/>
        <w:sz w:val="18"/>
        <w:szCs w:val="18"/>
        <w:lang w:eastAsia="zh-CN"/>
      </w:rPr>
      <w:t>湘潭县怡和顺科技有限公司</w:t>
    </w:r>
    <w:r>
      <w:rPr>
        <w:rFonts w:ascii="宋体" w:hAnsi="宋体" w:eastAsia="宋体" w:cs="宋体"/>
        <w:spacing w:val="-1"/>
        <w:sz w:val="18"/>
        <w:szCs w:val="18"/>
        <w:lang w:eastAsia="zh-CN"/>
      </w:rPr>
      <w:t>入河排污口设置论证报告</w:t>
    </w:r>
  </w:p>
  <w:p w14:paraId="0B1DF400">
    <w:pPr>
      <w:pBdr>
        <w:bottom w:val="single" w:color="auto" w:sz="4" w:space="0"/>
      </w:pBdr>
      <w:spacing w:before="13" w:line="18"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4A8BB">
    <w:pPr>
      <w:pStyle w:val="16"/>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F48E4B"/>
    <w:multiLevelType w:val="multilevel"/>
    <w:tmpl w:val="8AF48E4B"/>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0" w:leftChars="0" w:firstLine="0" w:firstLineChars="0"/>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pStyle w:val="5"/>
      <w:lvlText w:val="%1.%2.%3.%4.%5.%6.%7.%8.%9."/>
      <w:lvlJc w:val="left"/>
      <w:pPr>
        <w:ind w:left="2003" w:hanging="1583"/>
      </w:pPr>
      <w:rPr>
        <w:rFonts w:hint="default"/>
      </w:rPr>
    </w:lvl>
  </w:abstractNum>
  <w:abstractNum w:abstractNumId="1">
    <w:nsid w:val="64304732"/>
    <w:multiLevelType w:val="multilevel"/>
    <w:tmpl w:val="64304732"/>
    <w:lvl w:ilvl="0" w:tentative="0">
      <w:start w:val="1"/>
      <w:numFmt w:val="decimal"/>
      <w:suff w:val="space"/>
      <w:lvlText w:val="%1"/>
      <w:lvlJc w:val="left"/>
      <w:pPr>
        <w:ind w:left="2552" w:firstLine="0"/>
      </w:pPr>
      <w:rPr>
        <w:rFonts w:hint="eastAsia"/>
        <w:sz w:val="32"/>
        <w:szCs w:val="32"/>
      </w:rPr>
    </w:lvl>
    <w:lvl w:ilvl="1" w:tentative="0">
      <w:start w:val="1"/>
      <w:numFmt w:val="decimal"/>
      <w:pStyle w:val="63"/>
      <w:suff w:val="space"/>
      <w:lvlText w:val="%1.%2"/>
      <w:lvlJc w:val="left"/>
      <w:pPr>
        <w:ind w:left="0" w:firstLine="425"/>
      </w:pPr>
      <w:rPr>
        <w:rFonts w:hint="eastAsia"/>
      </w:rPr>
    </w:lvl>
    <w:lvl w:ilvl="2" w:tentative="0">
      <w:start w:val="1"/>
      <w:numFmt w:val="decimal"/>
      <w:pStyle w:val="58"/>
      <w:suff w:val="space"/>
      <w:lvlText w:val="%1.%2.%3"/>
      <w:lvlJc w:val="left"/>
      <w:pPr>
        <w:ind w:left="0" w:firstLine="851"/>
      </w:pPr>
      <w:rPr>
        <w:rFonts w:hint="eastAsia"/>
      </w:rPr>
    </w:lvl>
    <w:lvl w:ilvl="3" w:tentative="0">
      <w:start w:val="1"/>
      <w:numFmt w:val="decimal"/>
      <w:suff w:val="space"/>
      <w:lvlText w:val="%1.%2.%3.%4"/>
      <w:lvlJc w:val="left"/>
      <w:pPr>
        <w:ind w:left="568" w:firstLine="1276"/>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HorizontalSpacing w:val="210"/>
  <w:drawingGridVerticalSpacing w:val="99999990"/>
  <w:displayHorizontalDrawingGridEvery w:val="1"/>
  <w:displayVerticalDrawingGridEvery w:val="1"/>
  <w:noPunctuationKerning w:val="1"/>
  <w:characterSpacingControl w:val="doNotCompress"/>
  <w:compat>
    <w:spaceForUL/>
    <w:ulTrailSpace/>
    <w:doNotExpandShiftReturn/>
    <w:doNotWrapTextWithPunct/>
    <w:doNotUseEastAsianBreakRules/>
    <w:useFELayout/>
    <w:compatSetting w:name="compatibilityMode" w:uri="http://schemas.microsoft.com/office/word" w:val="14"/>
  </w:compat>
  <w:rsids>
    <w:rsidRoot w:val="00F00093"/>
    <w:rsid w:val="00052E93"/>
    <w:rsid w:val="0006720E"/>
    <w:rsid w:val="001E33AE"/>
    <w:rsid w:val="007402CA"/>
    <w:rsid w:val="00E56312"/>
    <w:rsid w:val="00ED754F"/>
    <w:rsid w:val="00EE1043"/>
    <w:rsid w:val="00EE5B2B"/>
    <w:rsid w:val="00F00093"/>
    <w:rsid w:val="00F622A7"/>
    <w:rsid w:val="019329D2"/>
    <w:rsid w:val="01A95E0E"/>
    <w:rsid w:val="022655F4"/>
    <w:rsid w:val="0236335D"/>
    <w:rsid w:val="045E5799"/>
    <w:rsid w:val="04CB4231"/>
    <w:rsid w:val="06502C30"/>
    <w:rsid w:val="065909ED"/>
    <w:rsid w:val="06852737"/>
    <w:rsid w:val="07343C48"/>
    <w:rsid w:val="07E20A04"/>
    <w:rsid w:val="07F95559"/>
    <w:rsid w:val="090767B2"/>
    <w:rsid w:val="0A7B04A7"/>
    <w:rsid w:val="0B8E5780"/>
    <w:rsid w:val="0BD36947"/>
    <w:rsid w:val="0BE35853"/>
    <w:rsid w:val="0DAF74FA"/>
    <w:rsid w:val="0DD56120"/>
    <w:rsid w:val="0EA948B2"/>
    <w:rsid w:val="0F7066E0"/>
    <w:rsid w:val="105E064F"/>
    <w:rsid w:val="10CD6A2A"/>
    <w:rsid w:val="11103C0E"/>
    <w:rsid w:val="11BC7B13"/>
    <w:rsid w:val="13491641"/>
    <w:rsid w:val="13734411"/>
    <w:rsid w:val="13E512E7"/>
    <w:rsid w:val="13FD6CB2"/>
    <w:rsid w:val="14215C1B"/>
    <w:rsid w:val="15461A98"/>
    <w:rsid w:val="196C5C41"/>
    <w:rsid w:val="19E27BFB"/>
    <w:rsid w:val="1AA36FC3"/>
    <w:rsid w:val="1ADC760E"/>
    <w:rsid w:val="1B4C7393"/>
    <w:rsid w:val="1BC23B97"/>
    <w:rsid w:val="1E702924"/>
    <w:rsid w:val="1F1C3BAF"/>
    <w:rsid w:val="1F610EC2"/>
    <w:rsid w:val="208A4B48"/>
    <w:rsid w:val="20D451E9"/>
    <w:rsid w:val="21725A32"/>
    <w:rsid w:val="217C077F"/>
    <w:rsid w:val="21EF1F2E"/>
    <w:rsid w:val="23385CD8"/>
    <w:rsid w:val="23BE1434"/>
    <w:rsid w:val="242B03F0"/>
    <w:rsid w:val="2496464E"/>
    <w:rsid w:val="26B93247"/>
    <w:rsid w:val="270B306B"/>
    <w:rsid w:val="278D023C"/>
    <w:rsid w:val="27EE1E60"/>
    <w:rsid w:val="27F84A8D"/>
    <w:rsid w:val="283320F5"/>
    <w:rsid w:val="2A0868FC"/>
    <w:rsid w:val="2A95764F"/>
    <w:rsid w:val="2C5D5A7F"/>
    <w:rsid w:val="2C6F43DA"/>
    <w:rsid w:val="2CBF201D"/>
    <w:rsid w:val="2CC45575"/>
    <w:rsid w:val="2D811081"/>
    <w:rsid w:val="2DC35A21"/>
    <w:rsid w:val="30BE7425"/>
    <w:rsid w:val="30E2324E"/>
    <w:rsid w:val="319738C6"/>
    <w:rsid w:val="31E41CE9"/>
    <w:rsid w:val="31F82F08"/>
    <w:rsid w:val="32366270"/>
    <w:rsid w:val="33B977C6"/>
    <w:rsid w:val="34196C14"/>
    <w:rsid w:val="34567FB6"/>
    <w:rsid w:val="34713BFD"/>
    <w:rsid w:val="34CB24D2"/>
    <w:rsid w:val="35047D4E"/>
    <w:rsid w:val="35E51AC8"/>
    <w:rsid w:val="36E82AE7"/>
    <w:rsid w:val="388B5C55"/>
    <w:rsid w:val="38CC12A7"/>
    <w:rsid w:val="38F44DFD"/>
    <w:rsid w:val="39372012"/>
    <w:rsid w:val="39597B8B"/>
    <w:rsid w:val="39A607ED"/>
    <w:rsid w:val="3A331955"/>
    <w:rsid w:val="3BD66A3C"/>
    <w:rsid w:val="3E450F15"/>
    <w:rsid w:val="3E5D1892"/>
    <w:rsid w:val="3EE33949"/>
    <w:rsid w:val="3FDA4D4C"/>
    <w:rsid w:val="402D7572"/>
    <w:rsid w:val="41FA16D6"/>
    <w:rsid w:val="42BF46CD"/>
    <w:rsid w:val="430F11B1"/>
    <w:rsid w:val="43B96621"/>
    <w:rsid w:val="44496399"/>
    <w:rsid w:val="446E451C"/>
    <w:rsid w:val="4678706D"/>
    <w:rsid w:val="47FE35A2"/>
    <w:rsid w:val="492527F1"/>
    <w:rsid w:val="49CF169A"/>
    <w:rsid w:val="49D015B5"/>
    <w:rsid w:val="4A3C683E"/>
    <w:rsid w:val="4A663758"/>
    <w:rsid w:val="4A8325D3"/>
    <w:rsid w:val="4A8C4165"/>
    <w:rsid w:val="4A9B157C"/>
    <w:rsid w:val="4AA7341E"/>
    <w:rsid w:val="4B29302C"/>
    <w:rsid w:val="4B441C14"/>
    <w:rsid w:val="4B903407"/>
    <w:rsid w:val="4CE36B50"/>
    <w:rsid w:val="4DD76D6F"/>
    <w:rsid w:val="4E68307E"/>
    <w:rsid w:val="4F0911AA"/>
    <w:rsid w:val="4FDD1C15"/>
    <w:rsid w:val="4FE27EF7"/>
    <w:rsid w:val="51E0609D"/>
    <w:rsid w:val="53845FD9"/>
    <w:rsid w:val="53CF46F1"/>
    <w:rsid w:val="55EA2356"/>
    <w:rsid w:val="56703015"/>
    <w:rsid w:val="5705494D"/>
    <w:rsid w:val="587F24DD"/>
    <w:rsid w:val="5890533D"/>
    <w:rsid w:val="598633F7"/>
    <w:rsid w:val="59B05676"/>
    <w:rsid w:val="59EE791A"/>
    <w:rsid w:val="5A5A124E"/>
    <w:rsid w:val="5AAB649D"/>
    <w:rsid w:val="5DF748C4"/>
    <w:rsid w:val="5E055233"/>
    <w:rsid w:val="5F351942"/>
    <w:rsid w:val="5F8B54A4"/>
    <w:rsid w:val="5FAD0307"/>
    <w:rsid w:val="60194FC5"/>
    <w:rsid w:val="60353F9F"/>
    <w:rsid w:val="60432529"/>
    <w:rsid w:val="61596339"/>
    <w:rsid w:val="61C422C8"/>
    <w:rsid w:val="63625E45"/>
    <w:rsid w:val="65815AE7"/>
    <w:rsid w:val="65B55FAF"/>
    <w:rsid w:val="65C309DB"/>
    <w:rsid w:val="65E120E1"/>
    <w:rsid w:val="65E56BE1"/>
    <w:rsid w:val="667F18FA"/>
    <w:rsid w:val="668A09CB"/>
    <w:rsid w:val="66D439F4"/>
    <w:rsid w:val="67CD611A"/>
    <w:rsid w:val="6A0F116C"/>
    <w:rsid w:val="6B6B39F8"/>
    <w:rsid w:val="6BE82315"/>
    <w:rsid w:val="6C900281"/>
    <w:rsid w:val="6D3D73C4"/>
    <w:rsid w:val="6D9126D1"/>
    <w:rsid w:val="6DDC04A0"/>
    <w:rsid w:val="6DEE0655"/>
    <w:rsid w:val="6EFE4E26"/>
    <w:rsid w:val="6F5A4CB2"/>
    <w:rsid w:val="6F8C7562"/>
    <w:rsid w:val="708A1EC4"/>
    <w:rsid w:val="71263826"/>
    <w:rsid w:val="71810C1C"/>
    <w:rsid w:val="720F6228"/>
    <w:rsid w:val="723143F0"/>
    <w:rsid w:val="72B312A9"/>
    <w:rsid w:val="72DC25AE"/>
    <w:rsid w:val="73B82676"/>
    <w:rsid w:val="73C25A46"/>
    <w:rsid w:val="73F21F58"/>
    <w:rsid w:val="73FB367D"/>
    <w:rsid w:val="74A0585D"/>
    <w:rsid w:val="75123794"/>
    <w:rsid w:val="7598653C"/>
    <w:rsid w:val="77204A34"/>
    <w:rsid w:val="77A2369A"/>
    <w:rsid w:val="78453AE9"/>
    <w:rsid w:val="78760A0D"/>
    <w:rsid w:val="78FB7506"/>
    <w:rsid w:val="7B67476B"/>
    <w:rsid w:val="7BF72207"/>
    <w:rsid w:val="7CAA54CB"/>
    <w:rsid w:val="7D006E99"/>
    <w:rsid w:val="7D733B0F"/>
    <w:rsid w:val="7DC352F9"/>
    <w:rsid w:val="7E5974A1"/>
    <w:rsid w:val="7F46479C"/>
    <w:rsid w:val="8FFE95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keepLines/>
      <w:jc w:val="center"/>
      <w:outlineLvl w:val="0"/>
    </w:pPr>
    <w:rPr>
      <w:bCs/>
      <w:kern w:val="44"/>
      <w:sz w:val="21"/>
      <w:szCs w:val="44"/>
      <w:lang w:val="en-US" w:eastAsia="zh-CN" w:bidi="ar-SA"/>
    </w:rPr>
  </w:style>
  <w:style w:type="paragraph" w:styleId="3">
    <w:name w:val="heading 2"/>
    <w:basedOn w:val="1"/>
    <w:next w:val="1"/>
    <w:qFormat/>
    <w:uiPriority w:val="0"/>
    <w:pPr>
      <w:keepNext/>
      <w:keepLines/>
      <w:tabs>
        <w:tab w:val="left" w:pos="360"/>
        <w:tab w:val="left" w:pos="432"/>
      </w:tabs>
      <w:spacing w:before="260" w:after="260" w:line="413" w:lineRule="auto"/>
      <w:outlineLvl w:val="1"/>
    </w:pPr>
    <w:rPr>
      <w:b/>
      <w:bCs/>
      <w:sz w:val="28"/>
      <w:szCs w:val="32"/>
    </w:rPr>
  </w:style>
  <w:style w:type="paragraph" w:styleId="4">
    <w:name w:val="heading 3"/>
    <w:basedOn w:val="1"/>
    <w:next w:val="1"/>
    <w:qFormat/>
    <w:uiPriority w:val="0"/>
    <w:pPr>
      <w:keepNext/>
      <w:keepLines/>
      <w:spacing w:before="20" w:after="20"/>
      <w:outlineLvl w:val="2"/>
    </w:pPr>
    <w:rPr>
      <w:rFonts w:ascii="Calibri" w:hAnsi="Calibri"/>
      <w:b/>
      <w:sz w:val="24"/>
    </w:rPr>
  </w:style>
  <w:style w:type="paragraph" w:styleId="5">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table of authorities"/>
    <w:basedOn w:val="1"/>
    <w:next w:val="1"/>
    <w:qFormat/>
    <w:uiPriority w:val="0"/>
    <w:pPr>
      <w:ind w:left="420" w:leftChars="200"/>
    </w:pPr>
  </w:style>
  <w:style w:type="paragraph" w:styleId="7">
    <w:name w:val="Normal Indent"/>
    <w:basedOn w:val="1"/>
    <w:next w:val="1"/>
    <w:qFormat/>
    <w:uiPriority w:val="0"/>
    <w:pPr>
      <w:ind w:firstLine="420"/>
    </w:pPr>
    <w:rPr>
      <w:szCs w:val="20"/>
    </w:rPr>
  </w:style>
  <w:style w:type="paragraph" w:styleId="8">
    <w:name w:val="annotation text"/>
    <w:basedOn w:val="1"/>
    <w:semiHidden/>
    <w:qFormat/>
    <w:uiPriority w:val="0"/>
    <w:rPr>
      <w:sz w:val="24"/>
      <w:szCs w:val="20"/>
    </w:rPr>
  </w:style>
  <w:style w:type="paragraph" w:styleId="9">
    <w:name w:val="Body Text"/>
    <w:basedOn w:val="1"/>
    <w:next w:val="10"/>
    <w:semiHidden/>
    <w:qFormat/>
    <w:uiPriority w:val="0"/>
  </w:style>
  <w:style w:type="paragraph" w:customStyle="1" w:styleId="10">
    <w:name w:val="xl27"/>
    <w:basedOn w:val="6"/>
    <w:qFormat/>
    <w:uiPriority w:val="0"/>
    <w:pPr>
      <w:pBdr>
        <w:bottom w:val="single" w:color="auto" w:sz="12" w:space="0"/>
      </w:pBdr>
      <w:spacing w:before="100" w:after="100"/>
      <w:jc w:val="center"/>
    </w:pPr>
    <w:rPr>
      <w:rFonts w:ascii="宋体" w:hAnsi="宋体"/>
      <w:szCs w:val="20"/>
    </w:rPr>
  </w:style>
  <w:style w:type="paragraph" w:styleId="11">
    <w:name w:val="Body Text Indent"/>
    <w:basedOn w:val="1"/>
    <w:qFormat/>
    <w:uiPriority w:val="0"/>
    <w:pPr>
      <w:spacing w:after="120"/>
      <w:ind w:left="420" w:leftChars="200"/>
    </w:pPr>
    <w:rPr>
      <w:sz w:val="24"/>
      <w:szCs w:val="20"/>
    </w:rPr>
  </w:style>
  <w:style w:type="paragraph" w:styleId="12">
    <w:name w:val="toc 3"/>
    <w:basedOn w:val="1"/>
    <w:next w:val="1"/>
    <w:qFormat/>
    <w:uiPriority w:val="0"/>
    <w:pPr>
      <w:ind w:left="840" w:leftChars="400"/>
    </w:pPr>
  </w:style>
  <w:style w:type="paragraph" w:styleId="13">
    <w:name w:val="Plain Text"/>
    <w:basedOn w:val="1"/>
    <w:next w:val="1"/>
    <w:qFormat/>
    <w:uiPriority w:val="0"/>
    <w:rPr>
      <w:rFonts w:ascii="宋体" w:hAnsi="Courier New" w:cs="Courier New"/>
    </w:rPr>
  </w:style>
  <w:style w:type="paragraph" w:styleId="14">
    <w:name w:val="Balloon Text"/>
    <w:basedOn w:val="1"/>
    <w:link w:val="46"/>
    <w:qFormat/>
    <w:uiPriority w:val="0"/>
    <w:rPr>
      <w:sz w:val="18"/>
      <w:szCs w:val="18"/>
    </w:rPr>
  </w:style>
  <w:style w:type="paragraph" w:styleId="15">
    <w:name w:val="footer"/>
    <w:basedOn w:val="1"/>
    <w:qFormat/>
    <w:uiPriority w:val="0"/>
    <w:pPr>
      <w:tabs>
        <w:tab w:val="center" w:pos="4153"/>
        <w:tab w:val="right" w:pos="8306"/>
      </w:tabs>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7">
    <w:name w:val="toc 1"/>
    <w:basedOn w:val="1"/>
    <w:next w:val="1"/>
    <w:qFormat/>
    <w:uiPriority w:val="0"/>
  </w:style>
  <w:style w:type="paragraph" w:styleId="18">
    <w:name w:val="table of figures"/>
    <w:basedOn w:val="1"/>
    <w:next w:val="1"/>
    <w:qFormat/>
    <w:uiPriority w:val="0"/>
    <w:pPr>
      <w:jc w:val="center"/>
    </w:pPr>
    <w:rPr>
      <w:b/>
    </w:rPr>
  </w:style>
  <w:style w:type="paragraph" w:styleId="19">
    <w:name w:val="toc 2"/>
    <w:basedOn w:val="1"/>
    <w:next w:val="1"/>
    <w:qFormat/>
    <w:uiPriority w:val="0"/>
    <w:pPr>
      <w:ind w:left="420" w:leftChars="200"/>
    </w:pPr>
  </w:style>
  <w:style w:type="paragraph" w:styleId="20">
    <w:name w:val="Normal (Web)"/>
    <w:basedOn w:val="1"/>
    <w:qFormat/>
    <w:uiPriority w:val="0"/>
    <w:pPr>
      <w:spacing w:before="100" w:beforeAutospacing="1" w:after="100" w:afterAutospacing="1"/>
    </w:pPr>
    <w:rPr>
      <w:rFonts w:ascii="宋体" w:hAnsi="宋体"/>
      <w:sz w:val="24"/>
      <w:szCs w:val="20"/>
    </w:rPr>
  </w:style>
  <w:style w:type="paragraph" w:styleId="21">
    <w:name w:val="Title"/>
    <w:basedOn w:val="1"/>
    <w:next w:val="1"/>
    <w:qFormat/>
    <w:uiPriority w:val="0"/>
    <w:pPr>
      <w:jc w:val="center"/>
    </w:pPr>
    <w:rPr>
      <w:rFonts w:ascii="Cambria" w:hAnsi="Cambria"/>
      <w:b/>
      <w:bCs/>
      <w:szCs w:val="32"/>
    </w:rPr>
  </w:style>
  <w:style w:type="paragraph" w:styleId="22">
    <w:name w:val="Body Text First Indent"/>
    <w:basedOn w:val="9"/>
    <w:qFormat/>
    <w:uiPriority w:val="0"/>
    <w:pPr>
      <w:spacing w:after="120"/>
      <w:ind w:firstLine="420" w:firstLineChars="100"/>
    </w:pPr>
  </w:style>
  <w:style w:type="paragraph" w:styleId="23">
    <w:name w:val="Body Text First Indent 2"/>
    <w:basedOn w:val="11"/>
    <w:qFormat/>
    <w:uiPriority w:val="0"/>
    <w:pPr>
      <w:tabs>
        <w:tab w:val="left" w:pos="540"/>
      </w:tabs>
      <w:ind w:firstLine="420" w:firstLineChars="200"/>
    </w:pPr>
    <w:rPr>
      <w:sz w:val="21"/>
    </w:rPr>
  </w:style>
  <w:style w:type="table" w:styleId="25">
    <w:name w:val="Table Grid"/>
    <w:basedOn w:val="2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basedOn w:val="26"/>
    <w:qFormat/>
    <w:uiPriority w:val="0"/>
    <w:rPr>
      <w:b/>
    </w:rPr>
  </w:style>
  <w:style w:type="table" w:customStyle="1" w:styleId="28">
    <w:name w:val="Table Normal"/>
    <w:semiHidden/>
    <w:unhideWhenUsed/>
    <w:qFormat/>
    <w:uiPriority w:val="0"/>
    <w:tblPr>
      <w:tblCellMar>
        <w:top w:w="0" w:type="dxa"/>
        <w:left w:w="0" w:type="dxa"/>
        <w:bottom w:w="0" w:type="dxa"/>
        <w:right w:w="0" w:type="dxa"/>
      </w:tblCellMar>
    </w:tblPr>
  </w:style>
  <w:style w:type="paragraph" w:customStyle="1" w:styleId="29">
    <w:name w:val="Table Text"/>
    <w:basedOn w:val="1"/>
    <w:semiHidden/>
    <w:qFormat/>
    <w:uiPriority w:val="0"/>
    <w:rPr>
      <w:rFonts w:ascii="宋体" w:hAnsi="宋体" w:eastAsia="宋体" w:cs="宋体"/>
      <w:sz w:val="20"/>
      <w:szCs w:val="20"/>
    </w:rPr>
  </w:style>
  <w:style w:type="paragraph" w:customStyle="1" w:styleId="30">
    <w:name w:val="正文首行"/>
    <w:basedOn w:val="7"/>
    <w:qFormat/>
    <w:uiPriority w:val="0"/>
    <w:pPr>
      <w:spacing w:line="440" w:lineRule="exact"/>
      <w:ind w:firstLine="1440" w:firstLineChars="200"/>
    </w:pPr>
    <w:rPr>
      <w:sz w:val="24"/>
    </w:rPr>
  </w:style>
  <w:style w:type="paragraph" w:customStyle="1" w:styleId="31">
    <w:name w:val="表头"/>
    <w:basedOn w:val="32"/>
    <w:next w:val="1"/>
    <w:link w:val="33"/>
    <w:qFormat/>
    <w:uiPriority w:val="0"/>
    <w:rPr>
      <w:b/>
      <w:spacing w:val="6"/>
      <w:szCs w:val="24"/>
    </w:rPr>
  </w:style>
  <w:style w:type="paragraph" w:customStyle="1" w:styleId="32">
    <w:name w:val="样式1"/>
    <w:basedOn w:val="1"/>
    <w:qFormat/>
    <w:uiPriority w:val="0"/>
    <w:pPr>
      <w:spacing w:after="40" w:line="300" w:lineRule="atLeast"/>
      <w:jc w:val="center"/>
      <w:outlineLvl w:val="2"/>
    </w:pPr>
    <w:rPr>
      <w:rFonts w:eastAsia="楷体_GB2312"/>
      <w:szCs w:val="20"/>
    </w:rPr>
  </w:style>
  <w:style w:type="character" w:customStyle="1" w:styleId="33">
    <w:name w:val="表头 Char"/>
    <w:link w:val="31"/>
    <w:qFormat/>
    <w:uiPriority w:val="0"/>
    <w:rPr>
      <w:b/>
      <w:spacing w:val="6"/>
      <w:szCs w:val="24"/>
    </w:rPr>
  </w:style>
  <w:style w:type="paragraph" w:customStyle="1" w:styleId="34">
    <w:name w:val="报告正文"/>
    <w:basedOn w:val="1"/>
    <w:qFormat/>
    <w:uiPriority w:val="0"/>
    <w:pPr>
      <w:spacing w:line="360" w:lineRule="auto"/>
      <w:ind w:firstLine="200" w:firstLineChars="200"/>
    </w:pPr>
    <w:rPr>
      <w:sz w:val="24"/>
    </w:rPr>
  </w:style>
  <w:style w:type="paragraph" w:customStyle="1" w:styleId="35">
    <w:name w:val="报告书正文 Char Char Char"/>
    <w:basedOn w:val="1"/>
    <w:qFormat/>
    <w:uiPriority w:val="0"/>
    <w:pPr>
      <w:spacing w:line="300" w:lineRule="auto"/>
      <w:ind w:firstLine="480" w:firstLineChars="200"/>
    </w:pPr>
    <w:rPr>
      <w:rFonts w:ascii="宋体" w:hAnsi="宋体"/>
      <w:sz w:val="24"/>
      <w:szCs w:val="20"/>
    </w:rPr>
  </w:style>
  <w:style w:type="paragraph" w:customStyle="1" w:styleId="36">
    <w:name w:val="1正文"/>
    <w:basedOn w:val="13"/>
    <w:qFormat/>
    <w:uiPriority w:val="0"/>
    <w:pPr>
      <w:snapToGrid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37">
    <w:name w:val="图表标题"/>
    <w:basedOn w:val="18"/>
    <w:next w:val="38"/>
    <w:qFormat/>
    <w:uiPriority w:val="0"/>
    <w:pPr>
      <w:outlineLvl w:val="4"/>
    </w:pPr>
    <w:rPr>
      <w:bCs/>
    </w:rPr>
  </w:style>
  <w:style w:type="paragraph" w:customStyle="1" w:styleId="38">
    <w:name w:val="表格"/>
    <w:basedOn w:val="31"/>
    <w:next w:val="1"/>
    <w:qFormat/>
    <w:uiPriority w:val="0"/>
    <w:pPr>
      <w:spacing w:beforeLines="10" w:afterLines="10" w:line="259" w:lineRule="auto"/>
      <w:jc w:val="center"/>
    </w:pPr>
    <w:rPr>
      <w:rFonts w:ascii="宋体"/>
    </w:rPr>
  </w:style>
  <w:style w:type="paragraph" w:customStyle="1" w:styleId="39">
    <w:name w:val="Table Paragraph"/>
    <w:basedOn w:val="1"/>
    <w:qFormat/>
    <w:uiPriority w:val="1"/>
    <w:rPr>
      <w:rFonts w:ascii="宋体" w:hAnsi="宋体" w:cs="宋体"/>
      <w:lang w:val="zh-CN" w:bidi="zh-CN"/>
    </w:rPr>
  </w:style>
  <w:style w:type="paragraph" w:customStyle="1" w:styleId="40">
    <w:name w:val="Default"/>
    <w:basedOn w:val="41"/>
    <w:next w:val="23"/>
    <w:qFormat/>
    <w:uiPriority w:val="99"/>
    <w:rPr>
      <w:rFonts w:hAnsi="宋体" w:cs="宋体"/>
      <w:sz w:val="24"/>
    </w:rPr>
  </w:style>
  <w:style w:type="paragraph" w:customStyle="1" w:styleId="41">
    <w:name w:val="纯文本1"/>
    <w:basedOn w:val="1"/>
    <w:qFormat/>
    <w:uiPriority w:val="0"/>
    <w:rPr>
      <w:rFonts w:ascii="宋体" w:hAnsi="Courier New"/>
    </w:rPr>
  </w:style>
  <w:style w:type="paragraph" w:customStyle="1" w:styleId="42">
    <w:name w:val="Default1"/>
    <w:basedOn w:val="43"/>
    <w:qFormat/>
    <w:uiPriority w:val="0"/>
    <w:pPr>
      <w:widowControl w:val="0"/>
      <w:autoSpaceDE w:val="0"/>
      <w:autoSpaceDN w:val="0"/>
      <w:adjustRightInd w:val="0"/>
    </w:pPr>
    <w:rPr>
      <w:rFonts w:ascii="宋体" w:eastAsia="宋体" w:cs="宋体"/>
      <w:color w:val="000000"/>
      <w:sz w:val="24"/>
      <w:szCs w:val="24"/>
      <w:lang w:val="en-US" w:eastAsia="zh-CN"/>
    </w:rPr>
  </w:style>
  <w:style w:type="paragraph" w:customStyle="1" w:styleId="43">
    <w:name w:val="Normal_14_0"/>
    <w:qFormat/>
    <w:uiPriority w:val="0"/>
    <w:pPr>
      <w:spacing w:before="120" w:after="240"/>
      <w:jc w:val="both"/>
    </w:pPr>
    <w:rPr>
      <w:rFonts w:ascii="Calibri" w:hAnsi="Calibri" w:eastAsia="Calibri" w:cs="Times New Roman"/>
      <w:sz w:val="22"/>
      <w:szCs w:val="22"/>
      <w:lang w:val="ru-RU" w:eastAsia="en-US" w:bidi="ar-SA"/>
    </w:rPr>
  </w:style>
  <w:style w:type="paragraph" w:customStyle="1" w:styleId="44">
    <w:name w:val="S报告正文"/>
    <w:basedOn w:val="1"/>
    <w:qFormat/>
    <w:uiPriority w:val="0"/>
    <w:pPr>
      <w:spacing w:line="480" w:lineRule="exact"/>
      <w:ind w:firstLine="510"/>
    </w:pPr>
  </w:style>
  <w:style w:type="paragraph" w:styleId="45">
    <w:name w:val="List Paragraph"/>
    <w:basedOn w:val="1"/>
    <w:qFormat/>
    <w:uiPriority w:val="99"/>
    <w:pPr>
      <w:ind w:firstLine="420"/>
    </w:pPr>
  </w:style>
  <w:style w:type="character" w:customStyle="1" w:styleId="46">
    <w:name w:val="批注框文本 Char"/>
    <w:basedOn w:val="26"/>
    <w:link w:val="14"/>
    <w:qFormat/>
    <w:uiPriority w:val="0"/>
    <w:rPr>
      <w:rFonts w:ascii="Arial" w:hAnsi="Arial" w:eastAsia="Arial" w:cs="Arial"/>
      <w:snapToGrid w:val="0"/>
      <w:color w:val="000000"/>
      <w:sz w:val="18"/>
      <w:szCs w:val="18"/>
      <w:lang w:eastAsia="en-US"/>
    </w:rPr>
  </w:style>
  <w:style w:type="paragraph" w:customStyle="1" w:styleId="47">
    <w:name w:val="3标题"/>
    <w:basedOn w:val="1"/>
    <w:qFormat/>
    <w:uiPriority w:val="0"/>
    <w:pPr>
      <w:tabs>
        <w:tab w:val="left" w:pos="709"/>
      </w:tabs>
      <w:spacing w:before="50" w:beforeLines="50" w:after="50" w:afterLines="50" w:line="360" w:lineRule="auto"/>
      <w:jc w:val="left"/>
      <w:outlineLvl w:val="2"/>
    </w:pPr>
    <w:rPr>
      <w:rFonts w:eastAsia="黑体"/>
      <w:b/>
      <w:sz w:val="28"/>
      <w:szCs w:val="28"/>
    </w:rPr>
  </w:style>
  <w:style w:type="paragraph" w:customStyle="1" w:styleId="48">
    <w:name w:val="1表头"/>
    <w:basedOn w:val="1"/>
    <w:qFormat/>
    <w:uiPriority w:val="0"/>
    <w:pPr>
      <w:snapToGrid w:val="0"/>
      <w:spacing w:line="360" w:lineRule="auto"/>
      <w:jc w:val="center"/>
    </w:pPr>
    <w:rPr>
      <w:b/>
      <w:szCs w:val="24"/>
    </w:rPr>
  </w:style>
  <w:style w:type="paragraph" w:styleId="49">
    <w:name w:val="No Spacing"/>
    <w:next w:val="1"/>
    <w:qFormat/>
    <w:uiPriority w:val="1"/>
    <w:pPr>
      <w:widowControl w:val="0"/>
      <w:jc w:val="both"/>
    </w:pPr>
    <w:rPr>
      <w:rFonts w:ascii="Calibri" w:hAnsi="Calibri" w:eastAsia="宋体" w:cs="Times New Roman"/>
      <w:kern w:val="2"/>
      <w:sz w:val="21"/>
      <w:szCs w:val="22"/>
      <w:lang w:val="en-US" w:eastAsia="zh-CN" w:bidi="ar-SA"/>
    </w:rPr>
  </w:style>
  <w:style w:type="paragraph" w:customStyle="1" w:styleId="50">
    <w:name w:val="正文1"/>
    <w:basedOn w:val="1"/>
    <w:qFormat/>
    <w:uiPriority w:val="0"/>
    <w:pPr>
      <w:adjustRightInd w:val="0"/>
      <w:spacing w:line="312" w:lineRule="auto"/>
      <w:ind w:firstLine="567"/>
      <w:textAlignment w:val="baseline"/>
    </w:pPr>
    <w:rPr>
      <w:rFonts w:ascii="宋体"/>
      <w:spacing w:val="6"/>
      <w:kern w:val="0"/>
      <w:sz w:val="28"/>
    </w:rPr>
  </w:style>
  <w:style w:type="paragraph" w:customStyle="1" w:styleId="51">
    <w:name w:val="1表格内容"/>
    <w:basedOn w:val="36"/>
    <w:qFormat/>
    <w:uiPriority w:val="0"/>
    <w:pPr>
      <w:spacing w:line="240" w:lineRule="auto"/>
      <w:ind w:firstLine="0" w:firstLineChars="0"/>
      <w:jc w:val="center"/>
    </w:pPr>
    <w:rPr>
      <w:sz w:val="21"/>
      <w:szCs w:val="28"/>
    </w:rPr>
  </w:style>
  <w:style w:type="paragraph" w:customStyle="1" w:styleId="52">
    <w:name w:val="表格文字"/>
    <w:basedOn w:val="22"/>
    <w:qFormat/>
    <w:uiPriority w:val="0"/>
    <w:pPr>
      <w:jc w:val="center"/>
    </w:pPr>
    <w:rPr>
      <w:color w:val="FF0000"/>
      <w:szCs w:val="21"/>
    </w:rPr>
  </w:style>
  <w:style w:type="paragraph" w:customStyle="1" w:styleId="53">
    <w:name w:val="正文文本 (2)1"/>
    <w:basedOn w:val="1"/>
    <w:link w:val="55"/>
    <w:qFormat/>
    <w:uiPriority w:val="0"/>
    <w:pPr>
      <w:shd w:val="clear" w:color="auto" w:fill="FFFFFF"/>
      <w:spacing w:before="240" w:line="490" w:lineRule="exact"/>
      <w:jc w:val="left"/>
    </w:pPr>
    <w:rPr>
      <w:rFonts w:ascii="MingLiU" w:eastAsia="MingLiU"/>
      <w:kern w:val="0"/>
      <w:sz w:val="26"/>
      <w:szCs w:val="26"/>
    </w:rPr>
  </w:style>
  <w:style w:type="character" w:customStyle="1" w:styleId="54">
    <w:name w:val="正文文本 (2) + 8.5 pt"/>
    <w:basedOn w:val="55"/>
    <w:qFormat/>
    <w:uiPriority w:val="0"/>
    <w:rPr>
      <w:rFonts w:cs="MingLiU"/>
      <w:sz w:val="17"/>
      <w:szCs w:val="17"/>
      <w:u w:val="none"/>
    </w:rPr>
  </w:style>
  <w:style w:type="character" w:customStyle="1" w:styleId="55">
    <w:name w:val="正文文本 (2)_"/>
    <w:basedOn w:val="26"/>
    <w:link w:val="53"/>
    <w:qFormat/>
    <w:uiPriority w:val="0"/>
    <w:rPr>
      <w:rFonts w:ascii="MingLiU" w:eastAsia="MingLiU"/>
      <w:kern w:val="0"/>
      <w:sz w:val="26"/>
      <w:szCs w:val="26"/>
    </w:rPr>
  </w:style>
  <w:style w:type="character" w:customStyle="1" w:styleId="56">
    <w:name w:val="正文文本 (2) + 10 pt4"/>
    <w:basedOn w:val="55"/>
    <w:qFormat/>
    <w:uiPriority w:val="0"/>
    <w:rPr>
      <w:rFonts w:hAnsi="MingLiU"/>
      <w:b/>
      <w:bCs/>
      <w:spacing w:val="-20"/>
      <w:sz w:val="20"/>
      <w:szCs w:val="20"/>
    </w:rPr>
  </w:style>
  <w:style w:type="character" w:customStyle="1" w:styleId="57">
    <w:name w:val="正文文本 (2) + 10 pt"/>
    <w:basedOn w:val="55"/>
    <w:qFormat/>
    <w:uiPriority w:val="0"/>
    <w:rPr>
      <w:rFonts w:cs="MingLiU"/>
      <w:b/>
      <w:bCs/>
      <w:sz w:val="20"/>
      <w:szCs w:val="20"/>
      <w:u w:val="none"/>
    </w:rPr>
  </w:style>
  <w:style w:type="paragraph" w:customStyle="1" w:styleId="58">
    <w:name w:val="标题3.3"/>
    <w:basedOn w:val="21"/>
    <w:qFormat/>
    <w:uiPriority w:val="0"/>
    <w:pPr>
      <w:numPr>
        <w:ilvl w:val="2"/>
        <w:numId w:val="2"/>
      </w:numPr>
      <w:outlineLvl w:val="2"/>
    </w:pPr>
  </w:style>
  <w:style w:type="paragraph" w:customStyle="1" w:styleId="59">
    <w:name w:val="标准表内文字"/>
    <w:basedOn w:val="1"/>
    <w:qFormat/>
    <w:uiPriority w:val="0"/>
    <w:pPr>
      <w:adjustRightInd w:val="0"/>
      <w:snapToGrid w:val="0"/>
      <w:jc w:val="center"/>
    </w:pPr>
    <w:rPr>
      <w:bCs/>
      <w:color w:val="000000"/>
      <w:kern w:val="18"/>
      <w:szCs w:val="20"/>
    </w:rPr>
  </w:style>
  <w:style w:type="paragraph" w:customStyle="1" w:styleId="60">
    <w:name w:val="表格内文字"/>
    <w:basedOn w:val="1"/>
    <w:next w:val="1"/>
    <w:qFormat/>
    <w:uiPriority w:val="0"/>
    <w:pPr>
      <w:tabs>
        <w:tab w:val="left" w:pos="0"/>
      </w:tabs>
      <w:adjustRightInd w:val="0"/>
      <w:snapToGrid w:val="0"/>
      <w:jc w:val="center"/>
    </w:pPr>
    <w:rPr>
      <w:rFonts w:eastAsia="仿宋_GB2312"/>
      <w:sz w:val="24"/>
      <w:szCs w:val="28"/>
    </w:rPr>
  </w:style>
  <w:style w:type="paragraph" w:customStyle="1" w:styleId="61">
    <w:name w:val="表格格式"/>
    <w:basedOn w:val="1"/>
    <w:qFormat/>
    <w:uiPriority w:val="0"/>
    <w:pPr>
      <w:adjustRightInd w:val="0"/>
      <w:snapToGrid w:val="0"/>
      <w:spacing w:line="240" w:lineRule="auto"/>
      <w:jc w:val="center"/>
    </w:pPr>
    <w:rPr>
      <w:rFonts w:ascii="宋体" w:hAnsi="宋体" w:eastAsia="宋体" w:cs="Times New Roman"/>
      <w:sz w:val="21"/>
      <w:szCs w:val="21"/>
    </w:rPr>
  </w:style>
  <w:style w:type="paragraph" w:customStyle="1" w:styleId="62">
    <w:name w:val="表头格式"/>
    <w:basedOn w:val="1"/>
    <w:qFormat/>
    <w:uiPriority w:val="0"/>
    <w:pPr>
      <w:spacing w:line="240" w:lineRule="auto"/>
      <w:ind w:firstLine="0" w:firstLineChars="0"/>
      <w:jc w:val="center"/>
    </w:pPr>
    <w:rPr>
      <w:rFonts w:hAnsi="宋体"/>
      <w:b/>
      <w:sz w:val="21"/>
      <w:szCs w:val="21"/>
    </w:rPr>
  </w:style>
  <w:style w:type="paragraph" w:customStyle="1" w:styleId="63">
    <w:name w:val="标题2.2"/>
    <w:basedOn w:val="64"/>
    <w:qFormat/>
    <w:uiPriority w:val="0"/>
    <w:pPr>
      <w:numPr>
        <w:ilvl w:val="1"/>
        <w:numId w:val="2"/>
      </w:numPr>
      <w:spacing w:beforeLines="50" w:line="360" w:lineRule="auto"/>
      <w:outlineLvl w:val="1"/>
    </w:pPr>
    <w:rPr>
      <w:rFonts w:eastAsia="宋体"/>
    </w:rPr>
  </w:style>
  <w:style w:type="paragraph" w:customStyle="1" w:styleId="64">
    <w:name w:val="1标题2级"/>
    <w:basedOn w:val="1"/>
    <w:qFormat/>
    <w:uiPriority w:val="0"/>
    <w:pPr>
      <w:keepNext/>
      <w:snapToGrid w:val="0"/>
      <w:spacing w:line="420" w:lineRule="auto"/>
    </w:pPr>
    <w:rPr>
      <w:rFonts w:eastAsia="黑体"/>
      <w:b/>
      <w:sz w:val="30"/>
      <w:szCs w:val="20"/>
    </w:rPr>
  </w:style>
  <w:style w:type="paragraph" w:customStyle="1" w:styleId="65">
    <w:name w:val="样式 小四 首行缩进:  0.85 厘米"/>
    <w:basedOn w:val="1"/>
    <w:qFormat/>
    <w:uiPriority w:val="0"/>
    <w:pPr>
      <w:spacing w:line="360" w:lineRule="auto"/>
      <w:ind w:firstLine="482"/>
    </w:pPr>
    <w:rPr>
      <w:kern w:val="1"/>
      <w:sz w:val="24"/>
    </w:rPr>
  </w:style>
  <w:style w:type="paragraph" w:customStyle="1" w:styleId="66">
    <w:name w:val="表格1"/>
    <w:basedOn w:val="1"/>
    <w:qFormat/>
    <w:uiPriority w:val="0"/>
    <w:pPr>
      <w:tabs>
        <w:tab w:val="left" w:pos="1325"/>
      </w:tabs>
      <w:adjustRightInd w:val="0"/>
      <w:snapToGrid w:val="0"/>
      <w:jc w:val="center"/>
    </w:pPr>
    <w:rPr>
      <w:kern w:val="0"/>
      <w:sz w:val="24"/>
    </w:rPr>
  </w:style>
  <w:style w:type="paragraph" w:customStyle="1" w:styleId="67">
    <w:name w:val="默认段落字体 Para Char Char Char Char Char Char Char"/>
    <w:basedOn w:val="1"/>
    <w:qFormat/>
    <w:uiPriority w:val="0"/>
    <w:rPr>
      <w:rFonts w:ascii="Calibri" w:hAnsi="Calibri"/>
      <w:szCs w:val="22"/>
    </w:rPr>
  </w:style>
  <w:style w:type="paragraph" w:customStyle="1" w:styleId="68">
    <w:name w:val="表格内容"/>
    <w:basedOn w:val="38"/>
    <w:qFormat/>
    <w:uiPriority w:val="99"/>
    <w:pPr>
      <w:tabs>
        <w:tab w:val="left" w:pos="720"/>
        <w:tab w:val="left" w:pos="2040"/>
        <w:tab w:val="left" w:pos="6902"/>
      </w:tabs>
      <w:spacing w:line="240" w:lineRule="atLeast"/>
      <w:jc w:val="center"/>
    </w:pPr>
    <w:rPr>
      <w:szCs w:val="24"/>
    </w:rPr>
  </w:style>
  <w:style w:type="character" w:customStyle="1" w:styleId="69">
    <w:name w:val="font21"/>
    <w:basedOn w:val="26"/>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header" Target="header1.xml"/><Relationship Id="rId29" Type="http://schemas.openxmlformats.org/officeDocument/2006/relationships/image" Target="media/image11.png"/><Relationship Id="rId28" Type="http://schemas.openxmlformats.org/officeDocument/2006/relationships/image" Target="media/image10.png"/><Relationship Id="rId27" Type="http://schemas.openxmlformats.org/officeDocument/2006/relationships/image" Target="media/image9.png"/><Relationship Id="rId26" Type="http://schemas.openxmlformats.org/officeDocument/2006/relationships/image" Target="media/image8.png"/><Relationship Id="rId25" Type="http://schemas.openxmlformats.org/officeDocument/2006/relationships/image" Target="media/image7.wmf"/><Relationship Id="rId24" Type="http://schemas.openxmlformats.org/officeDocument/2006/relationships/oleObject" Target="embeddings/oleObject2.bin"/><Relationship Id="rId23" Type="http://schemas.openxmlformats.org/officeDocument/2006/relationships/image" Target="media/image6.wmf"/><Relationship Id="rId22" Type="http://schemas.openxmlformats.org/officeDocument/2006/relationships/oleObject" Target="embeddings/oleObject1.bin"/><Relationship Id="rId21" Type="http://schemas.openxmlformats.org/officeDocument/2006/relationships/image" Target="media/image5.png"/><Relationship Id="rId20" Type="http://schemas.openxmlformats.org/officeDocument/2006/relationships/image" Target="media/image4.png"/><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10.xml"/><Relationship Id="rId14" Type="http://schemas.openxmlformats.org/officeDocument/2006/relationships/header" Target="header3.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61</Pages>
  <Words>6060</Words>
  <Characters>6794</Characters>
  <Lines>552</Lines>
  <Paragraphs>155</Paragraphs>
  <TotalTime>5</TotalTime>
  <ScaleCrop>false</ScaleCrop>
  <LinksUpToDate>false</LinksUpToDate>
  <CharactersWithSpaces>6932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2025-07-24T23:42:00Z</dcterms:created>
  <dc:creator>2013</dc:creator>
  <cp:lastModifiedBy>WPS_1699257969</cp:lastModifiedBy>
  <dcterms:modified xsi:type="dcterms:W3CDTF">2026-02-09T08:38:16Z</dcterms:modified>
  <dc:title>1、总则</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2025-07-30T10:16:43Z</vt:filetime>
  </property>
  <property fmtid="{D5CDD505-2E9C-101B-9397-08002B2CF9AE}" pid="4" name="KSOTemplateDocerSaveRecord">
    <vt:lpwstr>eyJoZGlkIjoiMjBmMzI3OTUzOTk0YzMwODA0ZDdiOTNiNzZmZGQzYWIiLCJ1c2VySWQiOiIxNTU2NjYwNTMyIn0=</vt:lpwstr>
  </property>
  <property fmtid="{D5CDD505-2E9C-101B-9397-08002B2CF9AE}" pid="5" name="KSOProductBuildVer">
    <vt:lpwstr>2052-12.1.0.25225</vt:lpwstr>
  </property>
  <property fmtid="{D5CDD505-2E9C-101B-9397-08002B2CF9AE}" pid="6" name="ICV">
    <vt:lpwstr>8EF0F9EE8E88485CA932CACB592534E7_13</vt:lpwstr>
  </property>
</Properties>
</file>