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6995D">
      <w:pPr>
        <w:widowControl/>
        <w:rPr>
          <w:rFonts w:ascii="宋体" w:hAnsi="宋体" w:cs="宋体"/>
          <w:kern w:val="0"/>
          <w:sz w:val="24"/>
          <w:szCs w:val="24"/>
        </w:rPr>
      </w:pPr>
      <w:r>
        <w:rPr>
          <w:rFonts w:hint="eastAsia" w:ascii="宋体" w:hAnsi="宋体" w:cs="宋体"/>
          <w:kern w:val="0"/>
          <w:sz w:val="30"/>
          <w:szCs w:val="30"/>
        </w:rPr>
        <w:t>附件3-2：</w:t>
      </w:r>
    </w:p>
    <w:tbl>
      <w:tblPr>
        <w:tblStyle w:val="4"/>
        <w:tblW w:w="9091" w:type="dxa"/>
        <w:tblInd w:w="0" w:type="dxa"/>
        <w:tblLayout w:type="fixed"/>
        <w:tblCellMar>
          <w:top w:w="0" w:type="dxa"/>
          <w:left w:w="15" w:type="dxa"/>
          <w:bottom w:w="0" w:type="dxa"/>
          <w:right w:w="15" w:type="dxa"/>
        </w:tblCellMar>
      </w:tblPr>
      <w:tblGrid>
        <w:gridCol w:w="585"/>
        <w:gridCol w:w="1110"/>
        <w:gridCol w:w="1021"/>
        <w:gridCol w:w="1044"/>
        <w:gridCol w:w="1500"/>
        <w:gridCol w:w="561"/>
        <w:gridCol w:w="314"/>
        <w:gridCol w:w="1082"/>
        <w:gridCol w:w="453"/>
        <w:gridCol w:w="1421"/>
      </w:tblGrid>
      <w:tr w14:paraId="761C0B12">
        <w:tblPrEx>
          <w:tblCellMar>
            <w:top w:w="0" w:type="dxa"/>
            <w:left w:w="15" w:type="dxa"/>
            <w:bottom w:w="0" w:type="dxa"/>
            <w:right w:w="15" w:type="dxa"/>
          </w:tblCellMar>
        </w:tblPrEx>
        <w:trPr>
          <w:trHeight w:val="540" w:hRule="atLeast"/>
        </w:trPr>
        <w:tc>
          <w:tcPr>
            <w:tcW w:w="9091" w:type="dxa"/>
            <w:gridSpan w:val="10"/>
            <w:noWrap/>
            <w:vAlign w:val="center"/>
          </w:tcPr>
          <w:p w14:paraId="0A625BAF">
            <w:pPr>
              <w:autoSpaceDN w:val="0"/>
              <w:jc w:val="center"/>
              <w:textAlignment w:val="center"/>
              <w:rPr>
                <w:rFonts w:ascii="宋体" w:hAnsi="宋体"/>
                <w:b/>
                <w:color w:val="000000"/>
                <w:sz w:val="44"/>
              </w:rPr>
            </w:pPr>
            <w:r>
              <w:rPr>
                <w:rFonts w:ascii="宋体" w:hAnsi="宋体"/>
                <w:b/>
                <w:color w:val="000000"/>
                <w:sz w:val="44"/>
              </w:rPr>
              <w:t>项目支出绩效目标申报表</w:t>
            </w:r>
          </w:p>
        </w:tc>
      </w:tr>
      <w:tr w14:paraId="6ABD43AE">
        <w:tblPrEx>
          <w:tblCellMar>
            <w:top w:w="0" w:type="dxa"/>
            <w:left w:w="15" w:type="dxa"/>
            <w:bottom w:w="0" w:type="dxa"/>
            <w:right w:w="15" w:type="dxa"/>
          </w:tblCellMar>
        </w:tblPrEx>
        <w:trPr>
          <w:trHeight w:val="405" w:hRule="atLeast"/>
        </w:trPr>
        <w:tc>
          <w:tcPr>
            <w:tcW w:w="9091" w:type="dxa"/>
            <w:gridSpan w:val="10"/>
            <w:noWrap/>
            <w:vAlign w:val="center"/>
          </w:tcPr>
          <w:p w14:paraId="0DA39F92">
            <w:pPr>
              <w:autoSpaceDN w:val="0"/>
              <w:jc w:val="center"/>
              <w:textAlignment w:val="center"/>
              <w:rPr>
                <w:rFonts w:ascii="楷体_GB2312" w:hAnsi="楷体_GB2312" w:eastAsia="楷体_GB2312"/>
                <w:color w:val="000000"/>
                <w:sz w:val="32"/>
              </w:rPr>
            </w:pPr>
            <w:r>
              <w:rPr>
                <w:rFonts w:ascii="楷体_GB2312" w:hAnsi="楷体_GB2312" w:eastAsia="楷体_GB2312"/>
                <w:color w:val="000000"/>
                <w:sz w:val="32"/>
              </w:rPr>
              <w:t>（</w:t>
            </w:r>
            <w:r>
              <w:rPr>
                <w:rFonts w:hint="eastAsia" w:ascii="楷体_GB2312" w:hAnsi="楷体_GB2312" w:eastAsia="楷体_GB2312"/>
                <w:color w:val="000000"/>
                <w:sz w:val="32"/>
              </w:rPr>
              <w:t>2026</w:t>
            </w:r>
            <w:r>
              <w:rPr>
                <w:rFonts w:ascii="楷体_GB2312" w:hAnsi="楷体_GB2312" w:eastAsia="楷体_GB2312"/>
                <w:color w:val="000000"/>
                <w:sz w:val="32"/>
              </w:rPr>
              <w:t>年度）</w:t>
            </w:r>
          </w:p>
        </w:tc>
      </w:tr>
      <w:tr w14:paraId="2F231E72">
        <w:tblPrEx>
          <w:tblCellMar>
            <w:top w:w="0" w:type="dxa"/>
            <w:left w:w="15" w:type="dxa"/>
            <w:bottom w:w="0" w:type="dxa"/>
            <w:right w:w="15" w:type="dxa"/>
          </w:tblCellMar>
        </w:tblPrEx>
        <w:trPr>
          <w:trHeight w:val="285" w:hRule="atLeast"/>
        </w:trPr>
        <w:tc>
          <w:tcPr>
            <w:tcW w:w="9091" w:type="dxa"/>
            <w:gridSpan w:val="10"/>
            <w:tcBorders>
              <w:bottom w:val="single" w:color="000000" w:sz="8" w:space="0"/>
            </w:tcBorders>
            <w:noWrap/>
            <w:vAlign w:val="center"/>
          </w:tcPr>
          <w:p w14:paraId="75B308C9">
            <w:pPr>
              <w:autoSpaceDN w:val="0"/>
              <w:jc w:val="left"/>
              <w:textAlignment w:val="center"/>
              <w:rPr>
                <w:rFonts w:ascii="楷体_GB2312" w:hAnsi="楷体_GB2312" w:eastAsia="楷体_GB2312"/>
                <w:color w:val="000000"/>
                <w:sz w:val="24"/>
              </w:rPr>
            </w:pPr>
            <w:r>
              <w:rPr>
                <w:rFonts w:ascii="楷体_GB2312" w:hAnsi="楷体_GB2312" w:eastAsia="楷体_GB2312"/>
                <w:color w:val="000000"/>
                <w:sz w:val="24"/>
              </w:rPr>
              <w:t xml:space="preserve"> 填报单位（盖章）</w:t>
            </w:r>
            <w:r>
              <w:rPr>
                <w:rFonts w:hint="eastAsia" w:ascii="楷体_GB2312" w:hAnsi="楷体_GB2312" w:eastAsia="楷体_GB2312"/>
                <w:color w:val="000000"/>
                <w:sz w:val="24"/>
              </w:rPr>
              <w:t xml:space="preserve">                        </w:t>
            </w:r>
            <w:r>
              <w:rPr>
                <w:rFonts w:ascii="仿宋_GB2312" w:hAnsi="仿宋_GB2312" w:eastAsia="仿宋_GB2312"/>
                <w:color w:val="000000"/>
                <w:sz w:val="24"/>
              </w:rPr>
              <w:t xml:space="preserve">填报日期：   </w:t>
            </w:r>
            <w:r>
              <w:rPr>
                <w:rFonts w:hint="eastAsia" w:ascii="仿宋_GB2312" w:hAnsi="仿宋_GB2312" w:eastAsia="仿宋_GB2312"/>
                <w:color w:val="000000"/>
                <w:sz w:val="24"/>
              </w:rPr>
              <w:t>2026</w:t>
            </w:r>
            <w:r>
              <w:rPr>
                <w:rFonts w:ascii="仿宋_GB2312" w:hAnsi="仿宋_GB2312" w:eastAsia="仿宋_GB2312"/>
                <w:color w:val="000000"/>
                <w:sz w:val="24"/>
              </w:rPr>
              <w:t xml:space="preserve">年 </w:t>
            </w:r>
            <w:r>
              <w:rPr>
                <w:rFonts w:hint="eastAsia" w:ascii="仿宋_GB2312" w:hAnsi="仿宋_GB2312" w:eastAsia="仿宋_GB2312"/>
                <w:color w:val="000000"/>
                <w:sz w:val="24"/>
              </w:rPr>
              <w:t>1</w:t>
            </w:r>
            <w:r>
              <w:rPr>
                <w:rFonts w:ascii="仿宋_GB2312" w:hAnsi="仿宋_GB2312" w:eastAsia="仿宋_GB2312"/>
                <w:color w:val="000000"/>
                <w:sz w:val="24"/>
              </w:rPr>
              <w:t xml:space="preserve"> 月 </w:t>
            </w:r>
            <w:r>
              <w:rPr>
                <w:rFonts w:hint="eastAsia" w:ascii="仿宋_GB2312" w:hAnsi="仿宋_GB2312" w:eastAsia="仿宋_GB2312"/>
                <w:color w:val="000000"/>
                <w:sz w:val="24"/>
              </w:rPr>
              <w:t>6</w:t>
            </w:r>
            <w:r>
              <w:rPr>
                <w:rFonts w:ascii="仿宋_GB2312" w:hAnsi="仿宋_GB2312" w:eastAsia="仿宋_GB2312"/>
                <w:color w:val="000000"/>
                <w:sz w:val="24"/>
              </w:rPr>
              <w:t xml:space="preserve">  日</w:t>
            </w:r>
          </w:p>
        </w:tc>
      </w:tr>
      <w:tr w14:paraId="58DD1BE0">
        <w:tblPrEx>
          <w:tblCellMar>
            <w:top w:w="0" w:type="dxa"/>
            <w:left w:w="15" w:type="dxa"/>
            <w:bottom w:w="0" w:type="dxa"/>
            <w:right w:w="15" w:type="dxa"/>
          </w:tblCellMar>
        </w:tblPrEx>
        <w:trPr>
          <w:trHeight w:val="285" w:hRule="atLeast"/>
        </w:trPr>
        <w:tc>
          <w:tcPr>
            <w:tcW w:w="585" w:type="dxa"/>
            <w:vMerge w:val="restart"/>
            <w:tcBorders>
              <w:top w:val="single" w:color="000000" w:sz="8" w:space="0"/>
              <w:left w:val="single" w:color="000000" w:sz="8" w:space="0"/>
              <w:bottom w:val="single" w:color="000000" w:sz="4" w:space="0"/>
              <w:right w:val="single" w:color="000000" w:sz="4" w:space="0"/>
            </w:tcBorders>
            <w:noWrap/>
            <w:vAlign w:val="center"/>
          </w:tcPr>
          <w:p w14:paraId="1CE355D0">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黑体" w:hAnsi="黑体" w:eastAsia="黑体"/>
                <w:color w:val="000000"/>
                <w:sz w:val="24"/>
              </w:rPr>
            </w:pPr>
            <w:r>
              <w:rPr>
                <w:rFonts w:ascii="黑体" w:hAnsi="黑体" w:eastAsia="黑体"/>
                <w:color w:val="000000"/>
                <w:sz w:val="24"/>
              </w:rPr>
              <w:t>项目</w:t>
            </w:r>
            <w:r>
              <w:rPr>
                <w:rFonts w:ascii="黑体" w:hAnsi="黑体" w:eastAsia="黑体"/>
                <w:color w:val="000000"/>
                <w:sz w:val="24"/>
              </w:rPr>
              <w:br w:type="textWrapping"/>
            </w:r>
            <w:r>
              <w:rPr>
                <w:rFonts w:ascii="黑体" w:hAnsi="黑体" w:eastAsia="黑体"/>
                <w:color w:val="000000"/>
                <w:sz w:val="24"/>
              </w:rPr>
              <w:t>基本</w:t>
            </w:r>
            <w:r>
              <w:rPr>
                <w:rFonts w:ascii="黑体" w:hAnsi="黑体" w:eastAsia="黑体"/>
                <w:color w:val="000000"/>
                <w:sz w:val="24"/>
              </w:rPr>
              <w:br w:type="textWrapping"/>
            </w:r>
            <w:r>
              <w:rPr>
                <w:rFonts w:ascii="黑体" w:hAnsi="黑体" w:eastAsia="黑体"/>
                <w:color w:val="000000"/>
                <w:sz w:val="24"/>
              </w:rPr>
              <w:t>信息</w:t>
            </w:r>
          </w:p>
        </w:tc>
        <w:tc>
          <w:tcPr>
            <w:tcW w:w="1110" w:type="dxa"/>
            <w:tcBorders>
              <w:top w:val="single" w:color="000000" w:sz="8" w:space="0"/>
              <w:left w:val="single" w:color="000000" w:sz="4" w:space="0"/>
              <w:bottom w:val="single" w:color="000000" w:sz="4" w:space="0"/>
              <w:right w:val="single" w:color="000000" w:sz="4" w:space="0"/>
            </w:tcBorders>
            <w:noWrap/>
            <w:vAlign w:val="center"/>
          </w:tcPr>
          <w:p w14:paraId="10A99C1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项目名称</w:t>
            </w:r>
          </w:p>
        </w:tc>
        <w:tc>
          <w:tcPr>
            <w:tcW w:w="2065" w:type="dxa"/>
            <w:gridSpan w:val="2"/>
            <w:tcBorders>
              <w:top w:val="single" w:color="000000" w:sz="8" w:space="0"/>
              <w:left w:val="single" w:color="000000" w:sz="4" w:space="0"/>
              <w:bottom w:val="single" w:color="000000" w:sz="4" w:space="0"/>
              <w:right w:val="single" w:color="000000" w:sz="4" w:space="0"/>
            </w:tcBorders>
            <w:noWrap/>
            <w:vAlign w:val="center"/>
          </w:tcPr>
          <w:p w14:paraId="59D8548C">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宋体" w:eastAsia="仿宋_GB2312" w:cs="宋体"/>
                <w:kern w:val="0"/>
                <w:sz w:val="24"/>
              </w:rPr>
              <w:t xml:space="preserve">乡镇污水处理经费 </w:t>
            </w:r>
          </w:p>
        </w:tc>
        <w:tc>
          <w:tcPr>
            <w:tcW w:w="1500" w:type="dxa"/>
            <w:tcBorders>
              <w:top w:val="single" w:color="000000" w:sz="8" w:space="0"/>
              <w:left w:val="single" w:color="000000" w:sz="4" w:space="0"/>
              <w:bottom w:val="single" w:color="000000" w:sz="4" w:space="0"/>
              <w:right w:val="single" w:color="000000" w:sz="4" w:space="0"/>
            </w:tcBorders>
            <w:noWrap/>
            <w:vAlign w:val="center"/>
          </w:tcPr>
          <w:p w14:paraId="7C27B855">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项目属性</w:t>
            </w:r>
          </w:p>
        </w:tc>
        <w:tc>
          <w:tcPr>
            <w:tcW w:w="3831" w:type="dxa"/>
            <w:gridSpan w:val="5"/>
            <w:tcBorders>
              <w:top w:val="single" w:color="000000" w:sz="8" w:space="0"/>
              <w:left w:val="single" w:color="000000" w:sz="4" w:space="0"/>
              <w:bottom w:val="single" w:color="000000" w:sz="4" w:space="0"/>
              <w:right w:val="single" w:color="000000" w:sz="8" w:space="0"/>
            </w:tcBorders>
            <w:noWrap/>
            <w:vAlign w:val="center"/>
          </w:tcPr>
          <w:p w14:paraId="15542643">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延续专项□     新增专项</w:t>
            </w:r>
            <w:r>
              <w:rPr>
                <w:rFonts w:ascii="仿宋_GB2312" w:hAnsi="仿宋_GB2312" w:eastAsia="仿宋_GB2312"/>
                <w:color w:val="000000"/>
                <w:sz w:val="24"/>
              </w:rPr>
              <w:sym w:font="Wingdings 2" w:char="0052"/>
            </w:r>
            <w:r>
              <w:rPr>
                <w:rFonts w:ascii="仿宋_GB2312" w:hAnsi="仿宋_GB2312" w:eastAsia="仿宋_GB2312"/>
                <w:color w:val="000000"/>
                <w:sz w:val="24"/>
              </w:rPr>
              <w:t xml:space="preserve">    </w:t>
            </w:r>
          </w:p>
        </w:tc>
      </w:tr>
      <w:tr w14:paraId="079D7128">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15ABCC14">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C5AE84E">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主管部门</w:t>
            </w:r>
          </w:p>
        </w:tc>
        <w:tc>
          <w:tcPr>
            <w:tcW w:w="2065" w:type="dxa"/>
            <w:gridSpan w:val="2"/>
            <w:tcBorders>
              <w:top w:val="single" w:color="000000" w:sz="4" w:space="0"/>
              <w:left w:val="single" w:color="000000" w:sz="4" w:space="0"/>
              <w:bottom w:val="single" w:color="000000" w:sz="4" w:space="0"/>
              <w:right w:val="single" w:color="000000" w:sz="4" w:space="0"/>
            </w:tcBorders>
            <w:noWrap/>
            <w:vAlign w:val="center"/>
          </w:tcPr>
          <w:p w14:paraId="5C37C6F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湘潭县住房和城乡建设局</w:t>
            </w:r>
          </w:p>
        </w:tc>
        <w:tc>
          <w:tcPr>
            <w:tcW w:w="1500" w:type="dxa"/>
            <w:tcBorders>
              <w:top w:val="single" w:color="000000" w:sz="4" w:space="0"/>
              <w:left w:val="single" w:color="000000" w:sz="4" w:space="0"/>
              <w:bottom w:val="single" w:color="000000" w:sz="4" w:space="0"/>
              <w:right w:val="single" w:color="000000" w:sz="4" w:space="0"/>
            </w:tcBorders>
            <w:noWrap/>
            <w:vAlign w:val="center"/>
          </w:tcPr>
          <w:p w14:paraId="58D80A8C">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项目负责人</w:t>
            </w:r>
          </w:p>
        </w:tc>
        <w:tc>
          <w:tcPr>
            <w:tcW w:w="875" w:type="dxa"/>
            <w:gridSpan w:val="2"/>
            <w:tcBorders>
              <w:top w:val="single" w:color="000000" w:sz="4" w:space="0"/>
              <w:left w:val="single" w:color="000000" w:sz="4" w:space="0"/>
              <w:bottom w:val="single" w:color="000000" w:sz="4" w:space="0"/>
              <w:right w:val="single" w:color="000000" w:sz="4" w:space="0"/>
            </w:tcBorders>
            <w:noWrap/>
            <w:vAlign w:val="center"/>
          </w:tcPr>
          <w:p w14:paraId="50C852C5">
            <w:pPr>
              <w:keepNext w:val="0"/>
              <w:keepLines w:val="0"/>
              <w:pageBreakBefore w:val="0"/>
              <w:kinsoku/>
              <w:wordWrap/>
              <w:overflowPunct/>
              <w:topLinePunct w:val="0"/>
              <w:autoSpaceDE/>
              <w:autoSpaceDN w:val="0"/>
              <w:bidi w:val="0"/>
              <w:adjustRightInd/>
              <w:snapToGrid/>
              <w:spacing w:line="360" w:lineRule="exact"/>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 xml:space="preserve"> 李政　</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69540CC2">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联系电话</w:t>
            </w:r>
          </w:p>
        </w:tc>
        <w:tc>
          <w:tcPr>
            <w:tcW w:w="1874" w:type="dxa"/>
            <w:gridSpan w:val="2"/>
            <w:tcBorders>
              <w:top w:val="single" w:color="000000" w:sz="4" w:space="0"/>
              <w:left w:val="single" w:color="000000" w:sz="4" w:space="0"/>
              <w:bottom w:val="single" w:color="000000" w:sz="4" w:space="0"/>
              <w:right w:val="single" w:color="000000" w:sz="8" w:space="0"/>
            </w:tcBorders>
            <w:noWrap/>
            <w:vAlign w:val="center"/>
          </w:tcPr>
          <w:p w14:paraId="1DFD36DF">
            <w:pPr>
              <w:keepNext w:val="0"/>
              <w:keepLines w:val="0"/>
              <w:pageBreakBefore w:val="0"/>
              <w:kinsoku/>
              <w:wordWrap/>
              <w:overflowPunct/>
              <w:topLinePunct w:val="0"/>
              <w:autoSpaceDE/>
              <w:autoSpaceDN w:val="0"/>
              <w:bidi w:val="0"/>
              <w:adjustRightInd/>
              <w:snapToGrid/>
              <w:spacing w:line="360" w:lineRule="exact"/>
              <w:jc w:val="left"/>
              <w:textAlignment w:val="center"/>
              <w:rPr>
                <w:rFonts w:ascii="仿宋_GB2312" w:hAnsi="仿宋_GB2312" w:eastAsia="仿宋_GB2312"/>
                <w:color w:val="000000"/>
                <w:sz w:val="24"/>
              </w:rPr>
            </w:pPr>
            <w:r>
              <w:rPr>
                <w:rFonts w:ascii="仿宋_GB2312" w:hAnsi="宋体" w:eastAsia="仿宋_GB2312" w:cs="宋体"/>
                <w:kern w:val="0"/>
                <w:sz w:val="24"/>
              </w:rPr>
              <w:t>17373210011</w:t>
            </w:r>
            <w:r>
              <w:rPr>
                <w:rFonts w:hint="eastAsia" w:ascii="仿宋_GB2312" w:hAnsi="宋体" w:eastAsia="仿宋_GB2312" w:cs="宋体"/>
                <w:kern w:val="0"/>
                <w:sz w:val="24"/>
              </w:rPr>
              <w:t>　</w:t>
            </w:r>
          </w:p>
        </w:tc>
      </w:tr>
      <w:tr w14:paraId="24E568F7">
        <w:tblPrEx>
          <w:tblCellMar>
            <w:top w:w="0" w:type="dxa"/>
            <w:left w:w="15" w:type="dxa"/>
            <w:bottom w:w="0" w:type="dxa"/>
            <w:right w:w="15" w:type="dxa"/>
          </w:tblCellMar>
        </w:tblPrEx>
        <w:trPr>
          <w:trHeight w:val="59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65990DB5">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A41F54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资金总额</w:t>
            </w:r>
          </w:p>
        </w:tc>
        <w:tc>
          <w:tcPr>
            <w:tcW w:w="7396" w:type="dxa"/>
            <w:gridSpan w:val="8"/>
            <w:tcBorders>
              <w:top w:val="single" w:color="000000" w:sz="4" w:space="0"/>
              <w:left w:val="single" w:color="000000" w:sz="4" w:space="0"/>
              <w:bottom w:val="single" w:color="000000" w:sz="4" w:space="0"/>
              <w:right w:val="single" w:color="000000" w:sz="8" w:space="0"/>
            </w:tcBorders>
            <w:noWrap/>
            <w:vAlign w:val="center"/>
          </w:tcPr>
          <w:p w14:paraId="3CBFA7DD">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 xml:space="preserve"> </w:t>
            </w:r>
            <w:r>
              <w:rPr>
                <w:rFonts w:hint="eastAsia" w:ascii="仿宋_GB2312" w:hAnsi="仿宋_GB2312" w:eastAsia="仿宋_GB2312"/>
                <w:color w:val="000000"/>
                <w:sz w:val="24"/>
              </w:rPr>
              <w:t>100</w:t>
            </w:r>
            <w:r>
              <w:rPr>
                <w:rFonts w:ascii="仿宋_GB2312" w:hAnsi="仿宋_GB2312" w:eastAsia="仿宋_GB2312"/>
                <w:color w:val="000000"/>
                <w:sz w:val="24"/>
              </w:rPr>
              <w:t>万元</w:t>
            </w:r>
          </w:p>
        </w:tc>
      </w:tr>
      <w:tr w14:paraId="5793DBBB">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035F6817">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ABF64A0">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项目起止时间</w:t>
            </w:r>
          </w:p>
        </w:tc>
        <w:tc>
          <w:tcPr>
            <w:tcW w:w="7396" w:type="dxa"/>
            <w:gridSpan w:val="8"/>
            <w:tcBorders>
              <w:top w:val="single" w:color="000000" w:sz="4" w:space="0"/>
              <w:left w:val="single" w:color="000000" w:sz="4" w:space="0"/>
              <w:bottom w:val="single" w:color="000000" w:sz="4" w:space="0"/>
              <w:right w:val="single" w:color="000000" w:sz="8" w:space="0"/>
            </w:tcBorders>
            <w:noWrap/>
            <w:vAlign w:val="center"/>
          </w:tcPr>
          <w:p w14:paraId="18C6BACF">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2026年1月1日—2026年12月31日</w:t>
            </w:r>
            <w:r>
              <w:rPr>
                <w:rFonts w:ascii="仿宋_GB2312" w:hAnsi="仿宋_GB2312" w:eastAsia="仿宋_GB2312"/>
                <w:color w:val="000000"/>
                <w:sz w:val="24"/>
              </w:rPr>
              <w:t xml:space="preserve"> </w:t>
            </w:r>
          </w:p>
        </w:tc>
      </w:tr>
      <w:tr w14:paraId="2F692EBE">
        <w:tblPrEx>
          <w:tblCellMar>
            <w:top w:w="0" w:type="dxa"/>
            <w:left w:w="15" w:type="dxa"/>
            <w:bottom w:w="0" w:type="dxa"/>
            <w:right w:w="15" w:type="dxa"/>
          </w:tblCellMar>
        </w:tblPrEx>
        <w:trPr>
          <w:trHeight w:val="50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47E21628">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3B7C68D">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项目概况</w:t>
            </w:r>
          </w:p>
        </w:tc>
        <w:tc>
          <w:tcPr>
            <w:tcW w:w="7396" w:type="dxa"/>
            <w:gridSpan w:val="8"/>
            <w:tcBorders>
              <w:top w:val="single" w:color="000000" w:sz="4" w:space="0"/>
              <w:left w:val="single" w:color="000000" w:sz="4" w:space="0"/>
              <w:bottom w:val="single" w:color="000000" w:sz="4" w:space="0"/>
              <w:right w:val="single" w:color="000000" w:sz="8" w:space="0"/>
            </w:tcBorders>
            <w:noWrap/>
            <w:vAlign w:val="center"/>
          </w:tcPr>
          <w:p w14:paraId="2CAD56ED">
            <w:pPr>
              <w:keepNext w:val="0"/>
              <w:keepLines w:val="0"/>
              <w:pageBreakBefore w:val="0"/>
              <w:widowControl/>
              <w:kinsoku/>
              <w:wordWrap/>
              <w:overflowPunct/>
              <w:topLinePunct w:val="0"/>
              <w:autoSpaceDE/>
              <w:bidi w:val="0"/>
              <w:adjustRightInd/>
              <w:snapToGrid/>
              <w:spacing w:line="360" w:lineRule="exact"/>
              <w:ind w:firstLine="480"/>
              <w:jc w:val="left"/>
              <w:rPr>
                <w:rFonts w:ascii="仿宋_GB2312" w:hAnsi="宋体" w:eastAsia="仿宋_GB2312" w:cs="宋体"/>
                <w:kern w:val="0"/>
                <w:sz w:val="24"/>
              </w:rPr>
            </w:pPr>
            <w:r>
              <w:rPr>
                <w:rFonts w:hint="eastAsia" w:ascii="仿宋_GB2312" w:hAnsi="宋体" w:eastAsia="仿宋_GB2312" w:cs="宋体"/>
                <w:kern w:val="0"/>
                <w:sz w:val="24"/>
              </w:rPr>
              <w:t>现已建成12个乡镇17座污水处理厂（站），分别为：花石镇（6个站）、云湖桥镇、石潭镇、射埠镇、青山桥镇、杨嘉桥镇、白石镇、中路铺镇、茶恩寺镇、谭家山镇、乌石镇、石鼓镇</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已建成污水日处理规模为8000m</w:t>
            </w:r>
            <w:r>
              <w:rPr>
                <w:rFonts w:hint="eastAsia" w:ascii="仿宋_GB2312" w:hAnsi="宋体" w:eastAsia="仿宋_GB2312" w:cs="宋体"/>
                <w:kern w:val="0"/>
                <w:sz w:val="24"/>
                <w:vertAlign w:val="superscript"/>
              </w:rPr>
              <w:t>3</w:t>
            </w:r>
            <w:r>
              <w:rPr>
                <w:rFonts w:hint="eastAsia" w:ascii="仿宋_GB2312" w:hAnsi="宋体" w:eastAsia="仿宋_GB2312" w:cs="宋体"/>
                <w:kern w:val="0"/>
                <w:sz w:val="24"/>
              </w:rPr>
              <w:t>/d， 污水处理工艺采用 A/A/O 工艺，深度处理采用高效沉淀池+反硝化滤池等工艺，处理后出水采用紫外线消毒，出水水质</w:t>
            </w:r>
            <w:r>
              <w:rPr>
                <w:rFonts w:hint="eastAsia" w:ascii="仿宋_GB2312" w:hAnsi="宋体" w:eastAsia="仿宋_GB2312" w:cs="宋体"/>
                <w:kern w:val="0"/>
                <w:sz w:val="24"/>
                <w:lang w:eastAsia="zh-CN"/>
              </w:rPr>
              <w:t>方面，</w:t>
            </w:r>
            <w:r>
              <w:rPr>
                <w:rFonts w:hint="eastAsia" w:ascii="仿宋_GB2312" w:hAnsi="宋体" w:eastAsia="仿宋_GB2312" w:cs="宋体"/>
                <w:kern w:val="0"/>
                <w:sz w:val="24"/>
              </w:rPr>
              <w:t xml:space="preserve">除白石镇、茶恩寺镇执行《城镇污水处理厂污染物排放标准》（GB 18918-2002）一级 A 标准，其余均执行一级B标准。                                    </w:t>
            </w:r>
          </w:p>
          <w:p w14:paraId="7ED7A4FE">
            <w:pPr>
              <w:keepNext w:val="0"/>
              <w:keepLines w:val="0"/>
              <w:pageBreakBefore w:val="0"/>
              <w:widowControl/>
              <w:kinsoku/>
              <w:wordWrap/>
              <w:overflowPunct/>
              <w:topLinePunct w:val="0"/>
              <w:autoSpaceDE/>
              <w:bidi w:val="0"/>
              <w:adjustRightInd/>
              <w:snapToGrid/>
              <w:spacing w:line="360" w:lineRule="exact"/>
              <w:ind w:firstLine="480"/>
              <w:jc w:val="left"/>
              <w:rPr>
                <w:rFonts w:ascii="仿宋_GB2312" w:hAnsi="仿宋_GB2312" w:eastAsia="仿宋_GB2312"/>
                <w:color w:val="000000"/>
                <w:sz w:val="24"/>
              </w:rPr>
            </w:pPr>
            <w:r>
              <w:rPr>
                <w:rFonts w:hint="eastAsia" w:ascii="仿宋_GB2312" w:hAnsi="宋体" w:eastAsia="仿宋_GB2312" w:cs="宋体"/>
                <w:kern w:val="0"/>
                <w:sz w:val="24"/>
              </w:rPr>
              <w:t>本项目2026年年初安排预算内资金100万元。</w:t>
            </w:r>
          </w:p>
        </w:tc>
      </w:tr>
      <w:tr w14:paraId="158AACC0">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574EEE9F">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14:paraId="231725EA">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项目立</w:t>
            </w:r>
            <w:r>
              <w:rPr>
                <w:rFonts w:ascii="仿宋_GB2312" w:hAnsi="仿宋_GB2312" w:eastAsia="仿宋_GB2312"/>
                <w:color w:val="000000"/>
                <w:sz w:val="24"/>
              </w:rPr>
              <w:br w:type="textWrapping"/>
            </w:r>
            <w:r>
              <w:rPr>
                <w:rFonts w:ascii="仿宋_GB2312" w:hAnsi="仿宋_GB2312" w:eastAsia="仿宋_GB2312"/>
                <w:color w:val="000000"/>
                <w:sz w:val="24"/>
              </w:rPr>
              <w:t>项情况</w:t>
            </w:r>
          </w:p>
        </w:tc>
        <w:tc>
          <w:tcPr>
            <w:tcW w:w="1021" w:type="dxa"/>
            <w:tcBorders>
              <w:top w:val="single" w:color="000000" w:sz="4" w:space="0"/>
              <w:left w:val="single" w:color="000000" w:sz="4" w:space="0"/>
              <w:bottom w:val="single" w:color="000000" w:sz="4" w:space="0"/>
              <w:right w:val="single" w:color="000000" w:sz="4" w:space="0"/>
            </w:tcBorders>
            <w:noWrap/>
            <w:vAlign w:val="center"/>
          </w:tcPr>
          <w:p w14:paraId="0FD51DB1">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项目立</w:t>
            </w:r>
            <w:r>
              <w:rPr>
                <w:rFonts w:ascii="仿宋_GB2312" w:hAnsi="仿宋_GB2312" w:eastAsia="仿宋_GB2312"/>
                <w:color w:val="000000"/>
                <w:sz w:val="24"/>
              </w:rPr>
              <w:br w:type="textWrapping"/>
            </w:r>
            <w:r>
              <w:rPr>
                <w:rFonts w:ascii="仿宋_GB2312" w:hAnsi="仿宋_GB2312" w:eastAsia="仿宋_GB2312"/>
                <w:color w:val="000000"/>
                <w:sz w:val="24"/>
              </w:rPr>
              <w:t>项依据</w:t>
            </w:r>
          </w:p>
        </w:tc>
        <w:tc>
          <w:tcPr>
            <w:tcW w:w="6375" w:type="dxa"/>
            <w:gridSpan w:val="7"/>
            <w:tcBorders>
              <w:top w:val="single" w:color="000000" w:sz="4" w:space="0"/>
              <w:left w:val="single" w:color="000000" w:sz="4" w:space="0"/>
              <w:bottom w:val="single" w:color="000000" w:sz="4" w:space="0"/>
              <w:right w:val="single" w:color="000000" w:sz="8" w:space="0"/>
            </w:tcBorders>
            <w:noWrap/>
            <w:vAlign w:val="center"/>
          </w:tcPr>
          <w:p w14:paraId="25E97EC5">
            <w:pPr>
              <w:keepNext w:val="0"/>
              <w:keepLines w:val="0"/>
              <w:pageBreakBefore w:val="0"/>
              <w:widowControl/>
              <w:kinsoku/>
              <w:wordWrap/>
              <w:overflowPunct/>
              <w:topLinePunct w:val="0"/>
              <w:autoSpaceDE/>
              <w:bidi w:val="0"/>
              <w:adjustRightInd/>
              <w:snapToGrid/>
              <w:spacing w:line="360" w:lineRule="exact"/>
              <w:ind w:firstLine="480" w:firstLineChars="200"/>
              <w:rPr>
                <w:rFonts w:ascii="仿宋_GB2312" w:hAnsi="仿宋_GB2312" w:eastAsia="仿宋_GB2312"/>
                <w:color w:val="000000"/>
                <w:sz w:val="24"/>
              </w:rPr>
            </w:pPr>
            <w:r>
              <w:rPr>
                <w:rFonts w:hint="eastAsia" w:ascii="仿宋_GB2312" w:hAnsi="宋体" w:eastAsia="仿宋_GB2312" w:cs="宋体"/>
                <w:kern w:val="0"/>
                <w:sz w:val="24"/>
              </w:rPr>
              <w:t>根据国务院2013年10月2日颁布的《城镇排水与污水处理条例》第三十三条规定：污水处理费应当纳入地方财政预算管理，专项用于城镇污水处理设施的建设、运行和污泥处理处置，不得挪作他用。收取的污水处理费不足以支付城镇污水处理设施正常运营的成本的</w:t>
            </w:r>
            <w:r>
              <w:rPr>
                <w:rFonts w:hint="eastAsia" w:ascii="仿宋_GB2312" w:hAnsi="宋体" w:eastAsia="仿宋_GB2312" w:cs="宋体"/>
                <w:kern w:val="0"/>
                <w:sz w:val="24"/>
                <w:lang w:eastAsia="zh-CN"/>
              </w:rPr>
              <w:t>，由</w:t>
            </w:r>
            <w:r>
              <w:rPr>
                <w:rFonts w:hint="eastAsia" w:ascii="仿宋_GB2312" w:hAnsi="宋体" w:eastAsia="仿宋_GB2312" w:cs="宋体"/>
                <w:kern w:val="0"/>
                <w:sz w:val="24"/>
              </w:rPr>
              <w:t>地方人民政府给予补贴。</w:t>
            </w:r>
          </w:p>
        </w:tc>
      </w:tr>
      <w:tr w14:paraId="3083FCF2">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3DB2850B">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5AC1FA6A">
            <w:pPr>
              <w:keepNext w:val="0"/>
              <w:keepLines w:val="0"/>
              <w:pageBreakBefore w:val="0"/>
              <w:kinsoku/>
              <w:wordWrap/>
              <w:overflowPunct/>
              <w:topLinePunct w:val="0"/>
              <w:autoSpaceDE/>
              <w:autoSpaceDN w:val="0"/>
              <w:bidi w:val="0"/>
              <w:adjustRightInd/>
              <w:snapToGrid/>
              <w:spacing w:line="360" w:lineRule="exact"/>
              <w:rPr>
                <w:rFonts w:ascii="宋体" w:hAnsi="宋体"/>
                <w:sz w:val="24"/>
              </w:rPr>
            </w:pPr>
          </w:p>
        </w:tc>
        <w:tc>
          <w:tcPr>
            <w:tcW w:w="1021" w:type="dxa"/>
            <w:tcBorders>
              <w:top w:val="single" w:color="000000" w:sz="4" w:space="0"/>
              <w:left w:val="single" w:color="000000" w:sz="4" w:space="0"/>
              <w:bottom w:val="single" w:color="000000" w:sz="4" w:space="0"/>
              <w:right w:val="single" w:color="000000" w:sz="4" w:space="0"/>
            </w:tcBorders>
            <w:noWrap/>
            <w:vAlign w:val="center"/>
          </w:tcPr>
          <w:p w14:paraId="3E76B587">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项目申报</w:t>
            </w:r>
            <w:r>
              <w:rPr>
                <w:rFonts w:ascii="仿宋_GB2312" w:hAnsi="仿宋_GB2312" w:eastAsia="仿宋_GB2312"/>
                <w:color w:val="000000"/>
                <w:sz w:val="24"/>
              </w:rPr>
              <w:br w:type="textWrapping"/>
            </w:r>
            <w:r>
              <w:rPr>
                <w:rFonts w:ascii="仿宋_GB2312" w:hAnsi="仿宋_GB2312" w:eastAsia="仿宋_GB2312"/>
                <w:color w:val="000000"/>
                <w:sz w:val="24"/>
              </w:rPr>
              <w:t>的可行性</w:t>
            </w:r>
          </w:p>
        </w:tc>
        <w:tc>
          <w:tcPr>
            <w:tcW w:w="6375" w:type="dxa"/>
            <w:gridSpan w:val="7"/>
            <w:tcBorders>
              <w:top w:val="single" w:color="000000" w:sz="4" w:space="0"/>
              <w:left w:val="single" w:color="000000" w:sz="4" w:space="0"/>
              <w:bottom w:val="single" w:color="000000" w:sz="4" w:space="0"/>
              <w:right w:val="single" w:color="000000" w:sz="8" w:space="0"/>
            </w:tcBorders>
            <w:noWrap/>
            <w:vAlign w:val="center"/>
          </w:tcPr>
          <w:p w14:paraId="69752B4B">
            <w:pPr>
              <w:keepNext w:val="0"/>
              <w:keepLines w:val="0"/>
              <w:pageBreakBefore w:val="0"/>
              <w:widowControl/>
              <w:kinsoku/>
              <w:wordWrap/>
              <w:overflowPunct/>
              <w:topLinePunct w:val="0"/>
              <w:autoSpaceDE/>
              <w:bidi w:val="0"/>
              <w:adjustRightInd/>
              <w:snapToGrid/>
              <w:spacing w:line="360" w:lineRule="exact"/>
              <w:ind w:firstLine="480" w:firstLineChars="200"/>
              <w:rPr>
                <w:rFonts w:ascii="仿宋_GB2312" w:hAnsi="仿宋_GB2312" w:eastAsia="仿宋_GB2312"/>
                <w:color w:val="000000"/>
                <w:sz w:val="24"/>
              </w:rPr>
            </w:pPr>
            <w:r>
              <w:rPr>
                <w:rFonts w:hint="eastAsia" w:ascii="仿宋_GB2312" w:hAnsi="宋体" w:eastAsia="仿宋_GB2312" w:cs="宋体"/>
                <w:kern w:val="0"/>
                <w:sz w:val="24"/>
              </w:rPr>
              <w:t>省住建厅、</w:t>
            </w:r>
            <w:r>
              <w:rPr>
                <w:rFonts w:hint="eastAsia" w:ascii="仿宋_GB2312" w:hAnsi="宋体" w:eastAsia="仿宋_GB2312" w:cs="宋体"/>
                <w:kern w:val="0"/>
                <w:sz w:val="24"/>
                <w:lang w:eastAsia="zh-CN"/>
              </w:rPr>
              <w:t>省生态环境厅</w:t>
            </w:r>
            <w:r>
              <w:rPr>
                <w:rFonts w:hint="eastAsia" w:ascii="仿宋_GB2312" w:hAnsi="宋体" w:eastAsia="仿宋_GB2312" w:cs="宋体"/>
                <w:kern w:val="0"/>
                <w:sz w:val="24"/>
              </w:rPr>
              <w:t>要求县级建制镇必须建立污水处理厂，县住建局村镇股作为污水处理的主管部门有专人对污水处理厂的整个处理流程和污泥的运输进行监管</w:t>
            </w:r>
            <w:r>
              <w:rPr>
                <w:rFonts w:hint="eastAsia" w:ascii="仿宋_GB2312" w:hAnsi="仿宋_GB2312" w:eastAsia="仿宋_GB2312"/>
                <w:color w:val="000000"/>
                <w:sz w:val="24"/>
              </w:rPr>
              <w:t>。</w:t>
            </w:r>
          </w:p>
        </w:tc>
      </w:tr>
      <w:tr w14:paraId="1F980575">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73CB5E2F">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67F90F13">
            <w:pPr>
              <w:keepNext w:val="0"/>
              <w:keepLines w:val="0"/>
              <w:pageBreakBefore w:val="0"/>
              <w:kinsoku/>
              <w:wordWrap/>
              <w:overflowPunct/>
              <w:topLinePunct w:val="0"/>
              <w:autoSpaceDE/>
              <w:autoSpaceDN w:val="0"/>
              <w:bidi w:val="0"/>
              <w:adjustRightInd/>
              <w:snapToGrid/>
              <w:spacing w:line="360" w:lineRule="exact"/>
              <w:rPr>
                <w:rFonts w:ascii="宋体" w:hAnsi="宋体"/>
                <w:sz w:val="24"/>
              </w:rPr>
            </w:pPr>
          </w:p>
        </w:tc>
        <w:tc>
          <w:tcPr>
            <w:tcW w:w="1021" w:type="dxa"/>
            <w:tcBorders>
              <w:top w:val="single" w:color="000000" w:sz="4" w:space="0"/>
              <w:left w:val="single" w:color="000000" w:sz="4" w:space="0"/>
              <w:bottom w:val="single" w:color="000000" w:sz="4" w:space="0"/>
              <w:right w:val="single" w:color="000000" w:sz="4" w:space="0"/>
            </w:tcBorders>
            <w:noWrap/>
            <w:vAlign w:val="center"/>
          </w:tcPr>
          <w:p w14:paraId="27B5C08B">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项目申报</w:t>
            </w:r>
            <w:r>
              <w:rPr>
                <w:rFonts w:ascii="仿宋_GB2312" w:hAnsi="仿宋_GB2312" w:eastAsia="仿宋_GB2312"/>
                <w:color w:val="000000"/>
                <w:sz w:val="24"/>
              </w:rPr>
              <w:br w:type="textWrapping"/>
            </w:r>
            <w:r>
              <w:rPr>
                <w:rFonts w:ascii="仿宋_GB2312" w:hAnsi="仿宋_GB2312" w:eastAsia="仿宋_GB2312"/>
                <w:color w:val="000000"/>
                <w:sz w:val="24"/>
              </w:rPr>
              <w:t>的必要性</w:t>
            </w:r>
          </w:p>
        </w:tc>
        <w:tc>
          <w:tcPr>
            <w:tcW w:w="6375" w:type="dxa"/>
            <w:gridSpan w:val="7"/>
            <w:tcBorders>
              <w:top w:val="single" w:color="000000" w:sz="4" w:space="0"/>
              <w:left w:val="single" w:color="000000" w:sz="4" w:space="0"/>
              <w:bottom w:val="single" w:color="000000" w:sz="4" w:space="0"/>
              <w:right w:val="single" w:color="000000" w:sz="8" w:space="0"/>
            </w:tcBorders>
            <w:noWrap/>
            <w:vAlign w:val="center"/>
          </w:tcPr>
          <w:p w14:paraId="4E529395">
            <w:pPr>
              <w:keepNext w:val="0"/>
              <w:keepLines w:val="0"/>
              <w:pageBreakBefore w:val="0"/>
              <w:kinsoku/>
              <w:wordWrap/>
              <w:overflowPunct/>
              <w:topLinePunct w:val="0"/>
              <w:autoSpaceDE/>
              <w:autoSpaceDN w:val="0"/>
              <w:bidi w:val="0"/>
              <w:adjustRightInd/>
              <w:snapToGrid/>
              <w:spacing w:line="360" w:lineRule="exact"/>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湘潭县建制镇污水处理厂处理能力为8000吨/天，经后评估我县乡镇污水处理设施规模调整为2900 m3/d， 2026年预计处理污水0.24万吨/天，有效确保管网内污水得到安全处理，为湖南可持续发展战略和改善湘江水质作出贡献。</w:t>
            </w:r>
          </w:p>
        </w:tc>
      </w:tr>
      <w:tr w14:paraId="1038CB59">
        <w:tblPrEx>
          <w:tblCellMar>
            <w:top w:w="0" w:type="dxa"/>
            <w:left w:w="15" w:type="dxa"/>
            <w:bottom w:w="0" w:type="dxa"/>
            <w:right w:w="15" w:type="dxa"/>
          </w:tblCellMar>
        </w:tblPrEx>
        <w:trPr>
          <w:trHeight w:val="285"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0AAFAF5C">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14:paraId="2DC44409">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项目实施</w:t>
            </w:r>
            <w:r>
              <w:rPr>
                <w:rFonts w:ascii="仿宋_GB2312" w:hAnsi="仿宋_GB2312" w:eastAsia="仿宋_GB2312"/>
                <w:color w:val="000000"/>
                <w:sz w:val="24"/>
              </w:rPr>
              <w:br w:type="textWrapping"/>
            </w:r>
            <w:r>
              <w:rPr>
                <w:rFonts w:ascii="仿宋_GB2312" w:hAnsi="仿宋_GB2312" w:eastAsia="仿宋_GB2312"/>
                <w:color w:val="000000"/>
                <w:sz w:val="24"/>
              </w:rPr>
              <w:t>进度计划</w:t>
            </w:r>
          </w:p>
        </w:tc>
        <w:tc>
          <w:tcPr>
            <w:tcW w:w="2065" w:type="dxa"/>
            <w:gridSpan w:val="2"/>
            <w:tcBorders>
              <w:top w:val="single" w:color="000000" w:sz="4" w:space="0"/>
              <w:left w:val="single" w:color="000000" w:sz="4" w:space="0"/>
              <w:bottom w:val="single" w:color="000000" w:sz="4" w:space="0"/>
              <w:right w:val="single" w:color="000000" w:sz="4" w:space="0"/>
            </w:tcBorders>
            <w:noWrap/>
            <w:vAlign w:val="center"/>
          </w:tcPr>
          <w:p w14:paraId="56C252D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项目实施内容</w:t>
            </w:r>
          </w:p>
        </w:tc>
        <w:tc>
          <w:tcPr>
            <w:tcW w:w="2375" w:type="dxa"/>
            <w:gridSpan w:val="3"/>
            <w:tcBorders>
              <w:top w:val="single" w:color="000000" w:sz="4" w:space="0"/>
              <w:left w:val="single" w:color="000000" w:sz="4" w:space="0"/>
              <w:bottom w:val="single" w:color="000000" w:sz="4" w:space="0"/>
              <w:right w:val="single" w:color="000000" w:sz="4" w:space="0"/>
            </w:tcBorders>
            <w:noWrap/>
            <w:vAlign w:val="center"/>
          </w:tcPr>
          <w:p w14:paraId="480F665D">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计划开始时间</w:t>
            </w:r>
          </w:p>
        </w:tc>
        <w:tc>
          <w:tcPr>
            <w:tcW w:w="2956" w:type="dxa"/>
            <w:gridSpan w:val="3"/>
            <w:tcBorders>
              <w:top w:val="single" w:color="000000" w:sz="4" w:space="0"/>
              <w:left w:val="single" w:color="000000" w:sz="4" w:space="0"/>
              <w:bottom w:val="single" w:color="000000" w:sz="4" w:space="0"/>
              <w:right w:val="single" w:color="000000" w:sz="8" w:space="0"/>
            </w:tcBorders>
            <w:noWrap/>
            <w:vAlign w:val="center"/>
          </w:tcPr>
          <w:p w14:paraId="6557B609">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计划完成时间</w:t>
            </w:r>
          </w:p>
        </w:tc>
      </w:tr>
      <w:tr w14:paraId="7148E743">
        <w:tblPrEx>
          <w:tblCellMar>
            <w:top w:w="0" w:type="dxa"/>
            <w:left w:w="15" w:type="dxa"/>
            <w:bottom w:w="0" w:type="dxa"/>
            <w:right w:w="15" w:type="dxa"/>
          </w:tblCellMar>
        </w:tblPrEx>
        <w:trPr>
          <w:trHeight w:val="41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399FFAC4">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06CD3E8F">
            <w:pPr>
              <w:keepNext w:val="0"/>
              <w:keepLines w:val="0"/>
              <w:pageBreakBefore w:val="0"/>
              <w:kinsoku/>
              <w:wordWrap/>
              <w:overflowPunct/>
              <w:topLinePunct w:val="0"/>
              <w:autoSpaceDE/>
              <w:autoSpaceDN w:val="0"/>
              <w:bidi w:val="0"/>
              <w:adjustRightInd/>
              <w:snapToGrid/>
              <w:spacing w:line="360" w:lineRule="exact"/>
              <w:rPr>
                <w:rFonts w:ascii="宋体" w:hAnsi="宋体"/>
                <w:sz w:val="24"/>
              </w:rPr>
            </w:pPr>
          </w:p>
        </w:tc>
        <w:tc>
          <w:tcPr>
            <w:tcW w:w="2065" w:type="dxa"/>
            <w:gridSpan w:val="2"/>
            <w:tcBorders>
              <w:top w:val="single" w:color="000000" w:sz="4" w:space="0"/>
              <w:left w:val="single" w:color="000000" w:sz="4" w:space="0"/>
              <w:bottom w:val="single" w:color="000000" w:sz="4" w:space="0"/>
              <w:right w:val="single" w:color="000000" w:sz="4" w:space="0"/>
            </w:tcBorders>
            <w:noWrap/>
            <w:vAlign w:val="center"/>
          </w:tcPr>
          <w:p w14:paraId="05B0A9CF">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污水处理费</w:t>
            </w:r>
          </w:p>
        </w:tc>
        <w:tc>
          <w:tcPr>
            <w:tcW w:w="2375" w:type="dxa"/>
            <w:gridSpan w:val="3"/>
            <w:tcBorders>
              <w:top w:val="single" w:color="000000" w:sz="4" w:space="0"/>
              <w:left w:val="single" w:color="000000" w:sz="4" w:space="0"/>
              <w:bottom w:val="single" w:color="000000" w:sz="4" w:space="0"/>
              <w:right w:val="single" w:color="000000" w:sz="4" w:space="0"/>
            </w:tcBorders>
            <w:noWrap/>
            <w:vAlign w:val="center"/>
          </w:tcPr>
          <w:p w14:paraId="3C2DE7E9">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2026年1月1日</w:t>
            </w:r>
          </w:p>
        </w:tc>
        <w:tc>
          <w:tcPr>
            <w:tcW w:w="2956" w:type="dxa"/>
            <w:gridSpan w:val="3"/>
            <w:tcBorders>
              <w:top w:val="single" w:color="000000" w:sz="4" w:space="0"/>
              <w:left w:val="single" w:color="000000" w:sz="4" w:space="0"/>
              <w:bottom w:val="single" w:color="000000" w:sz="4" w:space="0"/>
              <w:right w:val="single" w:color="000000" w:sz="8" w:space="0"/>
            </w:tcBorders>
            <w:noWrap/>
            <w:vAlign w:val="center"/>
          </w:tcPr>
          <w:p w14:paraId="5D4F318A">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2026年12月31日</w:t>
            </w:r>
          </w:p>
        </w:tc>
      </w:tr>
      <w:tr w14:paraId="6275E2DD">
        <w:tblPrEx>
          <w:tblCellMar>
            <w:top w:w="0" w:type="dxa"/>
            <w:left w:w="15" w:type="dxa"/>
            <w:bottom w:w="0" w:type="dxa"/>
            <w:right w:w="15" w:type="dxa"/>
          </w:tblCellMar>
        </w:tblPrEx>
        <w:trPr>
          <w:trHeight w:val="1035" w:hRule="atLeast"/>
        </w:trPr>
        <w:tc>
          <w:tcPr>
            <w:tcW w:w="585" w:type="dxa"/>
            <w:vMerge w:val="restart"/>
            <w:tcBorders>
              <w:top w:val="single" w:color="000000" w:sz="4" w:space="0"/>
              <w:left w:val="single" w:color="000000" w:sz="8" w:space="0"/>
              <w:bottom w:val="single" w:color="000000" w:sz="4" w:space="0"/>
              <w:right w:val="single" w:color="000000" w:sz="4" w:space="0"/>
            </w:tcBorders>
            <w:noWrap/>
            <w:vAlign w:val="center"/>
          </w:tcPr>
          <w:p w14:paraId="0FF7AC31">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黑体" w:hAnsi="黑体" w:eastAsia="黑体"/>
                <w:color w:val="000000"/>
                <w:sz w:val="24"/>
              </w:rPr>
            </w:pPr>
            <w:r>
              <w:rPr>
                <w:rFonts w:ascii="黑体" w:hAnsi="黑体" w:eastAsia="黑体"/>
                <w:color w:val="000000"/>
                <w:sz w:val="24"/>
              </w:rPr>
              <w:t>项目</w:t>
            </w:r>
            <w:r>
              <w:rPr>
                <w:rFonts w:ascii="黑体" w:hAnsi="黑体" w:eastAsia="黑体"/>
                <w:color w:val="000000"/>
                <w:sz w:val="24"/>
              </w:rPr>
              <w:br w:type="textWrapping"/>
            </w:r>
            <w:r>
              <w:rPr>
                <w:rFonts w:ascii="黑体" w:hAnsi="黑体" w:eastAsia="黑体"/>
                <w:color w:val="000000"/>
                <w:sz w:val="24"/>
              </w:rPr>
              <w:t>支出</w:t>
            </w:r>
            <w:r>
              <w:rPr>
                <w:rFonts w:ascii="黑体" w:hAnsi="黑体" w:eastAsia="黑体"/>
                <w:color w:val="000000"/>
                <w:sz w:val="24"/>
              </w:rPr>
              <w:br w:type="textWrapping"/>
            </w:r>
            <w:r>
              <w:rPr>
                <w:rFonts w:ascii="黑体" w:hAnsi="黑体" w:eastAsia="黑体"/>
                <w:color w:val="000000"/>
                <w:sz w:val="24"/>
              </w:rPr>
              <w:t>绩效</w:t>
            </w:r>
            <w:r>
              <w:rPr>
                <w:rFonts w:ascii="黑体" w:hAnsi="黑体" w:eastAsia="黑体"/>
                <w:color w:val="000000"/>
                <w:sz w:val="24"/>
              </w:rPr>
              <w:br w:type="textWrapping"/>
            </w:r>
            <w:r>
              <w:rPr>
                <w:rFonts w:ascii="黑体" w:hAnsi="黑体" w:eastAsia="黑体"/>
                <w:color w:val="000000"/>
                <w:sz w:val="24"/>
              </w:rPr>
              <w:t>目标</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D5C48CF">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项目长期</w:t>
            </w:r>
            <w:r>
              <w:rPr>
                <w:rFonts w:ascii="仿宋_GB2312" w:hAnsi="仿宋_GB2312" w:eastAsia="仿宋_GB2312"/>
                <w:color w:val="000000"/>
                <w:sz w:val="24"/>
              </w:rPr>
              <w:br w:type="textWrapping"/>
            </w:r>
            <w:r>
              <w:rPr>
                <w:rFonts w:ascii="仿宋_GB2312" w:hAnsi="仿宋_GB2312" w:eastAsia="仿宋_GB2312"/>
                <w:color w:val="000000"/>
                <w:sz w:val="24"/>
              </w:rPr>
              <w:t>绩效目标</w:t>
            </w:r>
          </w:p>
        </w:tc>
        <w:tc>
          <w:tcPr>
            <w:tcW w:w="7396" w:type="dxa"/>
            <w:gridSpan w:val="8"/>
            <w:tcBorders>
              <w:top w:val="single" w:color="000000" w:sz="4" w:space="0"/>
              <w:left w:val="single" w:color="000000" w:sz="4" w:space="0"/>
              <w:bottom w:val="single" w:color="000000" w:sz="4" w:space="0"/>
              <w:right w:val="single" w:color="000000" w:sz="8" w:space="0"/>
            </w:tcBorders>
            <w:noWrap/>
            <w:vAlign w:val="center"/>
          </w:tcPr>
          <w:p w14:paraId="5D35054F">
            <w:pPr>
              <w:keepNext w:val="0"/>
              <w:keepLines w:val="0"/>
              <w:pageBreakBefore w:val="0"/>
              <w:kinsoku/>
              <w:wordWrap/>
              <w:overflowPunct/>
              <w:topLinePunct w:val="0"/>
              <w:autoSpaceDE/>
              <w:autoSpaceDN w:val="0"/>
              <w:bidi w:val="0"/>
              <w:adjustRightInd/>
              <w:snapToGrid/>
              <w:spacing w:line="360" w:lineRule="exact"/>
              <w:ind w:firstLine="480" w:firstLineChars="20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年处理污水86万吨，日处理污水0.24</w:t>
            </w:r>
            <w:r>
              <w:rPr>
                <w:rFonts w:hint="eastAsia" w:ascii="仿宋_GB2312" w:hAnsi="仿宋_GB2312" w:eastAsia="仿宋_GB2312"/>
                <w:color w:val="000000"/>
                <w:sz w:val="24"/>
                <w:lang w:eastAsia="zh-CN"/>
              </w:rPr>
              <w:t>万吨</w:t>
            </w:r>
            <w:r>
              <w:rPr>
                <w:rFonts w:hint="eastAsia" w:ascii="仿宋_GB2312" w:hAnsi="仿宋_GB2312" w:eastAsia="仿宋_GB2312"/>
                <w:color w:val="000000"/>
                <w:sz w:val="24"/>
              </w:rPr>
              <w:t>，</w:t>
            </w:r>
            <w:r>
              <w:rPr>
                <w:rFonts w:hint="eastAsia" w:ascii="仿宋_GB2312" w:hAnsi="宋体" w:eastAsia="仿宋_GB2312" w:cs="宋体"/>
                <w:kern w:val="0"/>
                <w:sz w:val="24"/>
              </w:rPr>
              <w:t>有效确保管网内污水得到安全处理，</w:t>
            </w:r>
            <w:r>
              <w:rPr>
                <w:rFonts w:hint="eastAsia" w:ascii="仿宋_GB2312" w:hAnsi="仿宋_GB2312" w:eastAsia="仿宋_GB2312"/>
                <w:color w:val="000000"/>
                <w:sz w:val="24"/>
              </w:rPr>
              <w:t>出水水质达到《城镇污水处理厂</w:t>
            </w:r>
            <w:r>
              <w:rPr>
                <w:rFonts w:hint="eastAsia" w:ascii="仿宋_GB2312" w:hAnsi="仿宋_GB2312" w:eastAsia="仿宋_GB2312"/>
                <w:color w:val="000000"/>
                <w:sz w:val="24"/>
                <w:lang w:eastAsia="zh-CN"/>
              </w:rPr>
              <w:t>污染物排放标准</w:t>
            </w:r>
            <w:r>
              <w:rPr>
                <w:rFonts w:hint="eastAsia" w:ascii="仿宋_GB2312" w:hAnsi="仿宋_GB2312" w:eastAsia="仿宋_GB2312"/>
                <w:color w:val="000000"/>
                <w:sz w:val="24"/>
              </w:rPr>
              <w:t>》出水标准</w:t>
            </w:r>
            <w:r>
              <w:rPr>
                <w:rFonts w:hint="eastAsia" w:ascii="仿宋_GB2312" w:hAnsi="宋体" w:eastAsia="仿宋_GB2312" w:cs="宋体"/>
                <w:kern w:val="0"/>
                <w:sz w:val="24"/>
              </w:rPr>
              <w:t>，为湖南可持续发展战略和改善湘江水质</w:t>
            </w:r>
            <w:r>
              <w:rPr>
                <w:rFonts w:hint="eastAsia" w:ascii="仿宋_GB2312" w:hAnsi="宋体" w:eastAsia="仿宋_GB2312" w:cs="宋体"/>
                <w:kern w:val="0"/>
                <w:sz w:val="24"/>
                <w:lang w:eastAsia="zh-CN"/>
              </w:rPr>
              <w:t>作出贡献</w:t>
            </w:r>
            <w:r>
              <w:rPr>
                <w:rFonts w:hint="eastAsia" w:ascii="仿宋_GB2312" w:hAnsi="宋体" w:eastAsia="仿宋_GB2312" w:cs="宋体"/>
                <w:kern w:val="0"/>
                <w:sz w:val="24"/>
              </w:rPr>
              <w:t>。</w:t>
            </w:r>
          </w:p>
        </w:tc>
      </w:tr>
      <w:tr w14:paraId="13450CB1">
        <w:tblPrEx>
          <w:tblCellMar>
            <w:top w:w="0" w:type="dxa"/>
            <w:left w:w="15" w:type="dxa"/>
            <w:bottom w:w="0" w:type="dxa"/>
            <w:right w:w="15" w:type="dxa"/>
          </w:tblCellMar>
        </w:tblPrEx>
        <w:trPr>
          <w:trHeight w:val="890"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567D4DC5">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0627FD2">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项目年度</w:t>
            </w:r>
            <w:r>
              <w:rPr>
                <w:rFonts w:ascii="仿宋_GB2312" w:hAnsi="仿宋_GB2312" w:eastAsia="仿宋_GB2312"/>
                <w:color w:val="000000"/>
                <w:sz w:val="24"/>
              </w:rPr>
              <w:br w:type="textWrapping"/>
            </w:r>
            <w:r>
              <w:rPr>
                <w:rFonts w:ascii="仿宋_GB2312" w:hAnsi="仿宋_GB2312" w:eastAsia="仿宋_GB2312"/>
                <w:color w:val="000000"/>
                <w:sz w:val="24"/>
              </w:rPr>
              <w:t>绩效目标</w:t>
            </w:r>
          </w:p>
        </w:tc>
        <w:tc>
          <w:tcPr>
            <w:tcW w:w="7396" w:type="dxa"/>
            <w:gridSpan w:val="8"/>
            <w:tcBorders>
              <w:top w:val="single" w:color="000000" w:sz="4" w:space="0"/>
              <w:left w:val="single" w:color="000000" w:sz="4" w:space="0"/>
              <w:bottom w:val="single" w:color="000000" w:sz="4" w:space="0"/>
              <w:right w:val="single" w:color="000000" w:sz="8" w:space="0"/>
            </w:tcBorders>
            <w:noWrap/>
            <w:vAlign w:val="center"/>
          </w:tcPr>
          <w:p w14:paraId="5FFA93C4">
            <w:pPr>
              <w:keepNext w:val="0"/>
              <w:keepLines w:val="0"/>
              <w:pageBreakBefore w:val="0"/>
              <w:kinsoku/>
              <w:wordWrap/>
              <w:overflowPunct/>
              <w:topLinePunct w:val="0"/>
              <w:autoSpaceDE/>
              <w:autoSpaceDN w:val="0"/>
              <w:bidi w:val="0"/>
              <w:adjustRightInd/>
              <w:snapToGrid/>
              <w:spacing w:line="360" w:lineRule="exact"/>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湘潭县污水处理厂2026年预计污水处理量86万吨，可以实现非雨季污水处理率达到100%，并保证污水处理出水达标率为100%。</w:t>
            </w:r>
          </w:p>
        </w:tc>
      </w:tr>
      <w:tr w14:paraId="7E9809BA">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16DD4A69">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0A3F727">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p>
        </w:tc>
        <w:tc>
          <w:tcPr>
            <w:tcW w:w="1021" w:type="dxa"/>
            <w:tcBorders>
              <w:top w:val="single" w:color="000000" w:sz="4" w:space="0"/>
              <w:left w:val="single" w:color="000000" w:sz="4" w:space="0"/>
              <w:bottom w:val="single" w:color="000000" w:sz="4" w:space="0"/>
              <w:right w:val="single" w:color="000000" w:sz="4" w:space="0"/>
            </w:tcBorders>
            <w:noWrap/>
            <w:vAlign w:val="center"/>
          </w:tcPr>
          <w:p w14:paraId="3AADBF06">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一级指标</w:t>
            </w:r>
          </w:p>
        </w:tc>
        <w:tc>
          <w:tcPr>
            <w:tcW w:w="1044" w:type="dxa"/>
            <w:tcBorders>
              <w:top w:val="single" w:color="000000" w:sz="4" w:space="0"/>
              <w:left w:val="single" w:color="000000" w:sz="4" w:space="0"/>
              <w:bottom w:val="single" w:color="000000" w:sz="4" w:space="0"/>
              <w:right w:val="single" w:color="000000" w:sz="4" w:space="0"/>
            </w:tcBorders>
            <w:noWrap/>
            <w:vAlign w:val="center"/>
          </w:tcPr>
          <w:p w14:paraId="00485B6B">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二级指标</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10C4C8A2">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指标内容</w:t>
            </w:r>
          </w:p>
        </w:tc>
        <w:tc>
          <w:tcPr>
            <w:tcW w:w="1849" w:type="dxa"/>
            <w:gridSpan w:val="3"/>
            <w:tcBorders>
              <w:top w:val="single" w:color="000000" w:sz="4" w:space="0"/>
              <w:left w:val="single" w:color="000000" w:sz="4" w:space="0"/>
              <w:bottom w:val="single" w:color="000000" w:sz="4" w:space="0"/>
              <w:right w:val="single" w:color="000000" w:sz="4" w:space="0"/>
            </w:tcBorders>
            <w:noWrap/>
            <w:vAlign w:val="center"/>
          </w:tcPr>
          <w:p w14:paraId="1B2C3CD2">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指标值</w:t>
            </w:r>
          </w:p>
        </w:tc>
        <w:tc>
          <w:tcPr>
            <w:tcW w:w="1421" w:type="dxa"/>
            <w:tcBorders>
              <w:top w:val="single" w:color="000000" w:sz="4" w:space="0"/>
              <w:left w:val="single" w:color="000000" w:sz="4" w:space="0"/>
              <w:bottom w:val="single" w:color="000000" w:sz="4" w:space="0"/>
              <w:right w:val="single" w:color="000000" w:sz="8" w:space="0"/>
            </w:tcBorders>
            <w:noWrap/>
            <w:vAlign w:val="center"/>
          </w:tcPr>
          <w:p w14:paraId="3BE8A91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备注</w:t>
            </w:r>
          </w:p>
        </w:tc>
      </w:tr>
      <w:tr w14:paraId="627FAD3D">
        <w:tblPrEx>
          <w:tblCellMar>
            <w:top w:w="0" w:type="dxa"/>
            <w:left w:w="15" w:type="dxa"/>
            <w:bottom w:w="0" w:type="dxa"/>
            <w:right w:w="15" w:type="dxa"/>
          </w:tblCellMar>
        </w:tblPrEx>
        <w:trPr>
          <w:trHeight w:val="636"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2E0B84E9">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14:paraId="49B2AA49">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项目年度</w:t>
            </w:r>
            <w:r>
              <w:rPr>
                <w:rFonts w:ascii="仿宋_GB2312" w:hAnsi="仿宋_GB2312" w:eastAsia="仿宋_GB2312"/>
                <w:color w:val="000000"/>
                <w:sz w:val="24"/>
              </w:rPr>
              <w:br w:type="textWrapping"/>
            </w:r>
            <w:r>
              <w:rPr>
                <w:rFonts w:ascii="仿宋_GB2312" w:hAnsi="仿宋_GB2312" w:eastAsia="仿宋_GB2312"/>
                <w:color w:val="000000"/>
                <w:sz w:val="24"/>
              </w:rPr>
              <w:t>绩效指标</w:t>
            </w:r>
          </w:p>
        </w:tc>
        <w:tc>
          <w:tcPr>
            <w:tcW w:w="1021" w:type="dxa"/>
            <w:vMerge w:val="restart"/>
            <w:tcBorders>
              <w:top w:val="single" w:color="000000" w:sz="4" w:space="0"/>
              <w:left w:val="single" w:color="000000" w:sz="4" w:space="0"/>
              <w:bottom w:val="single" w:color="000000" w:sz="4" w:space="0"/>
              <w:right w:val="single" w:color="000000" w:sz="4" w:space="0"/>
            </w:tcBorders>
            <w:noWrap/>
            <w:vAlign w:val="center"/>
          </w:tcPr>
          <w:p w14:paraId="419C7F82">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产出指标</w:t>
            </w:r>
          </w:p>
        </w:tc>
        <w:tc>
          <w:tcPr>
            <w:tcW w:w="1044" w:type="dxa"/>
            <w:tcBorders>
              <w:top w:val="single" w:color="000000" w:sz="4" w:space="0"/>
              <w:left w:val="single" w:color="000000" w:sz="4" w:space="0"/>
              <w:right w:val="single" w:color="000000" w:sz="4" w:space="0"/>
            </w:tcBorders>
            <w:noWrap/>
            <w:vAlign w:val="center"/>
          </w:tcPr>
          <w:p w14:paraId="34F861B0">
            <w:pPr>
              <w:keepNext w:val="0"/>
              <w:keepLines w:val="0"/>
              <w:pageBreakBefore w:val="0"/>
              <w:kinsoku/>
              <w:wordWrap/>
              <w:overflowPunct/>
              <w:topLinePunct w:val="0"/>
              <w:autoSpaceDE/>
              <w:autoSpaceDN w:val="0"/>
              <w:bidi w:val="0"/>
              <w:adjustRightInd/>
              <w:snapToGrid/>
              <w:spacing w:line="360" w:lineRule="exact"/>
              <w:textAlignment w:val="center"/>
              <w:rPr>
                <w:rFonts w:ascii="仿宋_GB2312" w:hAnsi="仿宋_GB2312" w:eastAsia="仿宋_GB2312"/>
                <w:color w:val="000000"/>
                <w:sz w:val="24"/>
              </w:rPr>
            </w:pPr>
            <w:r>
              <w:rPr>
                <w:rFonts w:hint="eastAsia" w:ascii="仿宋_GB2312" w:hAnsi="仿宋_GB2312" w:eastAsia="仿宋_GB2312"/>
                <w:color w:val="000000"/>
                <w:sz w:val="24"/>
              </w:rPr>
              <w:t>数量指标</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0DCD5327">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预计2026年污水处理量</w:t>
            </w:r>
          </w:p>
        </w:tc>
        <w:tc>
          <w:tcPr>
            <w:tcW w:w="1849" w:type="dxa"/>
            <w:gridSpan w:val="3"/>
            <w:tcBorders>
              <w:top w:val="single" w:color="000000" w:sz="4" w:space="0"/>
              <w:left w:val="single" w:color="000000" w:sz="4" w:space="0"/>
              <w:bottom w:val="single" w:color="000000" w:sz="4" w:space="0"/>
              <w:right w:val="single" w:color="000000" w:sz="4" w:space="0"/>
            </w:tcBorders>
            <w:noWrap/>
            <w:vAlign w:val="center"/>
          </w:tcPr>
          <w:p w14:paraId="358BC38B">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color w:val="000000"/>
                <w:kern w:val="0"/>
                <w:sz w:val="24"/>
                <w:szCs w:val="24"/>
              </w:rPr>
              <w:t>86万吨</w:t>
            </w:r>
          </w:p>
        </w:tc>
        <w:tc>
          <w:tcPr>
            <w:tcW w:w="1421" w:type="dxa"/>
            <w:tcBorders>
              <w:top w:val="single" w:color="000000" w:sz="4" w:space="0"/>
              <w:left w:val="single" w:color="000000" w:sz="4" w:space="0"/>
              <w:bottom w:val="single" w:color="000000" w:sz="4" w:space="0"/>
              <w:right w:val="single" w:color="000000" w:sz="8" w:space="0"/>
            </w:tcBorders>
            <w:noWrap/>
            <w:vAlign w:val="center"/>
          </w:tcPr>
          <w:p w14:paraId="60ED07BA">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p>
        </w:tc>
      </w:tr>
      <w:tr w14:paraId="181883AB">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1614E179">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4F4E9695">
            <w:pPr>
              <w:keepNext w:val="0"/>
              <w:keepLines w:val="0"/>
              <w:pageBreakBefore w:val="0"/>
              <w:kinsoku/>
              <w:wordWrap/>
              <w:overflowPunct/>
              <w:topLinePunct w:val="0"/>
              <w:autoSpaceDE/>
              <w:autoSpaceDN w:val="0"/>
              <w:bidi w:val="0"/>
              <w:adjustRightInd/>
              <w:snapToGrid/>
              <w:spacing w:line="360" w:lineRule="exact"/>
              <w:rPr>
                <w:rFonts w:ascii="宋体" w:hAnsi="宋体"/>
                <w:sz w:val="24"/>
              </w:rPr>
            </w:pPr>
          </w:p>
        </w:tc>
        <w:tc>
          <w:tcPr>
            <w:tcW w:w="1021" w:type="dxa"/>
            <w:vMerge w:val="continue"/>
            <w:tcBorders>
              <w:top w:val="single" w:color="000000" w:sz="4" w:space="0"/>
              <w:left w:val="single" w:color="000000" w:sz="4" w:space="0"/>
              <w:bottom w:val="single" w:color="000000" w:sz="4" w:space="0"/>
              <w:right w:val="single" w:color="000000" w:sz="4" w:space="0"/>
            </w:tcBorders>
            <w:noWrap/>
            <w:vAlign w:val="center"/>
          </w:tcPr>
          <w:p w14:paraId="4C164DFC">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宋体" w:hAnsi="宋体"/>
                <w:sz w:val="24"/>
              </w:rPr>
            </w:pPr>
          </w:p>
        </w:tc>
        <w:tc>
          <w:tcPr>
            <w:tcW w:w="1044" w:type="dxa"/>
            <w:tcBorders>
              <w:top w:val="single" w:color="000000" w:sz="4" w:space="0"/>
              <w:left w:val="single" w:color="000000" w:sz="4" w:space="0"/>
              <w:right w:val="single" w:color="000000" w:sz="4" w:space="0"/>
            </w:tcBorders>
            <w:noWrap/>
            <w:vAlign w:val="center"/>
          </w:tcPr>
          <w:p w14:paraId="23BE8C01">
            <w:pPr>
              <w:keepNext w:val="0"/>
              <w:keepLines w:val="0"/>
              <w:pageBreakBefore w:val="0"/>
              <w:kinsoku/>
              <w:wordWrap/>
              <w:overflowPunct/>
              <w:topLinePunct w:val="0"/>
              <w:autoSpaceDE/>
              <w:autoSpaceDN w:val="0"/>
              <w:bidi w:val="0"/>
              <w:adjustRightInd/>
              <w:snapToGrid/>
              <w:spacing w:line="360" w:lineRule="exact"/>
              <w:textAlignment w:val="center"/>
              <w:rPr>
                <w:rFonts w:ascii="仿宋_GB2312" w:hAnsi="仿宋_GB2312" w:eastAsia="仿宋_GB2312"/>
                <w:color w:val="000000"/>
                <w:sz w:val="24"/>
              </w:rPr>
            </w:pPr>
            <w:r>
              <w:rPr>
                <w:rFonts w:hint="eastAsia" w:ascii="仿宋_GB2312" w:hAnsi="仿宋_GB2312" w:eastAsia="仿宋_GB2312"/>
                <w:color w:val="000000"/>
                <w:sz w:val="24"/>
              </w:rPr>
              <w:t>质量指标</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3E5C8D3B">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出水水质按国家相关规范和标准执行。COD、氨氮、总磷、总氮等</w:t>
            </w:r>
          </w:p>
        </w:tc>
        <w:tc>
          <w:tcPr>
            <w:tcW w:w="1849" w:type="dxa"/>
            <w:gridSpan w:val="3"/>
            <w:tcBorders>
              <w:top w:val="single" w:color="000000" w:sz="4" w:space="0"/>
              <w:left w:val="single" w:color="000000" w:sz="4" w:space="0"/>
              <w:bottom w:val="single" w:color="000000" w:sz="4" w:space="0"/>
              <w:right w:val="single" w:color="000000" w:sz="4" w:space="0"/>
            </w:tcBorders>
            <w:noWrap/>
            <w:vAlign w:val="center"/>
          </w:tcPr>
          <w:p w14:paraId="05F1700A">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出水水质满足《城镇污水处理厂污染物排放标准》（规定的排放标准；100%达标排放。</w:t>
            </w:r>
          </w:p>
        </w:tc>
        <w:tc>
          <w:tcPr>
            <w:tcW w:w="1421" w:type="dxa"/>
            <w:tcBorders>
              <w:top w:val="single" w:color="000000" w:sz="4" w:space="0"/>
              <w:left w:val="single" w:color="000000" w:sz="4" w:space="0"/>
              <w:bottom w:val="single" w:color="000000" w:sz="4" w:space="0"/>
              <w:right w:val="single" w:color="000000" w:sz="8" w:space="0"/>
            </w:tcBorders>
            <w:noWrap/>
            <w:vAlign w:val="center"/>
          </w:tcPr>
          <w:p w14:paraId="0DA0DFA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p>
        </w:tc>
      </w:tr>
      <w:tr w14:paraId="5BDAD13A">
        <w:tblPrEx>
          <w:tblCellMar>
            <w:top w:w="0" w:type="dxa"/>
            <w:left w:w="15" w:type="dxa"/>
            <w:bottom w:w="0" w:type="dxa"/>
            <w:right w:w="15" w:type="dxa"/>
          </w:tblCellMar>
        </w:tblPrEx>
        <w:trPr>
          <w:trHeight w:val="622"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443700D0">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6D56D853">
            <w:pPr>
              <w:keepNext w:val="0"/>
              <w:keepLines w:val="0"/>
              <w:pageBreakBefore w:val="0"/>
              <w:kinsoku/>
              <w:wordWrap/>
              <w:overflowPunct/>
              <w:topLinePunct w:val="0"/>
              <w:autoSpaceDE/>
              <w:autoSpaceDN w:val="0"/>
              <w:bidi w:val="0"/>
              <w:adjustRightInd/>
              <w:snapToGrid/>
              <w:spacing w:line="360" w:lineRule="exact"/>
              <w:rPr>
                <w:rFonts w:ascii="宋体" w:hAnsi="宋体"/>
                <w:sz w:val="24"/>
              </w:rPr>
            </w:pPr>
          </w:p>
        </w:tc>
        <w:tc>
          <w:tcPr>
            <w:tcW w:w="1021" w:type="dxa"/>
            <w:vMerge w:val="continue"/>
            <w:tcBorders>
              <w:top w:val="single" w:color="000000" w:sz="4" w:space="0"/>
              <w:left w:val="single" w:color="000000" w:sz="4" w:space="0"/>
              <w:bottom w:val="single" w:color="000000" w:sz="4" w:space="0"/>
              <w:right w:val="single" w:color="000000" w:sz="4" w:space="0"/>
            </w:tcBorders>
            <w:noWrap/>
            <w:vAlign w:val="center"/>
          </w:tcPr>
          <w:p w14:paraId="6048994E">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宋体" w:hAnsi="宋体"/>
                <w:sz w:val="24"/>
              </w:rPr>
            </w:pPr>
          </w:p>
        </w:tc>
        <w:tc>
          <w:tcPr>
            <w:tcW w:w="1044" w:type="dxa"/>
            <w:tcBorders>
              <w:top w:val="single" w:color="000000" w:sz="4" w:space="0"/>
              <w:left w:val="single" w:color="000000" w:sz="4" w:space="0"/>
              <w:bottom w:val="single" w:color="000000" w:sz="4" w:space="0"/>
              <w:right w:val="single" w:color="000000" w:sz="4" w:space="0"/>
            </w:tcBorders>
            <w:noWrap/>
            <w:vAlign w:val="center"/>
          </w:tcPr>
          <w:p w14:paraId="716398B3">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时效指标</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673B0D40">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污水得到及时处理</w:t>
            </w:r>
          </w:p>
        </w:tc>
        <w:tc>
          <w:tcPr>
            <w:tcW w:w="1849" w:type="dxa"/>
            <w:gridSpan w:val="3"/>
            <w:tcBorders>
              <w:top w:val="single" w:color="000000" w:sz="4" w:space="0"/>
              <w:left w:val="single" w:color="000000" w:sz="4" w:space="0"/>
              <w:bottom w:val="single" w:color="000000" w:sz="4" w:space="0"/>
              <w:right w:val="single" w:color="000000" w:sz="4" w:space="0"/>
            </w:tcBorders>
            <w:noWrap/>
            <w:vAlign w:val="center"/>
          </w:tcPr>
          <w:p w14:paraId="40B33510">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全年</w:t>
            </w:r>
          </w:p>
        </w:tc>
        <w:tc>
          <w:tcPr>
            <w:tcW w:w="1421" w:type="dxa"/>
            <w:tcBorders>
              <w:top w:val="single" w:color="000000" w:sz="4" w:space="0"/>
              <w:left w:val="single" w:color="000000" w:sz="4" w:space="0"/>
              <w:bottom w:val="single" w:color="000000" w:sz="4" w:space="0"/>
              <w:right w:val="single" w:color="000000" w:sz="8" w:space="0"/>
            </w:tcBorders>
            <w:noWrap/>
            <w:vAlign w:val="center"/>
          </w:tcPr>
          <w:p w14:paraId="73AE130E">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p>
        </w:tc>
      </w:tr>
      <w:tr w14:paraId="0E4D0E31">
        <w:tblPrEx>
          <w:tblCellMar>
            <w:top w:w="0" w:type="dxa"/>
            <w:left w:w="15" w:type="dxa"/>
            <w:bottom w:w="0" w:type="dxa"/>
            <w:right w:w="15" w:type="dxa"/>
          </w:tblCellMar>
        </w:tblPrEx>
        <w:trPr>
          <w:trHeight w:val="620"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5113996B">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2A2B9519">
            <w:pPr>
              <w:keepNext w:val="0"/>
              <w:keepLines w:val="0"/>
              <w:pageBreakBefore w:val="0"/>
              <w:kinsoku/>
              <w:wordWrap/>
              <w:overflowPunct/>
              <w:topLinePunct w:val="0"/>
              <w:autoSpaceDE/>
              <w:autoSpaceDN w:val="0"/>
              <w:bidi w:val="0"/>
              <w:adjustRightInd/>
              <w:snapToGrid/>
              <w:spacing w:line="360" w:lineRule="exact"/>
              <w:rPr>
                <w:rFonts w:ascii="宋体" w:hAnsi="宋体"/>
                <w:sz w:val="24"/>
              </w:rPr>
            </w:pPr>
          </w:p>
        </w:tc>
        <w:tc>
          <w:tcPr>
            <w:tcW w:w="1021" w:type="dxa"/>
            <w:vMerge w:val="continue"/>
            <w:tcBorders>
              <w:top w:val="single" w:color="000000" w:sz="4" w:space="0"/>
              <w:left w:val="single" w:color="000000" w:sz="4" w:space="0"/>
              <w:bottom w:val="single" w:color="000000" w:sz="4" w:space="0"/>
              <w:right w:val="single" w:color="000000" w:sz="4" w:space="0"/>
            </w:tcBorders>
            <w:noWrap/>
            <w:vAlign w:val="center"/>
          </w:tcPr>
          <w:p w14:paraId="614E10D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宋体" w:hAnsi="宋体"/>
                <w:sz w:val="24"/>
              </w:rPr>
            </w:pPr>
          </w:p>
        </w:tc>
        <w:tc>
          <w:tcPr>
            <w:tcW w:w="1044" w:type="dxa"/>
            <w:tcBorders>
              <w:top w:val="single" w:color="000000" w:sz="4" w:space="0"/>
              <w:left w:val="single" w:color="000000" w:sz="4" w:space="0"/>
              <w:right w:val="single" w:color="000000" w:sz="4" w:space="0"/>
            </w:tcBorders>
            <w:noWrap/>
            <w:vAlign w:val="center"/>
          </w:tcPr>
          <w:p w14:paraId="08C6193F">
            <w:pPr>
              <w:keepNext w:val="0"/>
              <w:keepLines w:val="0"/>
              <w:pageBreakBefore w:val="0"/>
              <w:kinsoku/>
              <w:wordWrap/>
              <w:overflowPunct/>
              <w:topLinePunct w:val="0"/>
              <w:autoSpaceDE/>
              <w:autoSpaceDN w:val="0"/>
              <w:bidi w:val="0"/>
              <w:adjustRightInd/>
              <w:snapToGrid/>
              <w:spacing w:line="360" w:lineRule="exact"/>
              <w:textAlignment w:val="center"/>
              <w:rPr>
                <w:rFonts w:ascii="仿宋_GB2312" w:hAnsi="仿宋_GB2312" w:eastAsia="仿宋_GB2312"/>
                <w:color w:val="000000"/>
                <w:sz w:val="24"/>
              </w:rPr>
            </w:pPr>
            <w:r>
              <w:rPr>
                <w:rFonts w:hint="eastAsia" w:ascii="仿宋_GB2312" w:hAnsi="仿宋_GB2312" w:eastAsia="仿宋_GB2312"/>
                <w:color w:val="000000"/>
                <w:sz w:val="24"/>
              </w:rPr>
              <w:t>成本指标</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1447ED9A">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color w:val="000000"/>
                <w:kern w:val="0"/>
                <w:sz w:val="24"/>
                <w:szCs w:val="24"/>
              </w:rPr>
              <w:t>乡镇污水处理经费</w:t>
            </w:r>
          </w:p>
        </w:tc>
        <w:tc>
          <w:tcPr>
            <w:tcW w:w="1849" w:type="dxa"/>
            <w:gridSpan w:val="3"/>
            <w:tcBorders>
              <w:top w:val="single" w:color="000000" w:sz="4" w:space="0"/>
              <w:left w:val="single" w:color="000000" w:sz="4" w:space="0"/>
              <w:bottom w:val="single" w:color="000000" w:sz="4" w:space="0"/>
              <w:right w:val="single" w:color="000000" w:sz="4" w:space="0"/>
            </w:tcBorders>
            <w:noWrap/>
            <w:vAlign w:val="center"/>
          </w:tcPr>
          <w:p w14:paraId="7EAF0F1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仿宋_GB2312" w:eastAsia="仿宋_GB2312"/>
                <w:color w:val="000000"/>
                <w:sz w:val="24"/>
                <w:szCs w:val="24"/>
              </w:rPr>
              <w:t>100万元</w:t>
            </w:r>
          </w:p>
        </w:tc>
        <w:tc>
          <w:tcPr>
            <w:tcW w:w="1421" w:type="dxa"/>
            <w:tcBorders>
              <w:top w:val="single" w:color="000000" w:sz="4" w:space="0"/>
              <w:left w:val="single" w:color="000000" w:sz="4" w:space="0"/>
              <w:bottom w:val="single" w:color="000000" w:sz="4" w:space="0"/>
              <w:right w:val="single" w:color="000000" w:sz="8" w:space="0"/>
            </w:tcBorders>
            <w:noWrap/>
            <w:vAlign w:val="center"/>
          </w:tcPr>
          <w:p w14:paraId="66BD1A3F">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p>
        </w:tc>
      </w:tr>
      <w:tr w14:paraId="027C98DB">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31EDB813">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320952BF">
            <w:pPr>
              <w:keepNext w:val="0"/>
              <w:keepLines w:val="0"/>
              <w:pageBreakBefore w:val="0"/>
              <w:kinsoku/>
              <w:wordWrap/>
              <w:overflowPunct/>
              <w:topLinePunct w:val="0"/>
              <w:autoSpaceDE/>
              <w:autoSpaceDN w:val="0"/>
              <w:bidi w:val="0"/>
              <w:adjustRightInd/>
              <w:snapToGrid/>
              <w:spacing w:line="360" w:lineRule="exact"/>
              <w:rPr>
                <w:rFonts w:ascii="宋体" w:hAnsi="宋体"/>
                <w:sz w:val="24"/>
              </w:rPr>
            </w:pPr>
          </w:p>
        </w:tc>
        <w:tc>
          <w:tcPr>
            <w:tcW w:w="1021" w:type="dxa"/>
            <w:vMerge w:val="restart"/>
            <w:tcBorders>
              <w:top w:val="single" w:color="000000" w:sz="4" w:space="0"/>
              <w:left w:val="single" w:color="000000" w:sz="4" w:space="0"/>
              <w:bottom w:val="single" w:color="000000" w:sz="4" w:space="0"/>
              <w:right w:val="single" w:color="000000" w:sz="4" w:space="0"/>
            </w:tcBorders>
            <w:noWrap/>
            <w:vAlign w:val="center"/>
          </w:tcPr>
          <w:p w14:paraId="1481B803">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效益指标</w:t>
            </w:r>
          </w:p>
        </w:tc>
        <w:tc>
          <w:tcPr>
            <w:tcW w:w="1044" w:type="dxa"/>
            <w:tcBorders>
              <w:top w:val="single" w:color="000000" w:sz="4" w:space="0"/>
              <w:left w:val="single" w:color="000000" w:sz="4" w:space="0"/>
              <w:bottom w:val="single" w:color="000000" w:sz="4" w:space="0"/>
              <w:right w:val="single" w:color="000000" w:sz="4" w:space="0"/>
            </w:tcBorders>
            <w:noWrap/>
            <w:vAlign w:val="center"/>
          </w:tcPr>
          <w:p w14:paraId="3D0AE163">
            <w:pPr>
              <w:keepNext w:val="0"/>
              <w:keepLines w:val="0"/>
              <w:pageBreakBefore w:val="0"/>
              <w:kinsoku/>
              <w:wordWrap/>
              <w:overflowPunct/>
              <w:topLinePunct w:val="0"/>
              <w:autoSpaceDE/>
              <w:autoSpaceDN w:val="0"/>
              <w:bidi w:val="0"/>
              <w:adjustRightInd/>
              <w:snapToGrid/>
              <w:spacing w:line="360" w:lineRule="exact"/>
              <w:textAlignment w:val="center"/>
              <w:rPr>
                <w:rFonts w:ascii="仿宋_GB2312" w:hAnsi="仿宋_GB2312" w:eastAsia="仿宋_GB2312"/>
                <w:color w:val="000000"/>
                <w:sz w:val="24"/>
              </w:rPr>
            </w:pPr>
            <w:r>
              <w:rPr>
                <w:rFonts w:hint="eastAsia" w:ascii="仿宋_GB2312" w:hAnsi="仿宋_GB2312" w:eastAsia="仿宋_GB2312"/>
                <w:color w:val="000000"/>
                <w:sz w:val="24"/>
              </w:rPr>
              <w:t>经济效益</w:t>
            </w:r>
          </w:p>
          <w:p w14:paraId="70912B56">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指标</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1F95DDC7">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促进当地劳动力就业，推动区域经济发展</w:t>
            </w:r>
          </w:p>
        </w:tc>
        <w:tc>
          <w:tcPr>
            <w:tcW w:w="1849" w:type="dxa"/>
            <w:gridSpan w:val="3"/>
            <w:tcBorders>
              <w:top w:val="single" w:color="000000" w:sz="4" w:space="0"/>
              <w:left w:val="single" w:color="000000" w:sz="4" w:space="0"/>
              <w:bottom w:val="single" w:color="000000" w:sz="4" w:space="0"/>
              <w:right w:val="single" w:color="000000" w:sz="4" w:space="0"/>
            </w:tcBorders>
            <w:noWrap/>
            <w:vAlign w:val="center"/>
          </w:tcPr>
          <w:p w14:paraId="30B7C889">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有效促进</w:t>
            </w:r>
          </w:p>
        </w:tc>
        <w:tc>
          <w:tcPr>
            <w:tcW w:w="1421" w:type="dxa"/>
            <w:tcBorders>
              <w:top w:val="single" w:color="000000" w:sz="4" w:space="0"/>
              <w:left w:val="single" w:color="000000" w:sz="4" w:space="0"/>
              <w:bottom w:val="single" w:color="000000" w:sz="4" w:space="0"/>
              <w:right w:val="single" w:color="000000" w:sz="8" w:space="0"/>
            </w:tcBorders>
            <w:noWrap/>
            <w:vAlign w:val="center"/>
          </w:tcPr>
          <w:p w14:paraId="612AA81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p>
        </w:tc>
      </w:tr>
      <w:tr w14:paraId="37D0C40B">
        <w:tblPrEx>
          <w:tblCellMar>
            <w:top w:w="0" w:type="dxa"/>
            <w:left w:w="15" w:type="dxa"/>
            <w:bottom w:w="0" w:type="dxa"/>
            <w:right w:w="15" w:type="dxa"/>
          </w:tblCellMar>
        </w:tblPrEx>
        <w:trPr>
          <w:trHeight w:val="947"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66D4E2C3">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5170043E">
            <w:pPr>
              <w:keepNext w:val="0"/>
              <w:keepLines w:val="0"/>
              <w:pageBreakBefore w:val="0"/>
              <w:kinsoku/>
              <w:wordWrap/>
              <w:overflowPunct/>
              <w:topLinePunct w:val="0"/>
              <w:autoSpaceDE/>
              <w:autoSpaceDN w:val="0"/>
              <w:bidi w:val="0"/>
              <w:adjustRightInd/>
              <w:snapToGrid/>
              <w:spacing w:line="360" w:lineRule="exact"/>
              <w:rPr>
                <w:rFonts w:ascii="宋体" w:hAnsi="宋体"/>
                <w:sz w:val="24"/>
              </w:rPr>
            </w:pPr>
          </w:p>
        </w:tc>
        <w:tc>
          <w:tcPr>
            <w:tcW w:w="1021" w:type="dxa"/>
            <w:vMerge w:val="continue"/>
            <w:tcBorders>
              <w:top w:val="single" w:color="000000" w:sz="4" w:space="0"/>
              <w:left w:val="single" w:color="000000" w:sz="4" w:space="0"/>
              <w:bottom w:val="single" w:color="000000" w:sz="4" w:space="0"/>
              <w:right w:val="single" w:color="000000" w:sz="4" w:space="0"/>
            </w:tcBorders>
            <w:noWrap/>
            <w:vAlign w:val="center"/>
          </w:tcPr>
          <w:p w14:paraId="363589AA">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宋体" w:hAnsi="宋体"/>
                <w:sz w:val="24"/>
              </w:rPr>
            </w:pPr>
          </w:p>
        </w:tc>
        <w:tc>
          <w:tcPr>
            <w:tcW w:w="1044" w:type="dxa"/>
            <w:tcBorders>
              <w:top w:val="single" w:color="000000" w:sz="4" w:space="0"/>
              <w:left w:val="single" w:color="000000" w:sz="4" w:space="0"/>
              <w:bottom w:val="single" w:color="000000" w:sz="4" w:space="0"/>
              <w:right w:val="single" w:color="000000" w:sz="4" w:space="0"/>
            </w:tcBorders>
            <w:noWrap/>
            <w:vAlign w:val="center"/>
          </w:tcPr>
          <w:p w14:paraId="2844AB7B">
            <w:pPr>
              <w:keepNext w:val="0"/>
              <w:keepLines w:val="0"/>
              <w:pageBreakBefore w:val="0"/>
              <w:kinsoku/>
              <w:wordWrap/>
              <w:overflowPunct/>
              <w:topLinePunct w:val="0"/>
              <w:autoSpaceDE/>
              <w:autoSpaceDN w:val="0"/>
              <w:bidi w:val="0"/>
              <w:adjustRightInd/>
              <w:snapToGrid/>
              <w:spacing w:line="360" w:lineRule="exact"/>
              <w:textAlignment w:val="center"/>
              <w:rPr>
                <w:rFonts w:ascii="仿宋_GB2312" w:hAnsi="仿宋_GB2312" w:eastAsia="仿宋_GB2312"/>
                <w:color w:val="000000"/>
                <w:sz w:val="24"/>
              </w:rPr>
            </w:pPr>
            <w:r>
              <w:rPr>
                <w:rFonts w:hint="eastAsia" w:ascii="仿宋_GB2312" w:hAnsi="仿宋_GB2312" w:eastAsia="仿宋_GB2312"/>
                <w:color w:val="000000"/>
                <w:sz w:val="24"/>
              </w:rPr>
              <w:t>生态效益</w:t>
            </w:r>
          </w:p>
          <w:p w14:paraId="1A80355D">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指标</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6E6E1CD4">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有效削减污染物的排放，改善湘江流域水质。</w:t>
            </w:r>
          </w:p>
        </w:tc>
        <w:tc>
          <w:tcPr>
            <w:tcW w:w="1849" w:type="dxa"/>
            <w:gridSpan w:val="3"/>
            <w:tcBorders>
              <w:top w:val="single" w:color="000000" w:sz="4" w:space="0"/>
              <w:left w:val="single" w:color="000000" w:sz="4" w:space="0"/>
              <w:bottom w:val="single" w:color="000000" w:sz="4" w:space="0"/>
              <w:right w:val="single" w:color="000000" w:sz="4" w:space="0"/>
            </w:tcBorders>
            <w:noWrap/>
            <w:vAlign w:val="center"/>
          </w:tcPr>
          <w:p w14:paraId="342BBE95">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有</w:t>
            </w:r>
            <w:bookmarkStart w:id="0" w:name="_GoBack"/>
            <w:bookmarkEnd w:id="0"/>
            <w:r>
              <w:rPr>
                <w:rFonts w:hint="eastAsia" w:ascii="仿宋_GB2312" w:hAnsi="宋体" w:eastAsia="仿宋_GB2312" w:cs="宋体"/>
                <w:kern w:val="0"/>
                <w:sz w:val="24"/>
                <w:szCs w:val="24"/>
              </w:rPr>
              <w:t>效削减</w:t>
            </w:r>
          </w:p>
        </w:tc>
        <w:tc>
          <w:tcPr>
            <w:tcW w:w="1421" w:type="dxa"/>
            <w:tcBorders>
              <w:top w:val="single" w:color="000000" w:sz="4" w:space="0"/>
              <w:left w:val="single" w:color="000000" w:sz="4" w:space="0"/>
              <w:bottom w:val="single" w:color="000000" w:sz="4" w:space="0"/>
              <w:right w:val="single" w:color="000000" w:sz="8" w:space="0"/>
            </w:tcBorders>
            <w:noWrap/>
            <w:vAlign w:val="center"/>
          </w:tcPr>
          <w:p w14:paraId="17B79978">
            <w:pPr>
              <w:keepNext w:val="0"/>
              <w:keepLines w:val="0"/>
              <w:pageBreakBefore w:val="0"/>
              <w:kinsoku/>
              <w:wordWrap/>
              <w:overflowPunct/>
              <w:topLinePunct w:val="0"/>
              <w:autoSpaceDE/>
              <w:autoSpaceDN w:val="0"/>
              <w:bidi w:val="0"/>
              <w:adjustRightInd/>
              <w:snapToGrid/>
              <w:spacing w:line="360" w:lineRule="exact"/>
              <w:jc w:val="left"/>
              <w:textAlignment w:val="center"/>
              <w:rPr>
                <w:rFonts w:ascii="仿宋_GB2312" w:hAnsi="仿宋_GB2312" w:eastAsia="仿宋_GB2312"/>
                <w:color w:val="000000"/>
                <w:sz w:val="24"/>
                <w:szCs w:val="24"/>
              </w:rPr>
            </w:pPr>
          </w:p>
        </w:tc>
      </w:tr>
      <w:tr w14:paraId="10D8AF7B">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76FE93EE">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7B7D7655">
            <w:pPr>
              <w:keepNext w:val="0"/>
              <w:keepLines w:val="0"/>
              <w:pageBreakBefore w:val="0"/>
              <w:kinsoku/>
              <w:wordWrap/>
              <w:overflowPunct/>
              <w:topLinePunct w:val="0"/>
              <w:autoSpaceDE/>
              <w:autoSpaceDN w:val="0"/>
              <w:bidi w:val="0"/>
              <w:adjustRightInd/>
              <w:snapToGrid/>
              <w:spacing w:line="360" w:lineRule="exact"/>
              <w:rPr>
                <w:rFonts w:ascii="宋体" w:hAnsi="宋体"/>
                <w:sz w:val="24"/>
              </w:rPr>
            </w:pPr>
          </w:p>
        </w:tc>
        <w:tc>
          <w:tcPr>
            <w:tcW w:w="1021" w:type="dxa"/>
            <w:vMerge w:val="continue"/>
            <w:tcBorders>
              <w:top w:val="single" w:color="000000" w:sz="4" w:space="0"/>
              <w:left w:val="single" w:color="000000" w:sz="4" w:space="0"/>
              <w:bottom w:val="single" w:color="000000" w:sz="4" w:space="0"/>
              <w:right w:val="single" w:color="000000" w:sz="4" w:space="0"/>
            </w:tcBorders>
            <w:noWrap/>
            <w:vAlign w:val="center"/>
          </w:tcPr>
          <w:p w14:paraId="324E575B">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宋体" w:hAnsi="宋体"/>
                <w:sz w:val="24"/>
              </w:rPr>
            </w:pPr>
          </w:p>
        </w:tc>
        <w:tc>
          <w:tcPr>
            <w:tcW w:w="1044" w:type="dxa"/>
            <w:tcBorders>
              <w:top w:val="single" w:color="000000" w:sz="4" w:space="0"/>
              <w:left w:val="single" w:color="000000" w:sz="4" w:space="0"/>
              <w:bottom w:val="single" w:color="000000" w:sz="4" w:space="0"/>
              <w:right w:val="single" w:color="000000" w:sz="4" w:space="0"/>
            </w:tcBorders>
            <w:noWrap/>
            <w:vAlign w:val="center"/>
          </w:tcPr>
          <w:p w14:paraId="45FE9A5B">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可持续影响指标</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1C8DCEA8">
            <w:pPr>
              <w:keepNext w:val="0"/>
              <w:keepLines w:val="0"/>
              <w:pageBreakBefore w:val="0"/>
              <w:widowControl/>
              <w:kinsoku/>
              <w:wordWrap/>
              <w:overflowPunct/>
              <w:topLinePunct w:val="0"/>
              <w:autoSpaceDE/>
              <w:bidi w:val="0"/>
              <w:adjustRightInd/>
              <w:snapToGrid/>
              <w:spacing w:line="360" w:lineRule="exact"/>
              <w:jc w:val="left"/>
              <w:rPr>
                <w:rFonts w:ascii="仿宋_GB2312" w:hAnsi="仿宋_GB2312" w:eastAsia="仿宋_GB2312"/>
                <w:color w:val="000000"/>
                <w:sz w:val="24"/>
                <w:szCs w:val="24"/>
              </w:rPr>
            </w:pPr>
            <w:r>
              <w:rPr>
                <w:rFonts w:hint="eastAsia" w:ascii="仿宋_GB2312" w:hAnsi="宋体" w:eastAsia="仿宋_GB2312" w:cs="宋体"/>
                <w:kern w:val="0"/>
                <w:sz w:val="24"/>
                <w:szCs w:val="24"/>
              </w:rPr>
              <w:t>有效确保城区污水得到有效处理排放。</w:t>
            </w:r>
          </w:p>
        </w:tc>
        <w:tc>
          <w:tcPr>
            <w:tcW w:w="1849" w:type="dxa"/>
            <w:gridSpan w:val="3"/>
            <w:tcBorders>
              <w:top w:val="single" w:color="000000" w:sz="4" w:space="0"/>
              <w:left w:val="single" w:color="000000" w:sz="4" w:space="0"/>
              <w:bottom w:val="single" w:color="000000" w:sz="4" w:space="0"/>
              <w:right w:val="single" w:color="000000" w:sz="4" w:space="0"/>
            </w:tcBorders>
            <w:noWrap/>
            <w:vAlign w:val="center"/>
          </w:tcPr>
          <w:p w14:paraId="139DC565">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避免污水直排湘江</w:t>
            </w:r>
          </w:p>
        </w:tc>
        <w:tc>
          <w:tcPr>
            <w:tcW w:w="1421" w:type="dxa"/>
            <w:tcBorders>
              <w:top w:val="single" w:color="000000" w:sz="4" w:space="0"/>
              <w:left w:val="single" w:color="000000" w:sz="4" w:space="0"/>
              <w:bottom w:val="single" w:color="000000" w:sz="4" w:space="0"/>
              <w:right w:val="single" w:color="000000" w:sz="8" w:space="0"/>
            </w:tcBorders>
            <w:noWrap/>
            <w:vAlign w:val="center"/>
          </w:tcPr>
          <w:p w14:paraId="504A803B">
            <w:pPr>
              <w:keepNext w:val="0"/>
              <w:keepLines w:val="0"/>
              <w:pageBreakBefore w:val="0"/>
              <w:kinsoku/>
              <w:wordWrap/>
              <w:overflowPunct/>
              <w:topLinePunct w:val="0"/>
              <w:autoSpaceDE/>
              <w:autoSpaceDN w:val="0"/>
              <w:bidi w:val="0"/>
              <w:adjustRightInd/>
              <w:snapToGrid/>
              <w:spacing w:line="360" w:lineRule="exact"/>
              <w:jc w:val="left"/>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主管部门</w:t>
            </w:r>
            <w:r>
              <w:rPr>
                <w:rFonts w:hint="eastAsia" w:ascii="仿宋_GB2312" w:hAnsi="宋体" w:eastAsia="仿宋_GB2312" w:cs="宋体"/>
                <w:kern w:val="0"/>
                <w:sz w:val="24"/>
                <w:szCs w:val="24"/>
                <w:lang w:eastAsia="zh-CN"/>
              </w:rPr>
              <w:t>检查</w:t>
            </w:r>
            <w:r>
              <w:rPr>
                <w:rFonts w:hint="eastAsia" w:ascii="仿宋_GB2312" w:hAnsi="宋体" w:eastAsia="仿宋_GB2312" w:cs="宋体"/>
                <w:kern w:val="0"/>
                <w:sz w:val="24"/>
                <w:szCs w:val="24"/>
              </w:rPr>
              <w:t>记录，核查是否有因污水处理厂处理未满负荷导致污水直排现象。</w:t>
            </w:r>
          </w:p>
        </w:tc>
      </w:tr>
      <w:tr w14:paraId="633EFB8B">
        <w:tblPrEx>
          <w:tblCellMar>
            <w:top w:w="0" w:type="dxa"/>
            <w:left w:w="15" w:type="dxa"/>
            <w:bottom w:w="0" w:type="dxa"/>
            <w:right w:w="15" w:type="dxa"/>
          </w:tblCellMar>
        </w:tblPrEx>
        <w:trPr>
          <w:trHeight w:val="2010" w:hRule="atLeast"/>
        </w:trPr>
        <w:tc>
          <w:tcPr>
            <w:tcW w:w="585" w:type="dxa"/>
            <w:tcBorders>
              <w:top w:val="single" w:color="000000" w:sz="4" w:space="0"/>
              <w:left w:val="single" w:color="000000" w:sz="8" w:space="0"/>
              <w:bottom w:val="single" w:color="000000" w:sz="4" w:space="0"/>
              <w:right w:val="single" w:color="000000" w:sz="4" w:space="0"/>
            </w:tcBorders>
            <w:noWrap/>
            <w:vAlign w:val="center"/>
          </w:tcPr>
          <w:p w14:paraId="4DB8D73E">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AABB063">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单位已有的（或拟订的）保证项目实施的制度、措施</w:t>
            </w:r>
          </w:p>
        </w:tc>
        <w:tc>
          <w:tcPr>
            <w:tcW w:w="7396" w:type="dxa"/>
            <w:gridSpan w:val="8"/>
            <w:tcBorders>
              <w:top w:val="single" w:color="000000" w:sz="4" w:space="0"/>
              <w:left w:val="single" w:color="000000" w:sz="4" w:space="0"/>
              <w:bottom w:val="single" w:color="000000" w:sz="4" w:space="0"/>
              <w:right w:val="single" w:color="000000" w:sz="8" w:space="0"/>
            </w:tcBorders>
            <w:noWrap/>
            <w:vAlign w:val="center"/>
          </w:tcPr>
          <w:p w14:paraId="5AEEECF1">
            <w:pPr>
              <w:keepNext w:val="0"/>
              <w:keepLines w:val="0"/>
              <w:pageBreakBefore w:val="0"/>
              <w:kinsoku/>
              <w:wordWrap/>
              <w:overflowPunct/>
              <w:topLinePunct w:val="0"/>
              <w:autoSpaceDE/>
              <w:autoSpaceDN w:val="0"/>
              <w:bidi w:val="0"/>
              <w:adjustRightInd/>
              <w:snapToGrid/>
              <w:spacing w:line="360" w:lineRule="exact"/>
              <w:jc w:val="left"/>
              <w:textAlignment w:val="center"/>
              <w:rPr>
                <w:rFonts w:ascii="仿宋_GB2312" w:hAnsi="仿宋_GB2312" w:eastAsia="仿宋_GB2312"/>
                <w:color w:val="000000"/>
                <w:sz w:val="24"/>
              </w:rPr>
            </w:pPr>
            <w:r>
              <w:rPr>
                <w:rFonts w:ascii="仿宋_GB2312" w:hAnsi="仿宋_GB2312" w:eastAsia="仿宋_GB2312"/>
                <w:color w:val="000000"/>
                <w:sz w:val="24"/>
              </w:rPr>
              <w:t>项目组织机构：</w:t>
            </w:r>
            <w:r>
              <w:rPr>
                <w:rFonts w:ascii="仿宋_GB2312" w:hAnsi="仿宋_GB2312" w:eastAsia="仿宋_GB2312"/>
                <w:color w:val="000000"/>
                <w:sz w:val="24"/>
              </w:rPr>
              <w:br w:type="textWrapping"/>
            </w:r>
            <w:r>
              <w:rPr>
                <w:rFonts w:ascii="仿宋_GB2312" w:hAnsi="仿宋_GB2312" w:eastAsia="仿宋_GB2312"/>
                <w:color w:val="000000"/>
                <w:sz w:val="24"/>
              </w:rPr>
              <w:t>相关管理制度：</w:t>
            </w:r>
            <w:r>
              <w:rPr>
                <w:rFonts w:ascii="仿宋_GB2312" w:hAnsi="仿宋_GB2312" w:eastAsia="仿宋_GB2312"/>
                <w:color w:val="000000"/>
                <w:sz w:val="24"/>
              </w:rPr>
              <w:br w:type="textWrapping"/>
            </w:r>
            <w:r>
              <w:rPr>
                <w:rFonts w:ascii="仿宋_GB2312" w:hAnsi="仿宋_GB2312" w:eastAsia="仿宋_GB2312"/>
                <w:color w:val="000000"/>
                <w:sz w:val="24"/>
              </w:rPr>
              <w:t>工作措施 （方案、规划等）</w:t>
            </w:r>
          </w:p>
        </w:tc>
      </w:tr>
      <w:tr w14:paraId="20931B1D">
        <w:tblPrEx>
          <w:tblCellMar>
            <w:top w:w="0" w:type="dxa"/>
            <w:left w:w="15" w:type="dxa"/>
            <w:bottom w:w="0" w:type="dxa"/>
            <w:right w:w="15" w:type="dxa"/>
          </w:tblCellMar>
        </w:tblPrEx>
        <w:trPr>
          <w:trHeight w:val="577" w:hRule="atLeast"/>
        </w:trPr>
        <w:tc>
          <w:tcPr>
            <w:tcW w:w="585" w:type="dxa"/>
            <w:vMerge w:val="restart"/>
            <w:tcBorders>
              <w:top w:val="single" w:color="000000" w:sz="4" w:space="0"/>
              <w:left w:val="single" w:color="000000" w:sz="8" w:space="0"/>
              <w:bottom w:val="single" w:color="000000" w:sz="8" w:space="0"/>
              <w:right w:val="single" w:color="000000" w:sz="4" w:space="0"/>
            </w:tcBorders>
            <w:noWrap/>
            <w:vAlign w:val="center"/>
          </w:tcPr>
          <w:p w14:paraId="1F7CC049">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黑体" w:hAnsi="黑体" w:eastAsia="黑体"/>
                <w:color w:val="000000"/>
                <w:sz w:val="24"/>
              </w:rPr>
            </w:pPr>
            <w:r>
              <w:rPr>
                <w:rFonts w:ascii="黑体" w:hAnsi="黑体" w:eastAsia="黑体"/>
                <w:color w:val="000000"/>
                <w:sz w:val="24"/>
              </w:rPr>
              <w:t>财政部门审核</w:t>
            </w:r>
            <w:r>
              <w:rPr>
                <w:rFonts w:ascii="黑体" w:hAnsi="黑体" w:eastAsia="黑体"/>
                <w:color w:val="000000"/>
                <w:sz w:val="24"/>
              </w:rPr>
              <w:br w:type="textWrapping"/>
            </w:r>
            <w:r>
              <w:rPr>
                <w:rFonts w:ascii="黑体" w:hAnsi="黑体" w:eastAsia="黑体"/>
                <w:color w:val="000000"/>
                <w:sz w:val="24"/>
              </w:rPr>
              <w:t>意见</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9E4887F">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审核股室</w:t>
            </w:r>
          </w:p>
        </w:tc>
        <w:tc>
          <w:tcPr>
            <w:tcW w:w="7396" w:type="dxa"/>
            <w:gridSpan w:val="8"/>
            <w:tcBorders>
              <w:top w:val="single" w:color="000000" w:sz="4" w:space="0"/>
              <w:left w:val="single" w:color="000000" w:sz="4" w:space="0"/>
              <w:bottom w:val="single" w:color="000000" w:sz="4" w:space="0"/>
              <w:right w:val="single" w:color="000000" w:sz="8" w:space="0"/>
            </w:tcBorders>
            <w:noWrap/>
            <w:vAlign w:val="center"/>
          </w:tcPr>
          <w:p w14:paraId="035AB613">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审核意见</w:t>
            </w:r>
          </w:p>
        </w:tc>
      </w:tr>
      <w:tr w14:paraId="0553F1B0">
        <w:tblPrEx>
          <w:tblCellMar>
            <w:top w:w="0" w:type="dxa"/>
            <w:left w:w="15" w:type="dxa"/>
            <w:bottom w:w="0" w:type="dxa"/>
            <w:right w:w="15" w:type="dxa"/>
          </w:tblCellMar>
        </w:tblPrEx>
        <w:trPr>
          <w:trHeight w:val="1796"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6F62BEF3">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A8FA129">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财政归口</w:t>
            </w:r>
            <w:r>
              <w:rPr>
                <w:rFonts w:ascii="仿宋_GB2312" w:hAnsi="仿宋_GB2312" w:eastAsia="仿宋_GB2312"/>
                <w:color w:val="000000"/>
                <w:sz w:val="24"/>
              </w:rPr>
              <w:br w:type="textWrapping"/>
            </w:r>
            <w:r>
              <w:rPr>
                <w:rFonts w:ascii="仿宋_GB2312" w:hAnsi="仿宋_GB2312" w:eastAsia="仿宋_GB2312"/>
                <w:color w:val="000000"/>
                <w:sz w:val="24"/>
              </w:rPr>
              <w:t>业务股室</w:t>
            </w:r>
            <w:r>
              <w:rPr>
                <w:rFonts w:ascii="仿宋_GB2312" w:hAnsi="仿宋_GB2312" w:eastAsia="仿宋_GB2312"/>
                <w:color w:val="000000"/>
                <w:sz w:val="24"/>
              </w:rPr>
              <w:br w:type="textWrapping"/>
            </w:r>
            <w:r>
              <w:rPr>
                <w:rFonts w:ascii="仿宋_GB2312" w:hAnsi="仿宋_GB2312" w:eastAsia="仿宋_GB2312"/>
                <w:color w:val="000000"/>
                <w:sz w:val="24"/>
              </w:rPr>
              <w:t>审核意见</w:t>
            </w:r>
          </w:p>
        </w:tc>
        <w:tc>
          <w:tcPr>
            <w:tcW w:w="7396" w:type="dxa"/>
            <w:gridSpan w:val="8"/>
            <w:tcBorders>
              <w:top w:val="single" w:color="000000" w:sz="4" w:space="0"/>
              <w:left w:val="single" w:color="000000" w:sz="4" w:space="0"/>
              <w:bottom w:val="single" w:color="000000" w:sz="4" w:space="0"/>
              <w:right w:val="single" w:color="000000" w:sz="8" w:space="0"/>
            </w:tcBorders>
            <w:noWrap/>
            <w:vAlign w:val="center"/>
          </w:tcPr>
          <w:p w14:paraId="08B16D0C">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2E0A0429">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63B2FA0E">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00A44FF1">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3AB1CA0C">
            <w:pPr>
              <w:keepNext w:val="0"/>
              <w:keepLines w:val="0"/>
              <w:pageBreakBefore w:val="0"/>
              <w:kinsoku/>
              <w:wordWrap/>
              <w:overflowPunct/>
              <w:topLinePunct w:val="0"/>
              <w:autoSpaceDE/>
              <w:autoSpaceDN w:val="0"/>
              <w:bidi w:val="0"/>
              <w:adjustRightInd/>
              <w:snapToGrid/>
              <w:spacing w:line="360" w:lineRule="exact"/>
              <w:ind w:right="360"/>
              <w:jc w:val="right"/>
              <w:textAlignment w:val="bottom"/>
              <w:rPr>
                <w:rFonts w:ascii="仿宋_GB2312" w:hAnsi="仿宋_GB2312" w:eastAsia="仿宋_GB2312"/>
                <w:color w:val="000000"/>
                <w:sz w:val="24"/>
              </w:rPr>
            </w:pPr>
          </w:p>
          <w:p w14:paraId="583F90DB">
            <w:pPr>
              <w:keepNext w:val="0"/>
              <w:keepLines w:val="0"/>
              <w:pageBreakBefore w:val="0"/>
              <w:kinsoku/>
              <w:wordWrap/>
              <w:overflowPunct/>
              <w:topLinePunct w:val="0"/>
              <w:autoSpaceDE/>
              <w:autoSpaceDN w:val="0"/>
              <w:bidi w:val="0"/>
              <w:adjustRightInd/>
              <w:snapToGrid/>
              <w:spacing w:line="360" w:lineRule="exact"/>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17105F77">
        <w:tblPrEx>
          <w:tblCellMar>
            <w:top w:w="0" w:type="dxa"/>
            <w:left w:w="15" w:type="dxa"/>
            <w:bottom w:w="0" w:type="dxa"/>
            <w:right w:w="15" w:type="dxa"/>
          </w:tblCellMar>
        </w:tblPrEx>
        <w:trPr>
          <w:trHeight w:val="1610"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48DD0452">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9A52389">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绩效评价</w:t>
            </w:r>
            <w:r>
              <w:rPr>
                <w:rFonts w:ascii="仿宋_GB2312" w:hAnsi="仿宋_GB2312" w:eastAsia="仿宋_GB2312"/>
                <w:color w:val="000000"/>
                <w:sz w:val="24"/>
              </w:rPr>
              <w:br w:type="textWrapping"/>
            </w:r>
            <w:r>
              <w:rPr>
                <w:rFonts w:ascii="仿宋_GB2312" w:hAnsi="仿宋_GB2312" w:eastAsia="仿宋_GB2312"/>
                <w:color w:val="000000"/>
                <w:sz w:val="24"/>
              </w:rPr>
              <w:t>股审核意见</w:t>
            </w:r>
          </w:p>
        </w:tc>
        <w:tc>
          <w:tcPr>
            <w:tcW w:w="7396" w:type="dxa"/>
            <w:gridSpan w:val="8"/>
            <w:tcBorders>
              <w:top w:val="single" w:color="000000" w:sz="4" w:space="0"/>
              <w:left w:val="single" w:color="000000" w:sz="4" w:space="0"/>
              <w:bottom w:val="single" w:color="000000" w:sz="4" w:space="0"/>
              <w:right w:val="single" w:color="000000" w:sz="8" w:space="0"/>
            </w:tcBorders>
            <w:noWrap/>
            <w:vAlign w:val="center"/>
          </w:tcPr>
          <w:p w14:paraId="2E224A58">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2524BF1E">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548706E0">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389DE410">
            <w:pPr>
              <w:keepNext w:val="0"/>
              <w:keepLines w:val="0"/>
              <w:pageBreakBefore w:val="0"/>
              <w:kinsoku/>
              <w:wordWrap/>
              <w:overflowPunct/>
              <w:topLinePunct w:val="0"/>
              <w:autoSpaceDE/>
              <w:autoSpaceDN w:val="0"/>
              <w:bidi w:val="0"/>
              <w:adjustRightInd/>
              <w:snapToGrid/>
              <w:spacing w:line="360" w:lineRule="exact"/>
              <w:ind w:right="360"/>
              <w:jc w:val="right"/>
              <w:textAlignment w:val="bottom"/>
              <w:rPr>
                <w:rFonts w:ascii="仿宋_GB2312" w:hAnsi="仿宋_GB2312" w:eastAsia="仿宋_GB2312"/>
                <w:color w:val="000000"/>
                <w:sz w:val="24"/>
              </w:rPr>
            </w:pPr>
          </w:p>
          <w:p w14:paraId="51B395F5">
            <w:pPr>
              <w:keepNext w:val="0"/>
              <w:keepLines w:val="0"/>
              <w:pageBreakBefore w:val="0"/>
              <w:kinsoku/>
              <w:wordWrap/>
              <w:overflowPunct/>
              <w:topLinePunct w:val="0"/>
              <w:autoSpaceDE/>
              <w:autoSpaceDN w:val="0"/>
              <w:bidi w:val="0"/>
              <w:adjustRightInd/>
              <w:snapToGrid/>
              <w:spacing w:line="360" w:lineRule="exact"/>
              <w:ind w:right="360"/>
              <w:jc w:val="right"/>
              <w:textAlignment w:val="bottom"/>
              <w:rPr>
                <w:rFonts w:ascii="仿宋_GB2312" w:hAnsi="仿宋_GB2312" w:eastAsia="仿宋_GB2312"/>
                <w:color w:val="000000"/>
                <w:sz w:val="24"/>
              </w:rPr>
            </w:pPr>
          </w:p>
          <w:p w14:paraId="50B56E1E">
            <w:pPr>
              <w:keepNext w:val="0"/>
              <w:keepLines w:val="0"/>
              <w:pageBreakBefore w:val="0"/>
              <w:kinsoku/>
              <w:wordWrap/>
              <w:overflowPunct/>
              <w:topLinePunct w:val="0"/>
              <w:autoSpaceDE/>
              <w:autoSpaceDN w:val="0"/>
              <w:bidi w:val="0"/>
              <w:adjustRightInd/>
              <w:snapToGrid/>
              <w:spacing w:line="360" w:lineRule="exact"/>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551B105C">
        <w:tblPrEx>
          <w:tblCellMar>
            <w:top w:w="0" w:type="dxa"/>
            <w:left w:w="15" w:type="dxa"/>
            <w:bottom w:w="0" w:type="dxa"/>
            <w:right w:w="15" w:type="dxa"/>
          </w:tblCellMar>
        </w:tblPrEx>
        <w:trPr>
          <w:trHeight w:val="2765"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0D4F02EB">
            <w:pPr>
              <w:keepNext w:val="0"/>
              <w:keepLines w:val="0"/>
              <w:pageBreakBefore w:val="0"/>
              <w:kinsoku/>
              <w:wordWrap/>
              <w:overflowPunct/>
              <w:topLinePunct w:val="0"/>
              <w:autoSpaceDE/>
              <w:bidi w:val="0"/>
              <w:adjustRightInd/>
              <w:snapToGrid/>
              <w:spacing w:line="360" w:lineRule="exact"/>
              <w:rPr>
                <w:rFonts w:ascii="宋体" w:hAnsi="宋体"/>
                <w:sz w:val="24"/>
              </w:rPr>
            </w:pPr>
          </w:p>
        </w:tc>
        <w:tc>
          <w:tcPr>
            <w:tcW w:w="1110" w:type="dxa"/>
            <w:tcBorders>
              <w:top w:val="single" w:color="000000" w:sz="4" w:space="0"/>
              <w:left w:val="single" w:color="000000" w:sz="4" w:space="0"/>
              <w:bottom w:val="single" w:color="000000" w:sz="8" w:space="0"/>
              <w:right w:val="single" w:color="000000" w:sz="4" w:space="0"/>
            </w:tcBorders>
            <w:noWrap/>
            <w:vAlign w:val="center"/>
          </w:tcPr>
          <w:p w14:paraId="646C1673">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预算股</w:t>
            </w:r>
            <w:r>
              <w:rPr>
                <w:rFonts w:ascii="仿宋_GB2312" w:hAnsi="仿宋_GB2312" w:eastAsia="仿宋_GB2312"/>
                <w:color w:val="000000"/>
                <w:sz w:val="24"/>
              </w:rPr>
              <w:br w:type="textWrapping"/>
            </w:r>
            <w:r>
              <w:rPr>
                <w:rFonts w:ascii="仿宋_GB2312" w:hAnsi="仿宋_GB2312" w:eastAsia="仿宋_GB2312"/>
                <w:color w:val="000000"/>
                <w:sz w:val="24"/>
              </w:rPr>
              <w:t>审核意见</w:t>
            </w:r>
          </w:p>
        </w:tc>
        <w:tc>
          <w:tcPr>
            <w:tcW w:w="7396" w:type="dxa"/>
            <w:gridSpan w:val="8"/>
            <w:tcBorders>
              <w:top w:val="single" w:color="000000" w:sz="4" w:space="0"/>
              <w:left w:val="single" w:color="000000" w:sz="4" w:space="0"/>
              <w:bottom w:val="single" w:color="000000" w:sz="8" w:space="0"/>
              <w:right w:val="single" w:color="000000" w:sz="8" w:space="0"/>
            </w:tcBorders>
            <w:noWrap/>
            <w:vAlign w:val="center"/>
          </w:tcPr>
          <w:p w14:paraId="17779C15">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76585C08">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5A88167A">
            <w:pPr>
              <w:keepNext w:val="0"/>
              <w:keepLines w:val="0"/>
              <w:pageBreakBefore w:val="0"/>
              <w:kinsoku/>
              <w:wordWrap/>
              <w:overflowPunct/>
              <w:topLinePunct w:val="0"/>
              <w:autoSpaceDE/>
              <w:autoSpaceDN w:val="0"/>
              <w:bidi w:val="0"/>
              <w:adjustRightInd/>
              <w:snapToGrid/>
              <w:spacing w:line="360" w:lineRule="exact"/>
              <w:jc w:val="right"/>
              <w:textAlignment w:val="bottom"/>
              <w:rPr>
                <w:rFonts w:ascii="仿宋_GB2312" w:hAnsi="仿宋_GB2312" w:eastAsia="仿宋_GB2312"/>
                <w:color w:val="000000"/>
                <w:sz w:val="24"/>
              </w:rPr>
            </w:pPr>
          </w:p>
          <w:p w14:paraId="16A6C91B">
            <w:pPr>
              <w:keepNext w:val="0"/>
              <w:keepLines w:val="0"/>
              <w:pageBreakBefore w:val="0"/>
              <w:kinsoku/>
              <w:wordWrap/>
              <w:overflowPunct/>
              <w:topLinePunct w:val="0"/>
              <w:autoSpaceDE/>
              <w:autoSpaceDN w:val="0"/>
              <w:bidi w:val="0"/>
              <w:adjustRightInd/>
              <w:snapToGrid/>
              <w:spacing w:line="360" w:lineRule="exact"/>
              <w:ind w:right="360"/>
              <w:jc w:val="right"/>
              <w:textAlignment w:val="bottom"/>
              <w:rPr>
                <w:rFonts w:ascii="仿宋_GB2312" w:hAnsi="仿宋_GB2312" w:eastAsia="仿宋_GB2312"/>
                <w:color w:val="000000"/>
                <w:sz w:val="24"/>
              </w:rPr>
            </w:pPr>
          </w:p>
          <w:p w14:paraId="10EC10F5">
            <w:pPr>
              <w:keepNext w:val="0"/>
              <w:keepLines w:val="0"/>
              <w:pageBreakBefore w:val="0"/>
              <w:kinsoku/>
              <w:wordWrap/>
              <w:overflowPunct/>
              <w:topLinePunct w:val="0"/>
              <w:autoSpaceDE/>
              <w:autoSpaceDN w:val="0"/>
              <w:bidi w:val="0"/>
              <w:adjustRightInd/>
              <w:snapToGrid/>
              <w:spacing w:line="360" w:lineRule="exact"/>
              <w:ind w:right="360"/>
              <w:jc w:val="right"/>
              <w:textAlignment w:val="bottom"/>
              <w:rPr>
                <w:rFonts w:ascii="仿宋_GB2312" w:hAnsi="仿宋_GB2312" w:eastAsia="仿宋_GB2312"/>
                <w:color w:val="000000"/>
                <w:sz w:val="24"/>
              </w:rPr>
            </w:pPr>
          </w:p>
          <w:p w14:paraId="55B26303">
            <w:pPr>
              <w:keepNext w:val="0"/>
              <w:keepLines w:val="0"/>
              <w:pageBreakBefore w:val="0"/>
              <w:kinsoku/>
              <w:wordWrap/>
              <w:overflowPunct/>
              <w:topLinePunct w:val="0"/>
              <w:autoSpaceDE/>
              <w:autoSpaceDN w:val="0"/>
              <w:bidi w:val="0"/>
              <w:adjustRightInd/>
              <w:snapToGrid/>
              <w:spacing w:line="360" w:lineRule="exact"/>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379861B9">
        <w:tblPrEx>
          <w:tblCellMar>
            <w:top w:w="0" w:type="dxa"/>
            <w:left w:w="15" w:type="dxa"/>
            <w:bottom w:w="0" w:type="dxa"/>
            <w:right w:w="15" w:type="dxa"/>
          </w:tblCellMar>
        </w:tblPrEx>
        <w:trPr>
          <w:trHeight w:val="584" w:hRule="atLeast"/>
        </w:trPr>
        <w:tc>
          <w:tcPr>
            <w:tcW w:w="3760" w:type="dxa"/>
            <w:gridSpan w:val="4"/>
            <w:noWrap/>
            <w:vAlign w:val="center"/>
          </w:tcPr>
          <w:p w14:paraId="45277ADB">
            <w:pPr>
              <w:keepNext w:val="0"/>
              <w:keepLines w:val="0"/>
              <w:pageBreakBefore w:val="0"/>
              <w:kinsoku/>
              <w:wordWrap/>
              <w:overflowPunct/>
              <w:topLinePunct w:val="0"/>
              <w:autoSpaceDE/>
              <w:autoSpaceDN w:val="0"/>
              <w:bidi w:val="0"/>
              <w:adjustRightInd/>
              <w:snapToGrid/>
              <w:spacing w:line="360" w:lineRule="exact"/>
              <w:jc w:val="left"/>
              <w:textAlignment w:val="center"/>
              <w:rPr>
                <w:rFonts w:ascii="仿宋_GB2312" w:hAnsi="仿宋_GB2312" w:eastAsia="仿宋_GB2312"/>
                <w:color w:val="000000"/>
                <w:sz w:val="24"/>
              </w:rPr>
            </w:pPr>
          </w:p>
          <w:p w14:paraId="03E84D28">
            <w:pPr>
              <w:keepNext w:val="0"/>
              <w:keepLines w:val="0"/>
              <w:pageBreakBefore w:val="0"/>
              <w:kinsoku/>
              <w:wordWrap/>
              <w:overflowPunct/>
              <w:topLinePunct w:val="0"/>
              <w:autoSpaceDE/>
              <w:autoSpaceDN w:val="0"/>
              <w:bidi w:val="0"/>
              <w:adjustRightInd/>
              <w:snapToGrid/>
              <w:spacing w:line="360" w:lineRule="exact"/>
              <w:jc w:val="left"/>
              <w:textAlignment w:val="center"/>
              <w:rPr>
                <w:rFonts w:ascii="仿宋_GB2312" w:hAnsi="仿宋_GB2312" w:eastAsia="仿宋_GB2312"/>
                <w:color w:val="000000"/>
                <w:sz w:val="24"/>
              </w:rPr>
            </w:pPr>
            <w:r>
              <w:rPr>
                <w:rFonts w:ascii="仿宋_GB2312" w:hAnsi="仿宋_GB2312" w:eastAsia="仿宋_GB2312"/>
                <w:color w:val="000000"/>
                <w:sz w:val="24"/>
              </w:rPr>
              <w:t>单位负责人：</w:t>
            </w:r>
            <w:r>
              <w:rPr>
                <w:rFonts w:hint="eastAsia" w:ascii="仿宋_GB2312" w:hAnsi="仿宋_GB2312" w:eastAsia="仿宋_GB2312"/>
                <w:color w:val="000000"/>
                <w:sz w:val="24"/>
              </w:rPr>
              <w:t>周理湘</w:t>
            </w:r>
          </w:p>
        </w:tc>
        <w:tc>
          <w:tcPr>
            <w:tcW w:w="1500" w:type="dxa"/>
            <w:noWrap/>
            <w:vAlign w:val="center"/>
          </w:tcPr>
          <w:p w14:paraId="51A528E7">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p>
        </w:tc>
        <w:tc>
          <w:tcPr>
            <w:tcW w:w="875" w:type="dxa"/>
            <w:gridSpan w:val="2"/>
            <w:noWrap/>
            <w:vAlign w:val="center"/>
          </w:tcPr>
          <w:p w14:paraId="02956E0E">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p>
          <w:p w14:paraId="0B5E9D42">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ascii="仿宋_GB2312" w:hAnsi="仿宋_GB2312" w:eastAsia="仿宋_GB2312"/>
                <w:color w:val="000000"/>
                <w:sz w:val="24"/>
              </w:rPr>
              <w:t xml:space="preserve">填报人： </w:t>
            </w:r>
          </w:p>
        </w:tc>
        <w:tc>
          <w:tcPr>
            <w:tcW w:w="2956" w:type="dxa"/>
            <w:gridSpan w:val="3"/>
            <w:noWrap/>
            <w:vAlign w:val="center"/>
          </w:tcPr>
          <w:p w14:paraId="5B75E0F0">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p>
          <w:p w14:paraId="117C099E">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钟国雄</w:t>
            </w:r>
          </w:p>
        </w:tc>
      </w:tr>
      <w:tr w14:paraId="52E8F1BA">
        <w:tblPrEx>
          <w:tblCellMar>
            <w:top w:w="0" w:type="dxa"/>
            <w:left w:w="15" w:type="dxa"/>
            <w:bottom w:w="0" w:type="dxa"/>
            <w:right w:w="15" w:type="dxa"/>
          </w:tblCellMar>
        </w:tblPrEx>
        <w:trPr>
          <w:trHeight w:val="384" w:hRule="atLeast"/>
        </w:trPr>
        <w:tc>
          <w:tcPr>
            <w:tcW w:w="585" w:type="dxa"/>
            <w:noWrap/>
            <w:vAlign w:val="center"/>
          </w:tcPr>
          <w:p w14:paraId="54DA4A7C">
            <w:pPr>
              <w:keepNext w:val="0"/>
              <w:keepLines w:val="0"/>
              <w:pageBreakBefore w:val="0"/>
              <w:kinsoku/>
              <w:wordWrap/>
              <w:overflowPunct/>
              <w:topLinePunct w:val="0"/>
              <w:autoSpaceDE/>
              <w:autoSpaceDN w:val="0"/>
              <w:bidi w:val="0"/>
              <w:adjustRightInd/>
              <w:snapToGrid/>
              <w:spacing w:line="360" w:lineRule="exact"/>
              <w:jc w:val="center"/>
              <w:textAlignment w:val="center"/>
              <w:rPr>
                <w:rFonts w:ascii="仿宋_GB2312" w:hAnsi="仿宋_GB2312" w:eastAsia="仿宋_GB2312"/>
                <w:color w:val="000000"/>
                <w:sz w:val="24"/>
              </w:rPr>
            </w:pPr>
          </w:p>
        </w:tc>
        <w:tc>
          <w:tcPr>
            <w:tcW w:w="8506" w:type="dxa"/>
            <w:gridSpan w:val="9"/>
            <w:noWrap/>
            <w:vAlign w:val="center"/>
          </w:tcPr>
          <w:p w14:paraId="4D5A0629">
            <w:pPr>
              <w:keepNext w:val="0"/>
              <w:keepLines w:val="0"/>
              <w:pageBreakBefore w:val="0"/>
              <w:kinsoku/>
              <w:wordWrap/>
              <w:overflowPunct/>
              <w:topLinePunct w:val="0"/>
              <w:autoSpaceDE/>
              <w:autoSpaceDN w:val="0"/>
              <w:bidi w:val="0"/>
              <w:adjustRightInd/>
              <w:snapToGrid/>
              <w:spacing w:line="360" w:lineRule="exact"/>
              <w:jc w:val="right"/>
              <w:textAlignment w:val="center"/>
              <w:rPr>
                <w:rFonts w:ascii="仿宋_GB2312" w:hAnsi="仿宋_GB2312" w:eastAsia="仿宋_GB2312"/>
                <w:color w:val="000000"/>
                <w:sz w:val="24"/>
              </w:rPr>
            </w:pPr>
          </w:p>
          <w:p w14:paraId="29935CB4">
            <w:pPr>
              <w:keepNext w:val="0"/>
              <w:keepLines w:val="0"/>
              <w:pageBreakBefore w:val="0"/>
              <w:kinsoku/>
              <w:wordWrap/>
              <w:overflowPunct/>
              <w:topLinePunct w:val="0"/>
              <w:autoSpaceDE/>
              <w:autoSpaceDN w:val="0"/>
              <w:bidi w:val="0"/>
              <w:adjustRightInd/>
              <w:snapToGrid/>
              <w:spacing w:line="360" w:lineRule="exact"/>
              <w:jc w:val="right"/>
              <w:textAlignment w:val="center"/>
              <w:rPr>
                <w:rFonts w:ascii="仿宋_GB2312" w:hAnsi="仿宋_GB2312" w:eastAsia="仿宋_GB2312"/>
                <w:color w:val="000000"/>
                <w:sz w:val="24"/>
              </w:rPr>
            </w:pPr>
          </w:p>
        </w:tc>
      </w:tr>
      <w:tr w14:paraId="24C8D22B">
        <w:tblPrEx>
          <w:tblCellMar>
            <w:top w:w="0" w:type="dxa"/>
            <w:left w:w="15" w:type="dxa"/>
            <w:bottom w:w="0" w:type="dxa"/>
            <w:right w:w="15" w:type="dxa"/>
          </w:tblCellMar>
        </w:tblPrEx>
        <w:trPr>
          <w:trHeight w:val="585" w:hRule="atLeast"/>
        </w:trPr>
        <w:tc>
          <w:tcPr>
            <w:tcW w:w="9091" w:type="dxa"/>
            <w:gridSpan w:val="10"/>
            <w:noWrap/>
            <w:vAlign w:val="center"/>
          </w:tcPr>
          <w:p w14:paraId="59FACC5D">
            <w:pPr>
              <w:keepNext w:val="0"/>
              <w:keepLines w:val="0"/>
              <w:pageBreakBefore w:val="0"/>
              <w:kinsoku/>
              <w:wordWrap/>
              <w:overflowPunct/>
              <w:topLinePunct w:val="0"/>
              <w:autoSpaceDE/>
              <w:autoSpaceDN w:val="0"/>
              <w:bidi w:val="0"/>
              <w:adjustRightInd/>
              <w:snapToGrid/>
              <w:spacing w:line="360" w:lineRule="exact"/>
              <w:jc w:val="left"/>
              <w:textAlignment w:val="center"/>
              <w:rPr>
                <w:rFonts w:ascii="仿宋_GB2312" w:hAnsi="仿宋_GB2312" w:eastAsia="仿宋_GB2312"/>
                <w:color w:val="000000"/>
                <w:sz w:val="24"/>
              </w:rPr>
            </w:pPr>
            <w:r>
              <w:rPr>
                <w:rFonts w:ascii="仿宋_GB2312" w:hAnsi="仿宋_GB2312" w:eastAsia="仿宋_GB2312"/>
                <w:color w:val="000000"/>
                <w:sz w:val="24"/>
              </w:rPr>
              <w:t>注：1、此表一式</w:t>
            </w:r>
            <w:r>
              <w:rPr>
                <w:rFonts w:hint="eastAsia" w:ascii="仿宋_GB2312" w:hAnsi="仿宋_GB2312" w:eastAsia="仿宋_GB2312"/>
                <w:color w:val="000000"/>
                <w:sz w:val="24"/>
              </w:rPr>
              <w:t>四</w:t>
            </w:r>
            <w:r>
              <w:rPr>
                <w:rFonts w:ascii="仿宋_GB2312" w:hAnsi="仿宋_GB2312" w:eastAsia="仿宋_GB2312"/>
                <w:color w:val="000000"/>
                <w:sz w:val="24"/>
              </w:rPr>
              <w:t>份，经财政部门审核后，单位</w:t>
            </w:r>
            <w:r>
              <w:rPr>
                <w:rFonts w:hint="eastAsia" w:ascii="仿宋_GB2312" w:hAnsi="仿宋_GB2312" w:eastAsia="仿宋_GB2312"/>
                <w:color w:val="000000"/>
                <w:sz w:val="24"/>
              </w:rPr>
              <w:t>、归口股室、</w:t>
            </w:r>
            <w:r>
              <w:rPr>
                <w:rFonts w:ascii="仿宋_GB2312" w:hAnsi="仿宋_GB2312" w:eastAsia="仿宋_GB2312"/>
                <w:color w:val="000000"/>
                <w:sz w:val="24"/>
              </w:rPr>
              <w:t>绩效管理股</w:t>
            </w:r>
            <w:r>
              <w:rPr>
                <w:rFonts w:hint="eastAsia" w:ascii="仿宋_GB2312" w:hAnsi="仿宋_GB2312" w:eastAsia="仿宋_GB2312"/>
                <w:color w:val="000000"/>
                <w:sz w:val="24"/>
              </w:rPr>
              <w:t>、预算股各存</w:t>
            </w:r>
            <w:r>
              <w:rPr>
                <w:rFonts w:ascii="仿宋_GB2312" w:hAnsi="仿宋_GB2312" w:eastAsia="仿宋_GB2312"/>
                <w:color w:val="000000"/>
                <w:sz w:val="24"/>
              </w:rPr>
              <w:t>一份。</w:t>
            </w:r>
            <w:r>
              <w:rPr>
                <w:rFonts w:ascii="仿宋_GB2312" w:hAnsi="仿宋_GB2312" w:eastAsia="仿宋_GB2312"/>
                <w:color w:val="000000"/>
                <w:sz w:val="24"/>
              </w:rPr>
              <w:br w:type="textWrapping"/>
            </w:r>
            <w:r>
              <w:rPr>
                <w:rFonts w:ascii="仿宋_GB2312" w:hAnsi="仿宋_GB2312" w:eastAsia="仿宋_GB2312"/>
                <w:color w:val="000000"/>
                <w:sz w:val="24"/>
              </w:rPr>
              <w:t xml:space="preserve">    2、本表上报时须附部门绩效目标制定依据。</w:t>
            </w:r>
          </w:p>
        </w:tc>
      </w:tr>
    </w:tbl>
    <w:p w14:paraId="257D2D00">
      <w:pPr>
        <w:keepNext w:val="0"/>
        <w:keepLines w:val="0"/>
        <w:pageBreakBefore w:val="0"/>
        <w:kinsoku/>
        <w:wordWrap/>
        <w:overflowPunct/>
        <w:topLinePunct w:val="0"/>
        <w:autoSpaceDE/>
        <w:bidi w:val="0"/>
        <w:adjustRightInd/>
        <w:snapToGrid/>
        <w:spacing w:line="3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Wingdings 2">
    <w:altName w:val="MathJax_Vector"/>
    <w:panose1 w:val="00000000000000000000"/>
    <w:charset w:val="02"/>
    <w:family w:val="roman"/>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Kingsoft UE">
    <w:panose1 w:val="02000100010000000000"/>
    <w:charset w:val="00"/>
    <w:family w:val="auto"/>
    <w:pitch w:val="default"/>
    <w:sig w:usb0="00000001" w:usb1="00004000" w:usb2="00000000" w:usb3="00000000" w:csb0="00000001" w:csb1="00000000"/>
  </w:font>
  <w:font w:name="Wingdings 2">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I4ZTMxYTkyZGMxOTcxYmUwYmIwOGRlZDZmYjE5Y2YifQ=="/>
  </w:docVars>
  <w:rsids>
    <w:rsidRoot w:val="00933CE7"/>
    <w:rsid w:val="0004567F"/>
    <w:rsid w:val="00097F65"/>
    <w:rsid w:val="00172C64"/>
    <w:rsid w:val="001A14CA"/>
    <w:rsid w:val="001D7660"/>
    <w:rsid w:val="0020113F"/>
    <w:rsid w:val="00282CEB"/>
    <w:rsid w:val="002B2E80"/>
    <w:rsid w:val="002C79D4"/>
    <w:rsid w:val="002E3FB8"/>
    <w:rsid w:val="00325021"/>
    <w:rsid w:val="00325155"/>
    <w:rsid w:val="00393D1F"/>
    <w:rsid w:val="00452D3F"/>
    <w:rsid w:val="004A23E1"/>
    <w:rsid w:val="00646C86"/>
    <w:rsid w:val="006E77BC"/>
    <w:rsid w:val="00894B36"/>
    <w:rsid w:val="008C32D0"/>
    <w:rsid w:val="008C4CFF"/>
    <w:rsid w:val="00906042"/>
    <w:rsid w:val="00933CE7"/>
    <w:rsid w:val="009E3518"/>
    <w:rsid w:val="00AB4D9B"/>
    <w:rsid w:val="00C96CFF"/>
    <w:rsid w:val="00CC2698"/>
    <w:rsid w:val="00CC5D37"/>
    <w:rsid w:val="00CF25C9"/>
    <w:rsid w:val="00D05CCC"/>
    <w:rsid w:val="00D07D53"/>
    <w:rsid w:val="00D62FAB"/>
    <w:rsid w:val="00D635EF"/>
    <w:rsid w:val="00F610F2"/>
    <w:rsid w:val="00FA22FF"/>
    <w:rsid w:val="08676A40"/>
    <w:rsid w:val="0F076D7F"/>
    <w:rsid w:val="125B2DE4"/>
    <w:rsid w:val="2BE117CF"/>
    <w:rsid w:val="32C03EF8"/>
    <w:rsid w:val="487A6F55"/>
    <w:rsid w:val="50CD12D5"/>
    <w:rsid w:val="571A28F7"/>
    <w:rsid w:val="78B3126A"/>
    <w:rsid w:val="79846746"/>
    <w:rsid w:val="EE9FCD3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样式1"/>
    <w:basedOn w:val="7"/>
    <w:qFormat/>
    <w:uiPriority w:val="0"/>
    <w:pPr>
      <w:ind w:firstLine="562" w:firstLineChars="200"/>
    </w:pPr>
    <w:rPr>
      <w:rFonts w:ascii="仿宋_GB2312" w:hAnsi="仿宋" w:eastAsia="仿宋_GB2312"/>
      <w:color w:val="000000"/>
      <w:kern w:val="0"/>
      <w:sz w:val="28"/>
      <w:szCs w:val="28"/>
    </w:rPr>
  </w:style>
  <w:style w:type="paragraph" w:styleId="7">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8">
    <w:name w:val="页眉 Char"/>
    <w:basedOn w:val="5"/>
    <w:link w:val="3"/>
    <w:qFormat/>
    <w:uiPriority w:val="0"/>
    <w:rPr>
      <w:kern w:val="2"/>
      <w:sz w:val="18"/>
      <w:szCs w:val="18"/>
    </w:rPr>
  </w:style>
  <w:style w:type="character" w:customStyle="1" w:styleId="9">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xmlns="http://schemas.wps.cn/vas-ai-hub/contract-review">
    <reviewItem xmlns="http://schemas.wps.cn/vas-ai-hub/contract-review">
      <errorID xmlns="http://schemas.wps.cn/vas-ai-hub/contract-review">e8009bc6-03ab-4c2e-a507-8e0192488b98</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2CAD56ED</paraID>
      <start xmlns="http://schemas.wps.cn/vas-ai-hub/contract-review">83</start>
      <end xmlns="http://schemas.wps.cn/vas-ai-hub/contract-review">84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1a4052ce-17c5-4b53-8181-4f717d487c8c</errorID>
      <errorWord xmlns="http://schemas.wps.cn/vas-ai-hub/contract-review"/>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
      </candidateList>
      <explain xmlns="http://schemas.wps.cn/vas-ai-hub/contract-review">此处空格冗余，建议删除。</explain>
      <paraID xmlns="http://schemas.wps.cn/vas-ai-hub/contract-review">2CAD56ED</paraID>
      <start xmlns="http://schemas.wps.cn/vas-ai-hub/contract-review">104</start>
      <end xmlns="http://schemas.wps.cn/vas-ai-hub/contract-review">105</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1f94e1a7-cabf-4a9d-8093-db24f7bbf873</errorID>
      <errorWord xmlns="http://schemas.wps.cn/vas-ai-hub/contract-review"/>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
      </candidateList>
      <explain xmlns="http://schemas.wps.cn/vas-ai-hub/contract-review">此处空格冗余，建议删除。</explain>
      <paraID xmlns="http://schemas.wps.cn/vas-ai-hub/contract-review">2CAD56ED</paraID>
      <start xmlns="http://schemas.wps.cn/vas-ai-hub/contract-review">113</start>
      <end xmlns="http://schemas.wps.cn/vas-ai-hub/contract-review">114</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d806564e-dfc2-4754-97fe-59157654e213</errorID>
      <errorWord xmlns="http://schemas.wps.cn/vas-ai-hub/contract-review"/>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
      </candidateList>
      <explain xmlns="http://schemas.wps.cn/vas-ai-hub/contract-review">此处空格冗余，建议删除。</explain>
      <paraID xmlns="http://schemas.wps.cn/vas-ai-hub/contract-review">2CAD56ED</paraID>
      <start xmlns="http://schemas.wps.cn/vas-ai-hub/contract-review">119</start>
      <end xmlns="http://schemas.wps.cn/vas-ai-hub/contract-review">120</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9018820c-ace6-4d29-bcfc-b507e4957efb</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2CAD56ED</paraID>
      <start xmlns="http://schemas.wps.cn/vas-ai-hub/contract-review">156</start>
      <end xmlns="http://schemas.wps.cn/vas-ai-hub/contract-review">157</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130b72af-c0f8-4ff8-a674-6d0a33139680</errorID>
      <errorWord xmlns="http://schemas.wps.cn/vas-ai-hub/contract-review">执行</errorWord>
      <group xmlns="http://schemas.wps.cn/vas-ai-hub/contract-review">L1_AI</group>
      <groupName xmlns="http://schemas.wps.cn/vas-ai-hub/contract-review">深度校对</groupName>
      <ability xmlns="http://schemas.wps.cn/vas-ai-hub/contract-review">L2_AI_Word</ability>
      <abilityName xmlns="http://schemas.wps.cn/vas-ai-hub/contract-review">字词纠错</abilityName>
      <candidateList xmlns="http://schemas.wps.cn/vas-ai-hub/contract-review">
        <item xmlns="http://schemas.wps.cn/vas-ai-hub/contract-review">方面，</item>
      </candidateList>
      <explain xmlns="http://schemas.wps.cn/vas-ai-hub/contract-review"/>
      <paraID xmlns="http://schemas.wps.cn/vas-ai-hub/contract-review">2CAD56ED</paraID>
      <start xmlns="http://schemas.wps.cn/vas-ai-hub/contract-review">161</start>
      <end xmlns="http://schemas.wps.cn/vas-ai-hub/contract-review">164</end>
      <status xmlns="http://schemas.wps.cn/vas-ai-hub/contract-review">modified</status>
      <modifiedWord xmlns="http://schemas.wps.cn/vas-ai-hub/contract-review">方面，</modifiedWord>
      <trackRevisions xmlns="http://schemas.wps.cn/vas-ai-hub/contract-review">false</trackRevisions>
    </reviewItem>
    <reviewItem xmlns="http://schemas.wps.cn/vas-ai-hub/contract-review">
      <errorID xmlns="http://schemas.wps.cn/vas-ai-hub/contract-review">04f06dfc-fe82-4136-a7f5-8ee03067a31e</errorID>
      <errorWord xmlns="http://schemas.wps.cn/vas-ai-hub/contract-review"/>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
      </candidateList>
      <explain xmlns="http://schemas.wps.cn/vas-ai-hub/contract-review">此处空格冗余，建议删除。</explain>
      <paraID xmlns="http://schemas.wps.cn/vas-ai-hub/contract-review">2CAD56ED</paraID>
      <start xmlns="http://schemas.wps.cn/vas-ai-hub/contract-review">208</start>
      <end xmlns="http://schemas.wps.cn/vas-ai-hub/contract-review">209</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be237fb5-9536-4b71-9339-b4b192fbbde7</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，由</item>
      </candidateList>
      <explain xmlns="http://schemas.wps.cn/vas-ai-hub/contract-review"/>
      <paraID xmlns="http://schemas.wps.cn/vas-ai-hub/contract-review">25E97EC5</paraID>
      <start xmlns="http://schemas.wps.cn/vas-ai-hub/contract-review">119</start>
      <end xmlns="http://schemas.wps.cn/vas-ai-hub/contract-review">121</end>
      <status xmlns="http://schemas.wps.cn/vas-ai-hub/contract-review">modified</status>
      <modifiedWord xmlns="http://schemas.wps.cn/vas-ai-hub/contract-review">，由</modifiedWord>
      <trackRevisions xmlns="http://schemas.wps.cn/vas-ai-hub/contract-review">false</trackRevisions>
    </reviewItem>
    <reviewItem xmlns="http://schemas.wps.cn/vas-ai-hub/contract-review">
      <errorID xmlns="http://schemas.wps.cn/vas-ai-hub/contract-review">904cb1a4-1a26-426b-aa30-4f433507624f</errorID>
      <errorWord xmlns="http://schemas.wps.cn/vas-ai-hub/contract-review">省生态环保厅</errorWord>
      <group xmlns="http://schemas.wps.cn/vas-ai-hub/contract-review">L1_Political</group>
      <groupName xmlns="http://schemas.wps.cn/vas-ai-hub/contract-review">政治性问题</groupName>
      <ability xmlns="http://schemas.wps.cn/vas-ai-hub/contract-review">L2_Keyword</ability>
      <abilityName xmlns="http://schemas.wps.cn/vas-ai-hub/contract-review">固定表述</abilityName>
      <candidateList xmlns="http://schemas.wps.cn/vas-ai-hub/contract-review">
        <item xmlns="http://schemas.wps.cn/vas-ai-hub/contract-review">省生态环境厅</item>
      </candidateList>
      <explain xmlns="http://schemas.wps.cn/vas-ai-hub/contract-review">词汇“省生态环境厅”在特定场景下为固定表述形式，请确认此处的“省生态环保厅”是否存在不当。</explain>
      <paraID xmlns="http://schemas.wps.cn/vas-ai-hub/contract-review">69752B4B</paraID>
      <start xmlns="http://schemas.wps.cn/vas-ai-hub/contract-review">5</start>
      <end xmlns="http://schemas.wps.cn/vas-ai-hub/contract-review">11</end>
      <status xmlns="http://schemas.wps.cn/vas-ai-hub/contract-review">modified</status>
      <modifiedWord xmlns="http://schemas.wps.cn/vas-ai-hub/contract-review">省生态环境厅</modifiedWord>
      <trackRevisions xmlns="http://schemas.wps.cn/vas-ai-hub/contract-review">false</trackRevisions>
    </reviewItem>
    <reviewItem xmlns="http://schemas.wps.cn/vas-ai-hub/contract-review">
      <errorID xmlns="http://schemas.wps.cn/vas-ai-hub/contract-review">7f7e1509-a2f2-4dfc-8558-22f57b4d7e84</errorID>
      <errorWord xmlns="http://schemas.wps.cn/vas-ai-hub/contract-review">万吨/天</errorWord>
      <group xmlns="http://schemas.wps.cn/vas-ai-hub/contract-review">L1_AI</group>
      <groupName xmlns="http://schemas.wps.cn/vas-ai-hub/contract-review">深度校对</groupName>
      <ability xmlns="http://schemas.wps.cn/vas-ai-hub/contract-review">L2_AI_Grammar</ability>
      <abilityName xmlns="http://schemas.wps.cn/vas-ai-hub/contract-review">语法纠错</abilityName>
      <candidateList xmlns="http://schemas.wps.cn/vas-ai-hub/contract-review">
        <item xmlns="http://schemas.wps.cn/vas-ai-hub/contract-review">万吨</item>
      </candidateList>
      <explain xmlns="http://schemas.wps.cn/vas-ai-hub/contract-review"/>
      <paraID xmlns="http://schemas.wps.cn/vas-ai-hub/contract-review">5D35054F</paraID>
      <start xmlns="http://schemas.wps.cn/vas-ai-hub/contract-review">19</start>
      <end xmlns="http://schemas.wps.cn/vas-ai-hub/contract-review">21</end>
      <status xmlns="http://schemas.wps.cn/vas-ai-hub/contract-review">modified</status>
      <modifiedWord xmlns="http://schemas.wps.cn/vas-ai-hub/contract-review">万吨</modifiedWord>
      <trackRevisions xmlns="http://schemas.wps.cn/vas-ai-hub/contract-review">false</trackRevisions>
    </reviewItem>
    <reviewItem xmlns="http://schemas.wps.cn/vas-ai-hub/contract-review">
      <errorID xmlns="http://schemas.wps.cn/vas-ai-hub/contract-review">3354cef3-0e89-49bf-9f7a-5590ff9358be</errorID>
      <errorWord xmlns="http://schemas.wps.cn/vas-ai-hub/contract-review">污染特排放标准</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污染物排放标准</item>
      </candidateList>
      <explain xmlns="http://schemas.wps.cn/vas-ai-hub/contract-review"/>
      <paraID xmlns="http://schemas.wps.cn/vas-ai-hub/contract-review">5D35054F</paraID>
      <start xmlns="http://schemas.wps.cn/vas-ai-hub/contract-review">52</start>
      <end xmlns="http://schemas.wps.cn/vas-ai-hub/contract-review">59</end>
      <status xmlns="http://schemas.wps.cn/vas-ai-hub/contract-review">modified</status>
      <modifiedWord xmlns="http://schemas.wps.cn/vas-ai-hub/contract-review">污染物排放标准</modifiedWord>
      <trackRevisions xmlns="http://schemas.wps.cn/vas-ai-hub/contract-review">false</trackRevisions>
    </reviewItem>
    <reviewItem xmlns="http://schemas.wps.cn/vas-ai-hub/contract-review">
      <errorID xmlns="http://schemas.wps.cn/vas-ai-hub/contract-review">4df5f3c9-f5bc-418f-88a7-79c45e3fcf02</errorID>
      <errorWord xmlns="http://schemas.wps.cn/vas-ai-hub/contract-review">做出贡献</errorWord>
      <group xmlns="http://schemas.wps.cn/vas-ai-hub/contract-review">L1_AI</group>
      <groupName xmlns="http://schemas.wps.cn/vas-ai-hub/contract-review">深度校对</groupName>
      <ability xmlns="http://schemas.wps.cn/vas-ai-hub/contract-review">L2_AI_Word</ability>
      <abilityName xmlns="http://schemas.wps.cn/vas-ai-hub/contract-review">字词纠错</abilityName>
      <candidateList xmlns="http://schemas.wps.cn/vas-ai-hub/contract-review">
        <item xmlns="http://schemas.wps.cn/vas-ai-hub/contract-review">作出贡献</item>
      </candidateList>
      <explain xmlns="http://schemas.wps.cn/vas-ai-hub/contract-review"/>
      <paraID xmlns="http://schemas.wps.cn/vas-ai-hub/contract-review">5D35054F</paraID>
      <start xmlns="http://schemas.wps.cn/vas-ai-hub/contract-review">82</start>
      <end xmlns="http://schemas.wps.cn/vas-ai-hub/contract-review">86</end>
      <status xmlns="http://schemas.wps.cn/vas-ai-hub/contract-review">modified</status>
      <modifiedWord xmlns="http://schemas.wps.cn/vas-ai-hub/contract-review">作出贡献</modifiedWord>
      <trackRevisions xmlns="http://schemas.wps.cn/vas-ai-hub/contract-review">false</trackRevisions>
    </reviewItem>
    <reviewItem xmlns="http://schemas.wps.cn/vas-ai-hub/contract-review">
      <errorID xmlns="http://schemas.wps.cn/vas-ai-hub/contract-review">ad7792d9-56c4-4043-9387-5f1c224a1816</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
      </candidateList>
      <explain xmlns="http://schemas.wps.cn/vas-ai-hub/contract-review"/>
      <paraID xmlns="http://schemas.wps.cn/vas-ai-hub/contract-review"> 5F1700A</paraID>
      <start xmlns="http://schemas.wps.cn/vas-ai-hub/contract-review">22</start>
      <end xmlns="http://schemas.wps.cn/vas-ai-hub/contract-review">23</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8ffe1d00-fe64-4067-96f9-35386544d831</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 5F1700A</paraID>
      <start xmlns="http://schemas.wps.cn/vas-ai-hub/contract-review">30</start>
      <end xmlns="http://schemas.wps.cn/vas-ai-hub/contract-review">31</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a787375d-d2dd-437b-88c4-2736da6bcf2c</errorID>
      <errorWord xmlns="http://schemas.wps.cn/vas-ai-hub/contract-review">监察</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检查</item>
      </candidateList>
      <explain xmlns="http://schemas.wps.cn/vas-ai-hub/contract-review">❶〈动〉为了发现问题而用心查看：～身体｜～工作。❷〈动〉翻检查考（书籍、文件等）。❸〈动〉检讨▲：～自己的错误。❹〈名〉指用口头或书面形式所做的检讨：写了一份～。</explain>
      <paraID xmlns="http://schemas.wps.cn/vas-ai-hub/contract-review">504A803B</paraID>
      <start xmlns="http://schemas.wps.cn/vas-ai-hub/contract-review">4</start>
      <end xmlns="http://schemas.wps.cn/vas-ai-hub/contract-review">6</end>
      <status xmlns="http://schemas.wps.cn/vas-ai-hub/contract-review">modified</status>
      <modifiedWord xmlns="http://schemas.wps.cn/vas-ai-hub/contract-review">检查</modifiedWord>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057be5b6-63be-4cdb-a793-498f5d950e5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1350</Words>
  <Characters>1458</Characters>
  <Lines>12</Lines>
  <Paragraphs>3</Paragraphs>
  <TotalTime>38</TotalTime>
  <ScaleCrop>false</ScaleCrop>
  <LinksUpToDate>false</LinksUpToDate>
  <CharactersWithSpaces>1618</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2026-01-23T08:09:00Z</dcterms:created>
  <dc:creator>Administrator.BF-20200622OACT</dc:creator>
  <cp:lastModifiedBy>kylin</cp:lastModifiedBy>
  <dcterms:modified xsi:type="dcterms:W3CDTF">2026-01-23T15:35:36Z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7C6C12A295BC42728E5397362A8B4081_13</vt:lpwstr>
  </property>
  <property fmtid="{D5CDD505-2E9C-101B-9397-08002B2CF9AE}" pid="4" name="KSOTemplateDocerSaveRecord">
    <vt:lpwstr>eyJoZGlkIjoiYzFhZTU5ZTgwOGFhNzcwOTcyOTMyNzU3ZTI4M2IyOGYiLCJ1c2VySWQiOiIzMDY5NTQxNTcifQ==</vt:lpwstr>
  </property>
</Properties>
</file>