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93112">
      <w:pPr>
        <w:spacing w:line="480" w:lineRule="exact"/>
        <w:ind w:right="26"/>
        <w:rPr>
          <w:rFonts w:hint="default" w:ascii="黑体" w:hAnsi="黑体" w:eastAsia="黑体"/>
          <w:color w:val="000000"/>
          <w:sz w:val="28"/>
          <w:szCs w:val="28"/>
          <w:lang w:val="en-US" w:eastAsia="zh-CN"/>
        </w:rPr>
      </w:pPr>
      <w:r>
        <w:rPr>
          <w:rFonts w:hint="eastAsia" w:ascii="黑体" w:hAnsi="黑体" w:eastAsia="黑体"/>
          <w:color w:val="000000"/>
          <w:sz w:val="28"/>
          <w:szCs w:val="28"/>
        </w:rPr>
        <w:t>附件</w:t>
      </w:r>
      <w:r>
        <w:rPr>
          <w:rFonts w:hint="eastAsia" w:ascii="黑体" w:hAnsi="黑体" w:eastAsia="黑体"/>
          <w:color w:val="000000"/>
          <w:sz w:val="28"/>
          <w:szCs w:val="28"/>
          <w:lang w:val="en-US" w:eastAsia="zh-CN"/>
        </w:rPr>
        <w:t>4-1</w:t>
      </w:r>
    </w:p>
    <w:p w14:paraId="2C4B28FF">
      <w:pPr>
        <w:widowControl/>
        <w:spacing w:line="240" w:lineRule="exact"/>
        <w:jc w:val="left"/>
        <w:rPr>
          <w:rFonts w:ascii="仿宋_GB2312" w:hAnsi="宋体" w:eastAsia="仿宋_GB2312" w:cs="宋体"/>
          <w:kern w:val="0"/>
          <w:sz w:val="36"/>
          <w:szCs w:val="36"/>
        </w:rPr>
      </w:pPr>
      <w:r>
        <w:rPr>
          <w:rFonts w:ascii="仿宋_GB2312" w:hAnsi="宋体" w:eastAsia="仿宋_GB2312" w:cs="宋体"/>
          <w:kern w:val="0"/>
          <w:sz w:val="24"/>
        </w:rPr>
        <w:t xml:space="preserve">  </w:t>
      </w:r>
    </w:p>
    <w:p w14:paraId="78BF8C11">
      <w:pPr>
        <w:keepNext w:val="0"/>
        <w:keepLines w:val="0"/>
        <w:pageBreakBefore w:val="0"/>
        <w:widowControl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2026</w:t>
      </w:r>
      <w:r>
        <w:rPr>
          <w:rFonts w:hint="eastAsia" w:ascii="方正小标宋简体" w:hAnsi="方正小标宋简体" w:eastAsia="方正小标宋简体" w:cs="方正小标宋简体"/>
          <w:b w:val="0"/>
          <w:bCs w:val="0"/>
          <w:sz w:val="44"/>
          <w:szCs w:val="44"/>
        </w:rPr>
        <w:t>年部门整体支出绩效目标表</w:t>
      </w:r>
    </w:p>
    <w:p w14:paraId="17E68575">
      <w:pPr>
        <w:pStyle w:val="2"/>
        <w:rPr>
          <w:rFonts w:hint="eastAsia"/>
        </w:rPr>
      </w:pPr>
    </w:p>
    <w:p w14:paraId="45327759">
      <w:pPr>
        <w:pStyle w:val="2"/>
        <w:rPr>
          <w:rFonts w:hint="eastAsia"/>
        </w:rPr>
      </w:pPr>
    </w:p>
    <w:p w14:paraId="1C44093F">
      <w:pPr>
        <w:widowControl/>
        <w:tabs>
          <w:tab w:val="left" w:pos="2593"/>
        </w:tabs>
        <w:jc w:val="left"/>
        <w:rPr>
          <w:rFonts w:hint="eastAsia" w:asciiTheme="minorEastAsia" w:hAnsiTheme="minorEastAsia" w:eastAsiaTheme="minorEastAsia" w:cstheme="minorEastAsia"/>
          <w:kern w:val="0"/>
          <w:szCs w:val="21"/>
        </w:rPr>
      </w:pPr>
      <w:r>
        <w:rPr>
          <w:rFonts w:hint="eastAsia" w:ascii="仿宋_GB2312" w:hAnsi="Times New Roman" w:eastAsia="仿宋_GB2312" w:cs="Times New Roman"/>
          <w:kern w:val="0"/>
          <w:sz w:val="24"/>
          <w:szCs w:val="21"/>
        </w:rPr>
        <w:t xml:space="preserve"> </w:t>
      </w:r>
      <w:r>
        <w:rPr>
          <w:rFonts w:hint="eastAsia" w:asciiTheme="minorEastAsia" w:hAnsiTheme="minorEastAsia" w:eastAsiaTheme="minorEastAsia" w:cstheme="minorEastAsia"/>
          <w:kern w:val="0"/>
          <w:sz w:val="24"/>
          <w:szCs w:val="21"/>
        </w:rPr>
        <w:t>填报单位：（盖章）</w:t>
      </w:r>
      <w:r>
        <w:rPr>
          <w:rFonts w:hint="eastAsia" w:asciiTheme="minorEastAsia" w:hAnsiTheme="minorEastAsia" w:eastAsiaTheme="minorEastAsia" w:cstheme="minorEastAsia"/>
          <w:kern w:val="0"/>
          <w:szCs w:val="21"/>
        </w:rPr>
        <w:tab/>
      </w:r>
      <w:r>
        <w:rPr>
          <w:rFonts w:hint="eastAsia" w:asciiTheme="minorEastAsia" w:hAnsiTheme="minorEastAsia" w:eastAsiaTheme="minorEastAsia" w:cstheme="minorEastAsia"/>
          <w:kern w:val="0"/>
          <w:szCs w:val="21"/>
        </w:rPr>
        <w:t>湘潭县文化旅游广电体育局　</w:t>
      </w:r>
    </w:p>
    <w:tbl>
      <w:tblPr>
        <w:tblStyle w:val="11"/>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1843"/>
        <w:gridCol w:w="950"/>
        <w:gridCol w:w="1112"/>
        <w:gridCol w:w="2629"/>
      </w:tblGrid>
      <w:tr w14:paraId="2E7A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shd w:val="clear" w:color="auto" w:fill="auto"/>
            <w:vAlign w:val="center"/>
          </w:tcPr>
          <w:p w14:paraId="0DD39B9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部门名称</w:t>
            </w:r>
          </w:p>
        </w:tc>
        <w:tc>
          <w:tcPr>
            <w:tcW w:w="7681" w:type="dxa"/>
            <w:gridSpan w:val="5"/>
            <w:shd w:val="clear" w:color="auto" w:fill="auto"/>
            <w:vAlign w:val="center"/>
          </w:tcPr>
          <w:p w14:paraId="12FA535A">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湘潭县文化旅游广电体育局　　</w:t>
            </w:r>
          </w:p>
        </w:tc>
      </w:tr>
      <w:tr w14:paraId="5611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vAlign w:val="center"/>
          </w:tcPr>
          <w:p w14:paraId="2F4F20A2">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年度预算申请</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（万元）</w:t>
            </w:r>
          </w:p>
        </w:tc>
        <w:tc>
          <w:tcPr>
            <w:tcW w:w="7681" w:type="dxa"/>
            <w:gridSpan w:val="5"/>
            <w:shd w:val="clear" w:color="auto" w:fill="auto"/>
            <w:vAlign w:val="center"/>
          </w:tcPr>
          <w:p w14:paraId="34ADD9B3">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资金总额：</w:t>
            </w:r>
            <w:r>
              <w:rPr>
                <w:rFonts w:hint="eastAsia" w:asciiTheme="minorEastAsia" w:hAnsiTheme="minorEastAsia" w:eastAsiaTheme="minorEastAsia" w:cstheme="minorEastAsia"/>
                <w:kern w:val="0"/>
                <w:szCs w:val="21"/>
                <w:lang w:val="en-US" w:eastAsia="zh-CN"/>
              </w:rPr>
              <w:t>1317.31</w:t>
            </w:r>
          </w:p>
        </w:tc>
      </w:tr>
      <w:tr w14:paraId="2E927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2D39E65">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166D45BC">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按收入性质分：</w:t>
            </w:r>
          </w:p>
        </w:tc>
        <w:tc>
          <w:tcPr>
            <w:tcW w:w="3741" w:type="dxa"/>
            <w:gridSpan w:val="2"/>
            <w:shd w:val="clear" w:color="auto" w:fill="auto"/>
            <w:vAlign w:val="center"/>
          </w:tcPr>
          <w:p w14:paraId="38CBD12A">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按支出性质分：</w:t>
            </w:r>
          </w:p>
        </w:tc>
      </w:tr>
      <w:tr w14:paraId="3FA8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487AC6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72D65D5C">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其中：一般公共预算</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1317.31</w:t>
            </w:r>
          </w:p>
        </w:tc>
        <w:tc>
          <w:tcPr>
            <w:tcW w:w="3741" w:type="dxa"/>
            <w:gridSpan w:val="2"/>
            <w:shd w:val="clear" w:color="auto" w:fill="auto"/>
            <w:vAlign w:val="center"/>
          </w:tcPr>
          <w:p w14:paraId="13E48886">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其中： 基本支出：</w:t>
            </w:r>
            <w:r>
              <w:rPr>
                <w:rFonts w:hint="eastAsia" w:asciiTheme="minorEastAsia" w:hAnsiTheme="minorEastAsia" w:eastAsiaTheme="minorEastAsia" w:cstheme="minorEastAsia"/>
                <w:kern w:val="0"/>
                <w:szCs w:val="21"/>
                <w:lang w:val="en-US" w:eastAsia="zh-CN"/>
              </w:rPr>
              <w:t>1098.38</w:t>
            </w:r>
          </w:p>
        </w:tc>
      </w:tr>
      <w:tr w14:paraId="0BBA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EA9893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0BA04C7F">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政府性基金</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0</w:t>
            </w:r>
          </w:p>
        </w:tc>
        <w:tc>
          <w:tcPr>
            <w:tcW w:w="3741" w:type="dxa"/>
            <w:gridSpan w:val="2"/>
            <w:shd w:val="clear" w:color="auto" w:fill="auto"/>
            <w:vAlign w:val="center"/>
          </w:tcPr>
          <w:p w14:paraId="7DF8FF85">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项目支出：</w:t>
            </w:r>
            <w:r>
              <w:rPr>
                <w:rFonts w:hint="eastAsia" w:asciiTheme="minorEastAsia" w:hAnsiTheme="minorEastAsia" w:eastAsiaTheme="minorEastAsia" w:cstheme="minorEastAsia"/>
                <w:kern w:val="0"/>
                <w:szCs w:val="21"/>
                <w:lang w:val="en-US" w:eastAsia="zh-CN"/>
              </w:rPr>
              <w:t>218.92</w:t>
            </w:r>
          </w:p>
        </w:tc>
      </w:tr>
      <w:tr w14:paraId="0AEE0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A91E0AA">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37BE3B26">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纳入专户管理的非税收入：</w:t>
            </w:r>
            <w:r>
              <w:rPr>
                <w:rFonts w:hint="eastAsia" w:asciiTheme="minorEastAsia" w:hAnsiTheme="minorEastAsia" w:eastAsiaTheme="minorEastAsia" w:cstheme="minorEastAsia"/>
                <w:kern w:val="0"/>
                <w:szCs w:val="21"/>
                <w:lang w:val="en-US" w:eastAsia="zh-CN"/>
              </w:rPr>
              <w:t>0</w:t>
            </w:r>
          </w:p>
        </w:tc>
        <w:tc>
          <w:tcPr>
            <w:tcW w:w="3741" w:type="dxa"/>
            <w:gridSpan w:val="2"/>
            <w:shd w:val="clear" w:color="auto" w:fill="auto"/>
            <w:vAlign w:val="center"/>
          </w:tcPr>
          <w:p w14:paraId="4BB6A6EB">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w:t>
            </w:r>
          </w:p>
        </w:tc>
      </w:tr>
      <w:tr w14:paraId="0E36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FC465CB">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54E1C477">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 xml:space="preserve">     其他</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0</w:t>
            </w:r>
          </w:p>
        </w:tc>
        <w:tc>
          <w:tcPr>
            <w:tcW w:w="3741" w:type="dxa"/>
            <w:gridSpan w:val="2"/>
            <w:shd w:val="clear" w:color="auto" w:fill="auto"/>
            <w:vAlign w:val="center"/>
          </w:tcPr>
          <w:p w14:paraId="38C9D63A">
            <w:pPr>
              <w:widowControl/>
              <w:jc w:val="left"/>
              <w:rPr>
                <w:rFonts w:hint="eastAsia" w:asciiTheme="minorEastAsia" w:hAnsiTheme="minorEastAsia" w:eastAsiaTheme="minorEastAsia" w:cstheme="minorEastAsia"/>
                <w:kern w:val="0"/>
                <w:szCs w:val="21"/>
              </w:rPr>
            </w:pPr>
          </w:p>
        </w:tc>
      </w:tr>
      <w:tr w14:paraId="38B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61" w:type="dxa"/>
            <w:shd w:val="clear" w:color="auto" w:fill="auto"/>
            <w:vAlign w:val="center"/>
          </w:tcPr>
          <w:p w14:paraId="4BFDC28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部门职能</w:t>
            </w:r>
          </w:p>
          <w:p w14:paraId="17A9E71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职责概述</w:t>
            </w:r>
          </w:p>
        </w:tc>
        <w:tc>
          <w:tcPr>
            <w:tcW w:w="7681" w:type="dxa"/>
            <w:gridSpan w:val="5"/>
            <w:shd w:val="clear" w:color="auto" w:fill="auto"/>
            <w:vAlign w:val="center"/>
          </w:tcPr>
          <w:p w14:paraId="6F98CF8F">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博物、非物质文化遗产保护和优秀民族文化的传承普及工作，组织推进全县广播电影电视公共服务工作。</w:t>
            </w:r>
          </w:p>
        </w:tc>
      </w:tr>
      <w:tr w14:paraId="6890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761" w:type="dxa"/>
            <w:shd w:val="clear" w:color="auto" w:fill="auto"/>
            <w:vAlign w:val="center"/>
          </w:tcPr>
          <w:p w14:paraId="73AE66A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整体绩效目标</w:t>
            </w:r>
          </w:p>
        </w:tc>
        <w:tc>
          <w:tcPr>
            <w:tcW w:w="7681" w:type="dxa"/>
            <w:gridSpan w:val="5"/>
            <w:shd w:val="clear" w:color="auto" w:fill="auto"/>
            <w:vAlign w:val="center"/>
          </w:tcPr>
          <w:p w14:paraId="6AE9C79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在今年收支预算内，确保全面履行职能职责，完成以下整体目标。</w:t>
            </w:r>
          </w:p>
          <w:p w14:paraId="2425F3B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目标1：保障人员基本支出和日常运转,确保局系统正常运行，保障各项工作任务全面完成。                                                                      </w:t>
            </w:r>
          </w:p>
          <w:p w14:paraId="0A308BA9">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目标2：确保局系统人事代理人员工资、社保等工资福利支付每月按时支付到位。</w:t>
            </w:r>
          </w:p>
          <w:p w14:paraId="16FE36DD">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目标3：农村电影放映工程覆盖全县所有行政村，设立了放映队，安排放映农村数字电影3840场。                                                                                                                                                                  </w:t>
            </w:r>
          </w:p>
          <w:p w14:paraId="58F07426">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目标4：在全县设立12个社区广场放映广场电影，安排放映广场数字电影</w:t>
            </w:r>
            <w:r>
              <w:rPr>
                <w:rFonts w:hint="eastAsia" w:asciiTheme="minorEastAsia" w:hAnsiTheme="minorEastAsia" w:eastAsiaTheme="minorEastAsia" w:cstheme="minorEastAsia"/>
                <w:kern w:val="0"/>
                <w:szCs w:val="21"/>
                <w:lang w:val="en-US" w:eastAsia="zh-CN"/>
              </w:rPr>
              <w:t>580</w:t>
            </w:r>
            <w:r>
              <w:rPr>
                <w:rFonts w:hint="eastAsia" w:asciiTheme="minorEastAsia" w:hAnsiTheme="minorEastAsia" w:eastAsiaTheme="minorEastAsia" w:cstheme="minorEastAsia"/>
                <w:kern w:val="0"/>
                <w:szCs w:val="21"/>
              </w:rPr>
              <w:t>场。</w:t>
            </w:r>
          </w:p>
          <w:p w14:paraId="3FC5AB3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目标5：“送戏下乡，演艺惠民”全年在全县各乡镇、村演出戏曲</w:t>
            </w:r>
            <w:r>
              <w:rPr>
                <w:rFonts w:hint="eastAsia" w:asciiTheme="minorEastAsia" w:hAnsiTheme="minorEastAsia" w:eastAsiaTheme="minorEastAsia" w:cstheme="minorEastAsia"/>
                <w:kern w:val="0"/>
                <w:szCs w:val="21"/>
                <w:lang w:val="en-US" w:eastAsia="zh-CN"/>
              </w:rPr>
              <w:t>50</w:t>
            </w:r>
            <w:r>
              <w:rPr>
                <w:rFonts w:hint="eastAsia" w:asciiTheme="minorEastAsia" w:hAnsiTheme="minorEastAsia" w:eastAsiaTheme="minorEastAsia" w:cstheme="minorEastAsia"/>
                <w:kern w:val="0"/>
                <w:szCs w:val="21"/>
              </w:rPr>
              <w:t>场。</w:t>
            </w:r>
          </w:p>
          <w:p w14:paraId="259D6C15">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目标6：保障原花鼓戏剧团9名在职人员的养老保险、基本医疗保险、职工遗属补助等，确保文化体制改革成果。</w:t>
            </w:r>
          </w:p>
          <w:p w14:paraId="3919CD53">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目标7：通过购买专业运营管理服务，确保齐白石故居和周小舟故居正常运转，两故居全年安保值守和白天讲解管理服务，接待参观有序，管理工作到位、无文物安全事故发生，实现文物保护与利用双结合。                                                                   </w:t>
            </w:r>
          </w:p>
          <w:p w14:paraId="1F3F9EDA">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目标8：通过购买专业运营管理服务，确保罗亦农生平事迹陈列馆接待参观有序，管理工作到位、无安全事故发生，红色培训课程以及研学产品开发以及馆内旅游待产中心的经营与管理。</w:t>
            </w:r>
          </w:p>
        </w:tc>
      </w:tr>
      <w:tr w14:paraId="3C2C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vAlign w:val="center"/>
          </w:tcPr>
          <w:p w14:paraId="46F84A2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部门整体支出</w:t>
            </w:r>
          </w:p>
          <w:p w14:paraId="3D4BE32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年度绩效指标</w:t>
            </w:r>
          </w:p>
        </w:tc>
        <w:tc>
          <w:tcPr>
            <w:tcW w:w="1147" w:type="dxa"/>
            <w:shd w:val="clear" w:color="auto" w:fill="auto"/>
            <w:vAlign w:val="center"/>
          </w:tcPr>
          <w:p w14:paraId="412CBB0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一级指标</w:t>
            </w:r>
          </w:p>
        </w:tc>
        <w:tc>
          <w:tcPr>
            <w:tcW w:w="1843" w:type="dxa"/>
            <w:shd w:val="clear" w:color="auto" w:fill="auto"/>
            <w:vAlign w:val="center"/>
          </w:tcPr>
          <w:p w14:paraId="6F1C75DE">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二级指标</w:t>
            </w:r>
          </w:p>
        </w:tc>
        <w:tc>
          <w:tcPr>
            <w:tcW w:w="2062" w:type="dxa"/>
            <w:gridSpan w:val="2"/>
            <w:shd w:val="clear" w:color="auto" w:fill="auto"/>
            <w:vAlign w:val="center"/>
          </w:tcPr>
          <w:p w14:paraId="55DE94C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三级指标</w:t>
            </w:r>
          </w:p>
        </w:tc>
        <w:tc>
          <w:tcPr>
            <w:tcW w:w="2629" w:type="dxa"/>
            <w:shd w:val="clear" w:color="auto" w:fill="auto"/>
            <w:vAlign w:val="center"/>
          </w:tcPr>
          <w:p w14:paraId="3D2DDFB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指标值及单位</w:t>
            </w:r>
          </w:p>
        </w:tc>
      </w:tr>
      <w:tr w14:paraId="2821F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46E7C95">
            <w:pPr>
              <w:widowControl/>
              <w:jc w:val="center"/>
              <w:rPr>
                <w:rFonts w:hint="eastAsia" w:asciiTheme="minorEastAsia" w:hAnsiTheme="minorEastAsia" w:eastAsiaTheme="minorEastAsia" w:cstheme="minorEastAsia"/>
                <w:kern w:val="0"/>
                <w:szCs w:val="21"/>
              </w:rPr>
            </w:pPr>
          </w:p>
        </w:tc>
        <w:tc>
          <w:tcPr>
            <w:tcW w:w="1147" w:type="dxa"/>
            <w:vMerge w:val="restart"/>
            <w:shd w:val="clear" w:color="auto" w:fill="auto"/>
            <w:vAlign w:val="center"/>
          </w:tcPr>
          <w:p w14:paraId="6FFA04E7">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产出指标</w:t>
            </w:r>
          </w:p>
        </w:tc>
        <w:tc>
          <w:tcPr>
            <w:tcW w:w="1843" w:type="dxa"/>
            <w:vMerge w:val="restart"/>
            <w:shd w:val="clear" w:color="auto" w:fill="auto"/>
            <w:vAlign w:val="center"/>
          </w:tcPr>
          <w:p w14:paraId="01C3D771">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数量指标</w:t>
            </w:r>
          </w:p>
        </w:tc>
        <w:tc>
          <w:tcPr>
            <w:tcW w:w="2062" w:type="dxa"/>
            <w:gridSpan w:val="2"/>
            <w:shd w:val="clear" w:color="auto" w:fill="auto"/>
            <w:vAlign w:val="center"/>
          </w:tcPr>
          <w:p w14:paraId="76C73A6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公益性场馆正常开放</w:t>
            </w:r>
          </w:p>
        </w:tc>
        <w:tc>
          <w:tcPr>
            <w:tcW w:w="2629" w:type="dxa"/>
            <w:shd w:val="clear" w:color="auto" w:fill="auto"/>
            <w:vAlign w:val="center"/>
          </w:tcPr>
          <w:p w14:paraId="176BD2BC">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4所</w:t>
            </w:r>
          </w:p>
        </w:tc>
      </w:tr>
      <w:tr w14:paraId="1C17E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D504A94">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436AF9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89DB8BF">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A7ABC19">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保障人员工资待遇</w:t>
            </w:r>
          </w:p>
        </w:tc>
        <w:tc>
          <w:tcPr>
            <w:tcW w:w="2629" w:type="dxa"/>
            <w:shd w:val="clear" w:color="auto" w:fill="auto"/>
            <w:vAlign w:val="center"/>
          </w:tcPr>
          <w:p w14:paraId="2EB794E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72人</w:t>
            </w:r>
          </w:p>
        </w:tc>
      </w:tr>
      <w:tr w14:paraId="5E487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72C7E52">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396918F">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7F46D3AB">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DA40FFC">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政府采购率</w:t>
            </w:r>
          </w:p>
        </w:tc>
        <w:tc>
          <w:tcPr>
            <w:tcW w:w="2629" w:type="dxa"/>
            <w:shd w:val="clear" w:color="auto" w:fill="auto"/>
            <w:vAlign w:val="center"/>
          </w:tcPr>
          <w:p w14:paraId="7A1BFB0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Style w:val="24"/>
                <w:rFonts w:hint="eastAsia" w:ascii="仿宋_GB2312" w:hAnsi="仿宋_GB2312" w:eastAsia="仿宋_GB2312" w:cs="仿宋_GB2312"/>
                <w:sz w:val="21"/>
                <w:szCs w:val="21"/>
                <w:lang w:val="en-US" w:eastAsia="zh-CN" w:bidi="ar"/>
              </w:rPr>
              <w:t>≥</w:t>
            </w:r>
            <w:r>
              <w:rPr>
                <w:rStyle w:val="25"/>
                <w:rFonts w:hint="eastAsia" w:ascii="仿宋_GB2312" w:hAnsi="仿宋_GB2312" w:eastAsia="仿宋_GB2312" w:cs="仿宋_GB2312"/>
                <w:sz w:val="21"/>
                <w:szCs w:val="21"/>
                <w:lang w:val="en-US" w:eastAsia="zh-CN" w:bidi="ar"/>
              </w:rPr>
              <w:t>95%</w:t>
            </w:r>
          </w:p>
        </w:tc>
      </w:tr>
      <w:tr w14:paraId="3A1D1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1D8526A">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630B9B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AB55AA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412A24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全年农村电影放映场数</w:t>
            </w:r>
          </w:p>
        </w:tc>
        <w:tc>
          <w:tcPr>
            <w:tcW w:w="2629" w:type="dxa"/>
            <w:shd w:val="clear" w:color="auto" w:fill="auto"/>
            <w:vAlign w:val="center"/>
          </w:tcPr>
          <w:p w14:paraId="6D18CA8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3840场</w:t>
            </w:r>
          </w:p>
        </w:tc>
      </w:tr>
      <w:tr w14:paraId="5EC0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43E414E">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6C07CD1">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FE8C4C9">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F2B7153">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全年广场电影放映场数</w:t>
            </w:r>
          </w:p>
        </w:tc>
        <w:tc>
          <w:tcPr>
            <w:tcW w:w="2629" w:type="dxa"/>
            <w:shd w:val="clear" w:color="auto" w:fill="auto"/>
            <w:vAlign w:val="center"/>
          </w:tcPr>
          <w:p w14:paraId="1F99855E">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580场</w:t>
            </w:r>
          </w:p>
        </w:tc>
      </w:tr>
      <w:tr w14:paraId="27BF7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14E8AB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090440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C64EE57">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A8441A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送戏下乡演出场次</w:t>
            </w:r>
          </w:p>
        </w:tc>
        <w:tc>
          <w:tcPr>
            <w:tcW w:w="2629" w:type="dxa"/>
            <w:shd w:val="clear" w:color="auto" w:fill="auto"/>
            <w:vAlign w:val="center"/>
          </w:tcPr>
          <w:p w14:paraId="3223ED5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50场</w:t>
            </w:r>
          </w:p>
        </w:tc>
      </w:tr>
      <w:tr w14:paraId="3B86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35ED214">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5E0B6B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D373F1C">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6D6A0DEB">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原花鼓戏剧团在职人员养老保险、基本医疗保障</w:t>
            </w:r>
          </w:p>
        </w:tc>
        <w:tc>
          <w:tcPr>
            <w:tcW w:w="2629" w:type="dxa"/>
            <w:shd w:val="clear" w:color="auto" w:fill="auto"/>
            <w:vAlign w:val="center"/>
          </w:tcPr>
          <w:p w14:paraId="16477AB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9人</w:t>
            </w:r>
          </w:p>
        </w:tc>
      </w:tr>
      <w:tr w14:paraId="7932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CA390DD">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DCE9EE1">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9162C3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99E491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原花鼓戏剧团领取遗嘱补助</w:t>
            </w:r>
          </w:p>
        </w:tc>
        <w:tc>
          <w:tcPr>
            <w:tcW w:w="2629" w:type="dxa"/>
            <w:shd w:val="clear" w:color="auto" w:fill="auto"/>
            <w:vAlign w:val="center"/>
          </w:tcPr>
          <w:p w14:paraId="7EB39DB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2人</w:t>
            </w:r>
          </w:p>
        </w:tc>
      </w:tr>
      <w:tr w14:paraId="4B605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1A4590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B67CA98">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A912F31">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F79555D">
            <w:pPr>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通过购买专业运营管理服务</w:t>
            </w:r>
            <w:r>
              <w:rPr>
                <w:rFonts w:hint="eastAsia" w:ascii="仿宋_GB2312" w:hAnsi="仿宋_GB2312" w:eastAsia="仿宋_GB2312" w:cs="仿宋_GB2312"/>
                <w:kern w:val="0"/>
                <w:sz w:val="21"/>
                <w:szCs w:val="21"/>
                <w:lang w:eastAsia="zh-CN"/>
              </w:rPr>
              <w:t>，对外开放的文物单位或场馆</w:t>
            </w:r>
          </w:p>
        </w:tc>
        <w:tc>
          <w:tcPr>
            <w:tcW w:w="2629" w:type="dxa"/>
            <w:shd w:val="clear" w:color="auto" w:fill="auto"/>
            <w:vAlign w:val="center"/>
          </w:tcPr>
          <w:p w14:paraId="67F38660">
            <w:pPr>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3所</w:t>
            </w:r>
          </w:p>
        </w:tc>
      </w:tr>
      <w:tr w14:paraId="26E9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0D635F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95A03C1">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19668C9A">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质量指标</w:t>
            </w:r>
          </w:p>
        </w:tc>
        <w:tc>
          <w:tcPr>
            <w:tcW w:w="2062" w:type="dxa"/>
            <w:gridSpan w:val="2"/>
            <w:shd w:val="clear" w:color="auto" w:fill="auto"/>
            <w:vAlign w:val="center"/>
          </w:tcPr>
          <w:p w14:paraId="6445097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设备质量合格率</w:t>
            </w:r>
          </w:p>
        </w:tc>
        <w:tc>
          <w:tcPr>
            <w:tcW w:w="2629" w:type="dxa"/>
            <w:shd w:val="clear" w:color="auto" w:fill="auto"/>
            <w:vAlign w:val="center"/>
          </w:tcPr>
          <w:p w14:paraId="5EAC646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≥99%</w:t>
            </w:r>
          </w:p>
        </w:tc>
      </w:tr>
      <w:tr w14:paraId="73D6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827A308">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096C05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ADB0923">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FD7FBF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设备故障率</w:t>
            </w:r>
          </w:p>
        </w:tc>
        <w:tc>
          <w:tcPr>
            <w:tcW w:w="2629" w:type="dxa"/>
            <w:shd w:val="clear" w:color="auto" w:fill="auto"/>
            <w:vAlign w:val="center"/>
          </w:tcPr>
          <w:p w14:paraId="5A30206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47DA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8DF203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1408B5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6D9008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08F2FD2">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工资待遇保障</w:t>
            </w:r>
          </w:p>
        </w:tc>
        <w:tc>
          <w:tcPr>
            <w:tcW w:w="2629" w:type="dxa"/>
            <w:shd w:val="clear" w:color="auto" w:fill="auto"/>
            <w:vAlign w:val="center"/>
          </w:tcPr>
          <w:p w14:paraId="0702782E">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每月15号前</w:t>
            </w:r>
          </w:p>
        </w:tc>
      </w:tr>
      <w:tr w14:paraId="49EDF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24B4F4E3">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3DB13D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9BDC06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484B45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公益电影放映完整率</w:t>
            </w:r>
          </w:p>
        </w:tc>
        <w:tc>
          <w:tcPr>
            <w:tcW w:w="2629" w:type="dxa"/>
            <w:shd w:val="clear" w:color="auto" w:fill="auto"/>
            <w:vAlign w:val="center"/>
          </w:tcPr>
          <w:p w14:paraId="441BE81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73BA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D03F835">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482E89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4E23B35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78AB09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公益演出完整率</w:t>
            </w:r>
          </w:p>
        </w:tc>
        <w:tc>
          <w:tcPr>
            <w:tcW w:w="2629" w:type="dxa"/>
            <w:shd w:val="clear" w:color="auto" w:fill="auto"/>
            <w:vAlign w:val="center"/>
          </w:tcPr>
          <w:p w14:paraId="1824A15F">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1CB49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3C5C91F">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404097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4C4E1C8C">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1E6FB1F7">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确保原花鼓戏剧团人员保险、遗嘱补助保障</w:t>
            </w:r>
          </w:p>
        </w:tc>
        <w:tc>
          <w:tcPr>
            <w:tcW w:w="2629" w:type="dxa"/>
            <w:shd w:val="clear" w:color="auto" w:fill="auto"/>
            <w:vAlign w:val="center"/>
          </w:tcPr>
          <w:p w14:paraId="59BBE4E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56F3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E0AD628">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055E8A7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71E3954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2C496D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接待参观有序，管理工作到位、无文物安全事故发生</w:t>
            </w:r>
          </w:p>
        </w:tc>
        <w:tc>
          <w:tcPr>
            <w:tcW w:w="2629" w:type="dxa"/>
            <w:shd w:val="clear" w:color="auto" w:fill="auto"/>
            <w:vAlign w:val="center"/>
          </w:tcPr>
          <w:p w14:paraId="61AB2530">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100%</w:t>
            </w:r>
          </w:p>
        </w:tc>
      </w:tr>
      <w:tr w14:paraId="210A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405F0232">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E448BB2">
            <w:pPr>
              <w:widowControl/>
              <w:jc w:val="center"/>
              <w:rPr>
                <w:rFonts w:hint="eastAsia" w:asciiTheme="minorEastAsia" w:hAnsiTheme="minorEastAsia" w:eastAsiaTheme="minorEastAsia" w:cstheme="minorEastAsia"/>
                <w:kern w:val="0"/>
                <w:szCs w:val="21"/>
              </w:rPr>
            </w:pPr>
          </w:p>
        </w:tc>
        <w:tc>
          <w:tcPr>
            <w:tcW w:w="1843" w:type="dxa"/>
            <w:shd w:val="clear" w:color="auto" w:fill="auto"/>
            <w:vAlign w:val="center"/>
          </w:tcPr>
          <w:p w14:paraId="49704D1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成本指标</w:t>
            </w:r>
          </w:p>
        </w:tc>
        <w:tc>
          <w:tcPr>
            <w:tcW w:w="2062" w:type="dxa"/>
            <w:gridSpan w:val="2"/>
            <w:shd w:val="clear" w:color="auto" w:fill="auto"/>
            <w:vAlign w:val="center"/>
          </w:tcPr>
          <w:p w14:paraId="249A96BA">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总成本</w:t>
            </w:r>
          </w:p>
        </w:tc>
        <w:tc>
          <w:tcPr>
            <w:tcW w:w="2629" w:type="dxa"/>
            <w:shd w:val="clear" w:color="auto" w:fill="auto"/>
            <w:vAlign w:val="center"/>
          </w:tcPr>
          <w:p w14:paraId="0D5C65B4">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≤1317.31万元</w:t>
            </w:r>
          </w:p>
        </w:tc>
      </w:tr>
      <w:tr w14:paraId="4D6BC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69BB2D">
            <w:pPr>
              <w:widowControl/>
              <w:jc w:val="center"/>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A5D6534">
            <w:pPr>
              <w:widowControl/>
              <w:jc w:val="center"/>
              <w:rPr>
                <w:rFonts w:hint="eastAsia" w:asciiTheme="minorEastAsia" w:hAnsiTheme="minorEastAsia" w:eastAsiaTheme="minorEastAsia" w:cstheme="minorEastAsia"/>
                <w:kern w:val="0"/>
                <w:szCs w:val="21"/>
              </w:rPr>
            </w:pPr>
          </w:p>
        </w:tc>
        <w:tc>
          <w:tcPr>
            <w:tcW w:w="1843" w:type="dxa"/>
            <w:shd w:val="clear" w:color="auto" w:fill="auto"/>
            <w:vAlign w:val="center"/>
          </w:tcPr>
          <w:p w14:paraId="67F941CF">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时效指标</w:t>
            </w:r>
          </w:p>
        </w:tc>
        <w:tc>
          <w:tcPr>
            <w:tcW w:w="2062" w:type="dxa"/>
            <w:gridSpan w:val="2"/>
            <w:shd w:val="clear" w:color="auto" w:fill="auto"/>
            <w:vAlign w:val="center"/>
          </w:tcPr>
          <w:p w14:paraId="27397F08">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完成时效</w:t>
            </w:r>
          </w:p>
        </w:tc>
        <w:tc>
          <w:tcPr>
            <w:tcW w:w="2629" w:type="dxa"/>
            <w:shd w:val="clear" w:color="auto" w:fill="auto"/>
            <w:vAlign w:val="center"/>
          </w:tcPr>
          <w:p w14:paraId="671567ED">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w:t>
            </w:r>
            <w:r>
              <w:rPr>
                <w:rFonts w:hint="eastAsia" w:ascii="仿宋_GB2312" w:hAnsi="仿宋_GB2312" w:eastAsia="仿宋_GB2312" w:cs="仿宋_GB2312"/>
                <w:kern w:val="0"/>
                <w:sz w:val="21"/>
                <w:szCs w:val="21"/>
                <w:lang w:val="en-US" w:eastAsia="zh-CN"/>
              </w:rPr>
              <w:t>26</w:t>
            </w:r>
            <w:r>
              <w:rPr>
                <w:rFonts w:hint="eastAsia" w:ascii="仿宋_GB2312" w:hAnsi="仿宋_GB2312" w:eastAsia="仿宋_GB2312" w:cs="仿宋_GB2312"/>
                <w:kern w:val="0"/>
                <w:sz w:val="21"/>
                <w:szCs w:val="21"/>
              </w:rPr>
              <w:t>年1月-12月</w:t>
            </w:r>
          </w:p>
        </w:tc>
      </w:tr>
      <w:tr w14:paraId="094CC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A9F145A">
            <w:pPr>
              <w:widowControl/>
              <w:jc w:val="left"/>
              <w:rPr>
                <w:rFonts w:hint="eastAsia" w:asciiTheme="minorEastAsia" w:hAnsiTheme="minorEastAsia" w:eastAsiaTheme="minorEastAsia" w:cstheme="minorEastAsia"/>
                <w:kern w:val="0"/>
                <w:szCs w:val="21"/>
              </w:rPr>
            </w:pPr>
          </w:p>
        </w:tc>
        <w:tc>
          <w:tcPr>
            <w:tcW w:w="1147" w:type="dxa"/>
            <w:vMerge w:val="restart"/>
            <w:shd w:val="clear" w:color="auto" w:fill="auto"/>
            <w:vAlign w:val="center"/>
          </w:tcPr>
          <w:p w14:paraId="4F21367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效益指标</w:t>
            </w:r>
          </w:p>
        </w:tc>
        <w:tc>
          <w:tcPr>
            <w:tcW w:w="1843" w:type="dxa"/>
            <w:shd w:val="clear" w:color="auto" w:fill="auto"/>
            <w:vAlign w:val="center"/>
          </w:tcPr>
          <w:p w14:paraId="253A35D2">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经济效益指标</w:t>
            </w:r>
          </w:p>
        </w:tc>
        <w:tc>
          <w:tcPr>
            <w:tcW w:w="2062" w:type="dxa"/>
            <w:gridSpan w:val="2"/>
            <w:shd w:val="clear" w:color="auto" w:fill="auto"/>
            <w:vAlign w:val="center"/>
          </w:tcPr>
          <w:p w14:paraId="1DD67643">
            <w:pPr>
              <w:keepNext w:val="0"/>
              <w:keepLines w:val="0"/>
              <w:widowControl/>
              <w:suppressLineNumbers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eastAsia="zh-CN"/>
              </w:rPr>
              <w:t>对外开放的文物单位或场馆</w:t>
            </w:r>
            <w:r>
              <w:rPr>
                <w:rFonts w:hint="eastAsia" w:ascii="仿宋_GB2312" w:hAnsi="仿宋_GB2312" w:eastAsia="仿宋_GB2312" w:cs="仿宋_GB2312"/>
                <w:i w:val="0"/>
                <w:iCs w:val="0"/>
                <w:color w:val="000000"/>
                <w:kern w:val="0"/>
                <w:sz w:val="21"/>
                <w:szCs w:val="21"/>
                <w:u w:val="none"/>
                <w:lang w:val="en-US" w:eastAsia="zh-CN" w:bidi="ar"/>
              </w:rPr>
              <w:t>促进全域旅游开发，带动当地经济发展</w:t>
            </w:r>
          </w:p>
        </w:tc>
        <w:tc>
          <w:tcPr>
            <w:tcW w:w="2629" w:type="dxa"/>
            <w:shd w:val="clear" w:color="auto" w:fill="auto"/>
            <w:vAlign w:val="center"/>
          </w:tcPr>
          <w:p w14:paraId="1DEAF673">
            <w:pPr>
              <w:keepNext w:val="0"/>
              <w:keepLines w:val="0"/>
              <w:widowControl/>
              <w:suppressLineNumbers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持续提高</w:t>
            </w:r>
          </w:p>
        </w:tc>
      </w:tr>
      <w:tr w14:paraId="764D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02C144B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55867AD">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786C8912">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社会效益指标</w:t>
            </w:r>
          </w:p>
        </w:tc>
        <w:tc>
          <w:tcPr>
            <w:tcW w:w="2062" w:type="dxa"/>
            <w:gridSpan w:val="2"/>
            <w:shd w:val="clear" w:color="auto" w:fill="auto"/>
            <w:vAlign w:val="center"/>
          </w:tcPr>
          <w:p w14:paraId="2F7108DA">
            <w:pPr>
              <w:keepNext w:val="0"/>
              <w:keepLines w:val="0"/>
              <w:widowControl/>
              <w:suppressLineNumbers w:val="0"/>
              <w:jc w:val="center"/>
              <w:textAlignment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494E989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通过丰富的影视内容，开阔视野，增长见识，普及科学技术知识，提高城镇居民的思想道德，科学文化素质，不断丰富群众的精神文明需求</w:t>
            </w:r>
          </w:p>
        </w:tc>
      </w:tr>
      <w:tr w14:paraId="41D8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C4F331C">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8D2EA6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8316663">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284B63D0">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17598237">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丰富群众文化生活、营造美好、和谐氛围</w:t>
            </w:r>
          </w:p>
        </w:tc>
      </w:tr>
      <w:tr w14:paraId="5B33D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2999913">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481F2E9">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03A71642">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C576C40">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两故居的对外开放</w:t>
            </w:r>
          </w:p>
        </w:tc>
        <w:tc>
          <w:tcPr>
            <w:tcW w:w="2629" w:type="dxa"/>
            <w:shd w:val="clear" w:color="auto" w:fill="auto"/>
            <w:vAlign w:val="center"/>
          </w:tcPr>
          <w:p w14:paraId="720EADC3">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宣传推介我县人文历史资源、树立全民文物保护意识持续提高</w:t>
            </w:r>
          </w:p>
        </w:tc>
      </w:tr>
      <w:tr w14:paraId="727C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766A5502">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4DCF1DFC">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DE6BDD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4D7554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p>
        </w:tc>
        <w:tc>
          <w:tcPr>
            <w:tcW w:w="2629" w:type="dxa"/>
            <w:shd w:val="clear" w:color="auto" w:fill="auto"/>
            <w:vAlign w:val="center"/>
          </w:tcPr>
          <w:p w14:paraId="015254E3">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宣传推介罗亦农生平业绩，教育后人，满足群众不断增长的文化生活需求比较明显</w:t>
            </w:r>
          </w:p>
        </w:tc>
      </w:tr>
      <w:tr w14:paraId="66C47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E9E5C41">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A63797B">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233C6474">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生态效益指标</w:t>
            </w:r>
          </w:p>
        </w:tc>
        <w:tc>
          <w:tcPr>
            <w:tcW w:w="2062" w:type="dxa"/>
            <w:gridSpan w:val="2"/>
            <w:shd w:val="clear" w:color="auto" w:fill="auto"/>
            <w:vAlign w:val="center"/>
          </w:tcPr>
          <w:p w14:paraId="1D5A9F17">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公益电影放映</w:t>
            </w:r>
          </w:p>
        </w:tc>
        <w:tc>
          <w:tcPr>
            <w:tcW w:w="2629" w:type="dxa"/>
            <w:shd w:val="clear" w:color="auto" w:fill="auto"/>
            <w:vAlign w:val="center"/>
          </w:tcPr>
          <w:p w14:paraId="22468989">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无明显环境污染</w:t>
            </w:r>
          </w:p>
        </w:tc>
      </w:tr>
      <w:tr w14:paraId="60DEC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3886FA">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24728896">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6BB37750">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09E5376A">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罗亦农生平业绩陈列的开放</w:t>
            </w:r>
          </w:p>
        </w:tc>
        <w:tc>
          <w:tcPr>
            <w:tcW w:w="2629" w:type="dxa"/>
            <w:shd w:val="clear" w:color="auto" w:fill="auto"/>
            <w:vAlign w:val="center"/>
          </w:tcPr>
          <w:p w14:paraId="046BF14D">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开放过程中无明显环境污染</w:t>
            </w:r>
          </w:p>
        </w:tc>
      </w:tr>
      <w:tr w14:paraId="6C7A0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EA67173">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F81A6AE">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5AB8638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465D9D4">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2DC72BF6">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i w:val="0"/>
                <w:iCs w:val="0"/>
                <w:color w:val="000000"/>
                <w:kern w:val="0"/>
                <w:sz w:val="21"/>
                <w:szCs w:val="21"/>
                <w:u w:val="none"/>
                <w:lang w:val="en-US" w:eastAsia="zh-CN" w:bidi="ar"/>
              </w:rPr>
              <w:t>无明显环境污染</w:t>
            </w:r>
          </w:p>
        </w:tc>
      </w:tr>
      <w:tr w14:paraId="36D4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9E80BF2">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3E7A8AE4">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749E7314">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可持续影响指标</w:t>
            </w:r>
          </w:p>
        </w:tc>
        <w:tc>
          <w:tcPr>
            <w:tcW w:w="2062" w:type="dxa"/>
            <w:gridSpan w:val="2"/>
            <w:shd w:val="clear" w:color="auto" w:fill="auto"/>
            <w:vAlign w:val="center"/>
          </w:tcPr>
          <w:p w14:paraId="69BE1C0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设备使用年限</w:t>
            </w:r>
          </w:p>
        </w:tc>
        <w:tc>
          <w:tcPr>
            <w:tcW w:w="2629" w:type="dxa"/>
            <w:shd w:val="clear" w:color="auto" w:fill="auto"/>
            <w:vAlign w:val="center"/>
          </w:tcPr>
          <w:p w14:paraId="162939B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≥8年</w:t>
            </w:r>
          </w:p>
        </w:tc>
      </w:tr>
      <w:tr w14:paraId="3C74C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8ADDD4E">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D97C5D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F6F6697">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72BBE169">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69D07303">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rPr>
              <w:t>通过农村电影的放映，帮助农民增</w:t>
            </w:r>
            <w:bookmarkStart w:id="0" w:name="_GoBack"/>
            <w:bookmarkEnd w:id="0"/>
            <w:r>
              <w:rPr>
                <w:rFonts w:hint="eastAsia" w:ascii="仿宋_GB2312" w:hAnsi="仿宋_GB2312" w:eastAsia="仿宋_GB2312" w:cs="仿宋_GB2312"/>
                <w:kern w:val="0"/>
                <w:sz w:val="21"/>
                <w:szCs w:val="21"/>
              </w:rPr>
              <w:t>加文化知识，提高农民文化素质，产生可持续的积极影响</w:t>
            </w:r>
          </w:p>
        </w:tc>
      </w:tr>
      <w:tr w14:paraId="49FD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ED0519C">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8A1789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1F12EAD">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59ABBAA7">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送戏下乡演出</w:t>
            </w:r>
          </w:p>
        </w:tc>
        <w:tc>
          <w:tcPr>
            <w:tcW w:w="2629" w:type="dxa"/>
            <w:shd w:val="clear" w:color="auto" w:fill="auto"/>
            <w:vAlign w:val="center"/>
          </w:tcPr>
          <w:p w14:paraId="182D1E28">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进一步</w:t>
            </w:r>
            <w:r>
              <w:rPr>
                <w:rFonts w:hint="eastAsia" w:ascii="仿宋_GB2312" w:hAnsi="仿宋_GB2312" w:eastAsia="仿宋_GB2312" w:cs="仿宋_GB2312"/>
                <w:kern w:val="0"/>
                <w:sz w:val="21"/>
                <w:szCs w:val="21"/>
              </w:rPr>
              <w:t>满足群众文化生活需求、提高当代人的文化素养</w:t>
            </w:r>
          </w:p>
        </w:tc>
      </w:tr>
      <w:tr w14:paraId="36136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3F20AB0F">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74DA0682">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0CB67AD">
            <w:pPr>
              <w:jc w:val="center"/>
              <w:rPr>
                <w:rFonts w:hint="eastAsia" w:asciiTheme="minorEastAsia" w:hAnsiTheme="minorEastAsia" w:eastAsiaTheme="minorEastAsia" w:cstheme="minorEastAsia"/>
                <w:kern w:val="0"/>
                <w:szCs w:val="21"/>
              </w:rPr>
            </w:pPr>
          </w:p>
        </w:tc>
        <w:tc>
          <w:tcPr>
            <w:tcW w:w="2062" w:type="dxa"/>
            <w:gridSpan w:val="2"/>
            <w:vMerge w:val="restart"/>
            <w:shd w:val="clear" w:color="auto" w:fill="auto"/>
            <w:vAlign w:val="center"/>
          </w:tcPr>
          <w:p w14:paraId="62C04D7F">
            <w:pPr>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p>
          <w:p w14:paraId="14267081">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2629" w:type="dxa"/>
            <w:shd w:val="clear" w:color="auto" w:fill="auto"/>
            <w:vAlign w:val="center"/>
          </w:tcPr>
          <w:p w14:paraId="0745391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宣传推荐我县重要的历史名片、实现文物资源保护利用双结合</w:t>
            </w:r>
          </w:p>
        </w:tc>
      </w:tr>
      <w:tr w14:paraId="4E5D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12D06FD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46BA0567">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23A741B2">
            <w:pPr>
              <w:jc w:val="center"/>
              <w:rPr>
                <w:rFonts w:hint="eastAsia" w:asciiTheme="minorEastAsia" w:hAnsiTheme="minorEastAsia" w:eastAsiaTheme="minorEastAsia" w:cstheme="minorEastAsia"/>
                <w:kern w:val="0"/>
                <w:szCs w:val="21"/>
              </w:rPr>
            </w:pPr>
          </w:p>
        </w:tc>
        <w:tc>
          <w:tcPr>
            <w:tcW w:w="2062" w:type="dxa"/>
            <w:gridSpan w:val="2"/>
            <w:vMerge w:val="continue"/>
            <w:shd w:val="clear" w:color="auto" w:fill="auto"/>
            <w:vAlign w:val="center"/>
          </w:tcPr>
          <w:p w14:paraId="629585EB">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2629" w:type="dxa"/>
            <w:shd w:val="clear" w:color="auto" w:fill="auto"/>
            <w:vAlign w:val="center"/>
          </w:tcPr>
          <w:p w14:paraId="0694B52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宣传成材之路、革命精神重温历史，教育后人</w:t>
            </w:r>
          </w:p>
        </w:tc>
      </w:tr>
      <w:tr w14:paraId="7B04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D743C05">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32CE966">
            <w:pPr>
              <w:widowControl/>
              <w:jc w:val="center"/>
              <w:rPr>
                <w:rFonts w:hint="eastAsia" w:asciiTheme="minorEastAsia" w:hAnsiTheme="minorEastAsia" w:eastAsiaTheme="minorEastAsia" w:cstheme="minorEastAsia"/>
                <w:kern w:val="0"/>
                <w:szCs w:val="21"/>
              </w:rPr>
            </w:pPr>
          </w:p>
        </w:tc>
        <w:tc>
          <w:tcPr>
            <w:tcW w:w="1843" w:type="dxa"/>
            <w:vMerge w:val="restart"/>
            <w:shd w:val="clear" w:color="auto" w:fill="auto"/>
            <w:vAlign w:val="center"/>
          </w:tcPr>
          <w:p w14:paraId="31BF396B">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社会公众或服务对象满意度</w:t>
            </w:r>
          </w:p>
        </w:tc>
        <w:tc>
          <w:tcPr>
            <w:tcW w:w="2062" w:type="dxa"/>
            <w:gridSpan w:val="2"/>
            <w:shd w:val="clear" w:color="auto" w:fill="auto"/>
            <w:vAlign w:val="center"/>
          </w:tcPr>
          <w:p w14:paraId="4E9CDED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服务对象满意度</w:t>
            </w:r>
          </w:p>
        </w:tc>
        <w:tc>
          <w:tcPr>
            <w:tcW w:w="2629" w:type="dxa"/>
            <w:shd w:val="clear" w:color="auto" w:fill="auto"/>
            <w:vAlign w:val="center"/>
          </w:tcPr>
          <w:p w14:paraId="1AE7F45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≥90%</w:t>
            </w:r>
          </w:p>
        </w:tc>
      </w:tr>
      <w:tr w14:paraId="000BB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6713E1C0">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830695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EE016BE">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CF8A297">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00C4D6D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167D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18076380">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517017BD">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1CAAC5A5">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404CFB2D">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送戏下乡演出</w:t>
            </w:r>
            <w:r>
              <w:rPr>
                <w:rFonts w:hint="eastAsia" w:ascii="仿宋_GB2312" w:hAnsi="仿宋_GB2312" w:eastAsia="仿宋_GB2312" w:cs="仿宋_GB2312"/>
                <w:kern w:val="0"/>
                <w:sz w:val="21"/>
                <w:szCs w:val="21"/>
                <w:lang w:eastAsia="zh-CN"/>
              </w:rPr>
              <w:t>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0B23CFF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136A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761" w:type="dxa"/>
            <w:vMerge w:val="continue"/>
            <w:shd w:val="clear" w:color="auto" w:fill="auto"/>
            <w:vAlign w:val="center"/>
          </w:tcPr>
          <w:p w14:paraId="6A86586B">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675483BB">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B860B52">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3761112A">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两故居、</w:t>
            </w:r>
            <w:r>
              <w:rPr>
                <w:rFonts w:hint="eastAsia" w:ascii="仿宋_GB2312" w:hAnsi="仿宋_GB2312" w:eastAsia="仿宋_GB2312" w:cs="仿宋_GB2312"/>
                <w:i w:val="0"/>
                <w:iCs w:val="0"/>
                <w:color w:val="000000"/>
                <w:kern w:val="0"/>
                <w:sz w:val="21"/>
                <w:szCs w:val="21"/>
                <w:u w:val="none"/>
                <w:lang w:val="en-US" w:eastAsia="zh-CN" w:bidi="ar"/>
              </w:rPr>
              <w:t>罗亦农生平业绩陈列开放</w:t>
            </w:r>
            <w:r>
              <w:rPr>
                <w:rFonts w:hint="eastAsia" w:ascii="仿宋_GB2312" w:hAnsi="仿宋_GB2312" w:eastAsia="仿宋_GB2312" w:cs="仿宋_GB2312"/>
                <w:kern w:val="0"/>
                <w:sz w:val="21"/>
                <w:szCs w:val="21"/>
                <w:lang w:eastAsia="zh-CN"/>
              </w:rPr>
              <w:t>观众</w:t>
            </w: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2629" w:type="dxa"/>
            <w:shd w:val="clear" w:color="auto" w:fill="auto"/>
            <w:vAlign w:val="center"/>
          </w:tcPr>
          <w:p w14:paraId="49373E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r w14:paraId="6C56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vAlign w:val="center"/>
          </w:tcPr>
          <w:p w14:paraId="53BD4DAA">
            <w:pPr>
              <w:widowControl/>
              <w:jc w:val="left"/>
              <w:rPr>
                <w:rFonts w:hint="eastAsia" w:asciiTheme="minorEastAsia" w:hAnsiTheme="minorEastAsia" w:eastAsiaTheme="minorEastAsia" w:cstheme="minorEastAsia"/>
                <w:kern w:val="0"/>
                <w:szCs w:val="21"/>
              </w:rPr>
            </w:pPr>
          </w:p>
        </w:tc>
        <w:tc>
          <w:tcPr>
            <w:tcW w:w="1147" w:type="dxa"/>
            <w:vMerge w:val="continue"/>
            <w:shd w:val="clear" w:color="auto" w:fill="auto"/>
            <w:vAlign w:val="center"/>
          </w:tcPr>
          <w:p w14:paraId="1B6A0F70">
            <w:pPr>
              <w:widowControl/>
              <w:jc w:val="center"/>
              <w:rPr>
                <w:rFonts w:hint="eastAsia" w:asciiTheme="minorEastAsia" w:hAnsiTheme="minorEastAsia" w:eastAsiaTheme="minorEastAsia" w:cstheme="minorEastAsia"/>
                <w:kern w:val="0"/>
                <w:szCs w:val="21"/>
              </w:rPr>
            </w:pPr>
          </w:p>
        </w:tc>
        <w:tc>
          <w:tcPr>
            <w:tcW w:w="1843" w:type="dxa"/>
            <w:vMerge w:val="continue"/>
            <w:shd w:val="clear" w:color="auto" w:fill="auto"/>
            <w:vAlign w:val="center"/>
          </w:tcPr>
          <w:p w14:paraId="36BFACC9">
            <w:pPr>
              <w:jc w:val="center"/>
              <w:rPr>
                <w:rFonts w:hint="eastAsia" w:asciiTheme="minorEastAsia" w:hAnsiTheme="minorEastAsia" w:eastAsiaTheme="minorEastAsia" w:cstheme="minorEastAsia"/>
                <w:kern w:val="0"/>
                <w:szCs w:val="21"/>
              </w:rPr>
            </w:pPr>
          </w:p>
        </w:tc>
        <w:tc>
          <w:tcPr>
            <w:tcW w:w="2062" w:type="dxa"/>
            <w:gridSpan w:val="2"/>
            <w:shd w:val="clear" w:color="auto" w:fill="auto"/>
            <w:vAlign w:val="center"/>
          </w:tcPr>
          <w:p w14:paraId="6B1B7171">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kern w:val="0"/>
                <w:sz w:val="21"/>
                <w:szCs w:val="21"/>
                <w:lang w:eastAsia="zh-CN"/>
              </w:rPr>
              <w:t>公益电影的放映</w:t>
            </w:r>
          </w:p>
        </w:tc>
        <w:tc>
          <w:tcPr>
            <w:tcW w:w="2629" w:type="dxa"/>
            <w:shd w:val="clear" w:color="auto" w:fill="auto"/>
            <w:vAlign w:val="center"/>
          </w:tcPr>
          <w:p w14:paraId="3EAA318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≥95%</w:t>
            </w:r>
          </w:p>
        </w:tc>
      </w:tr>
    </w:tbl>
    <w:p w14:paraId="5AE6083D">
      <w:pPr>
        <w:widowControl/>
        <w:tabs>
          <w:tab w:val="left" w:pos="1333"/>
          <w:tab w:val="left" w:pos="3793"/>
          <w:tab w:val="left" w:pos="5853"/>
        </w:tabs>
        <w:jc w:val="left"/>
        <w:rPr>
          <w:rFonts w:hint="eastAsia" w:asciiTheme="minorEastAsia" w:hAnsiTheme="minorEastAsia" w:eastAsiaTheme="minorEastAsia" w:cstheme="minorEastAsia"/>
          <w:kern w:val="0"/>
          <w:szCs w:val="21"/>
        </w:rPr>
      </w:pPr>
    </w:p>
    <w:p w14:paraId="0ECEC251"/>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349A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0C0725">
                          <w:pPr>
                            <w:pStyle w:val="7"/>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20</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F0C0725">
                    <w:pPr>
                      <w:pStyle w:val="7"/>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20</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C329F">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56A2E">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36204">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83D53">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464BB">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OGNmZmQ2ZGI3OWMyZmRjMjBhNTY0NWJiYTY2NmYifQ=="/>
  </w:docVars>
  <w:rsids>
    <w:rsidRoot w:val="00B47159"/>
    <w:rsid w:val="00000C8B"/>
    <w:rsid w:val="00001005"/>
    <w:rsid w:val="00001274"/>
    <w:rsid w:val="00001B57"/>
    <w:rsid w:val="00001B70"/>
    <w:rsid w:val="00001DF9"/>
    <w:rsid w:val="00002C69"/>
    <w:rsid w:val="00004A1C"/>
    <w:rsid w:val="00004C93"/>
    <w:rsid w:val="00004FF7"/>
    <w:rsid w:val="000050EE"/>
    <w:rsid w:val="0000555B"/>
    <w:rsid w:val="000064E3"/>
    <w:rsid w:val="00006936"/>
    <w:rsid w:val="00006B30"/>
    <w:rsid w:val="000077D3"/>
    <w:rsid w:val="000122AE"/>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34E"/>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8E1"/>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54C"/>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6E0"/>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8A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171"/>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634"/>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7AA"/>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CE"/>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581609E"/>
    <w:rsid w:val="0AF840A2"/>
    <w:rsid w:val="11ED0E73"/>
    <w:rsid w:val="16705DBA"/>
    <w:rsid w:val="241D6C5C"/>
    <w:rsid w:val="2BB03A09"/>
    <w:rsid w:val="2BD150C7"/>
    <w:rsid w:val="2EE95A36"/>
    <w:rsid w:val="30082169"/>
    <w:rsid w:val="36151109"/>
    <w:rsid w:val="382C1574"/>
    <w:rsid w:val="39060078"/>
    <w:rsid w:val="3F99287F"/>
    <w:rsid w:val="405829FA"/>
    <w:rsid w:val="4C7620D1"/>
    <w:rsid w:val="4D607882"/>
    <w:rsid w:val="4D9E25A7"/>
    <w:rsid w:val="58771CD9"/>
    <w:rsid w:val="5B626758"/>
    <w:rsid w:val="5C630E25"/>
    <w:rsid w:val="5DA75DEC"/>
    <w:rsid w:val="75CE053B"/>
    <w:rsid w:val="763520FF"/>
    <w:rsid w:val="763C05F7"/>
    <w:rsid w:val="79AC2448"/>
    <w:rsid w:val="7D130AC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5"/>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4">
    <w:name w:val="heading 2"/>
    <w:basedOn w:val="1"/>
    <w:next w:val="1"/>
    <w:link w:val="16"/>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styleId="5">
    <w:name w:val="Date"/>
    <w:basedOn w:val="1"/>
    <w:next w:val="1"/>
    <w:link w:val="20"/>
    <w:semiHidden/>
    <w:qFormat/>
    <w:uiPriority w:val="99"/>
    <w:pPr>
      <w:spacing w:line="600" w:lineRule="exact"/>
      <w:ind w:left="100" w:leftChars="2500" w:firstLine="200" w:firstLineChars="200"/>
    </w:pPr>
    <w:rPr>
      <w:rFonts w:ascii="Times New Roman" w:hAnsi="Times New Roman" w:eastAsia="仿宋"/>
      <w:sz w:val="32"/>
    </w:rPr>
  </w:style>
  <w:style w:type="paragraph" w:styleId="6">
    <w:name w:val="Balloon Text"/>
    <w:basedOn w:val="1"/>
    <w:link w:val="21"/>
    <w:qFormat/>
    <w:uiPriority w:val="99"/>
    <w:pPr>
      <w:ind w:firstLine="200" w:firstLineChars="200"/>
    </w:pPr>
    <w:rPr>
      <w:rFonts w:ascii="Times New Roman" w:hAnsi="Times New Roman" w:eastAsia="仿宋"/>
      <w:sz w:val="18"/>
      <w:szCs w:val="18"/>
    </w:rPr>
  </w:style>
  <w:style w:type="paragraph" w:styleId="7">
    <w:name w:val="footer"/>
    <w:basedOn w:val="1"/>
    <w:link w:val="19"/>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9">
    <w:name w:val="toc 1"/>
    <w:basedOn w:val="1"/>
    <w:next w:val="1"/>
    <w:qFormat/>
    <w:uiPriority w:val="99"/>
    <w:pPr>
      <w:spacing w:line="600" w:lineRule="exact"/>
      <w:ind w:firstLine="200" w:firstLineChars="200"/>
    </w:pPr>
    <w:rPr>
      <w:rFonts w:ascii="Times New Roman" w:hAnsi="Times New Roman" w:eastAsia="仿宋"/>
      <w:sz w:val="32"/>
    </w:rPr>
  </w:style>
  <w:style w:type="paragraph" w:styleId="10">
    <w:name w:val="toc 2"/>
    <w:basedOn w:val="1"/>
    <w:next w:val="1"/>
    <w:qFormat/>
    <w:uiPriority w:val="99"/>
    <w:pPr>
      <w:spacing w:line="600" w:lineRule="exact"/>
      <w:ind w:left="420" w:leftChars="200" w:firstLine="200" w:firstLineChars="200"/>
    </w:pPr>
    <w:rPr>
      <w:rFonts w:ascii="Times New Roman" w:hAnsi="Times New Roman" w:eastAsia="仿宋"/>
      <w:sz w:val="32"/>
    </w:rPr>
  </w:style>
  <w:style w:type="character" w:styleId="13">
    <w:name w:val="Strong"/>
    <w:basedOn w:val="12"/>
    <w:qFormat/>
    <w:uiPriority w:val="99"/>
    <w:rPr>
      <w:rFonts w:cs="Times New Roman"/>
      <w:b/>
      <w:bCs/>
    </w:rPr>
  </w:style>
  <w:style w:type="character" w:styleId="14">
    <w:name w:val="Hyperlink"/>
    <w:basedOn w:val="12"/>
    <w:qFormat/>
    <w:uiPriority w:val="99"/>
    <w:rPr>
      <w:rFonts w:cs="Times New Roman"/>
      <w:color w:val="0000FF"/>
      <w:u w:val="single"/>
    </w:rPr>
  </w:style>
  <w:style w:type="character" w:customStyle="1" w:styleId="15">
    <w:name w:val="标题 1 Char"/>
    <w:basedOn w:val="12"/>
    <w:link w:val="3"/>
    <w:qFormat/>
    <w:locked/>
    <w:uiPriority w:val="99"/>
    <w:rPr>
      <w:rFonts w:eastAsia="黑体" w:cs="Calibri"/>
      <w:bCs/>
      <w:kern w:val="44"/>
      <w:sz w:val="44"/>
      <w:szCs w:val="44"/>
    </w:rPr>
  </w:style>
  <w:style w:type="character" w:customStyle="1" w:styleId="16">
    <w:name w:val="标题 2 Char"/>
    <w:basedOn w:val="12"/>
    <w:link w:val="4"/>
    <w:qFormat/>
    <w:locked/>
    <w:uiPriority w:val="99"/>
    <w:rPr>
      <w:rFonts w:eastAsia="楷体_GB2312" w:cs="Times New Roman"/>
      <w:b/>
      <w:bCs/>
      <w:kern w:val="2"/>
      <w:sz w:val="32"/>
      <w:szCs w:val="32"/>
    </w:rPr>
  </w:style>
  <w:style w:type="paragraph" w:styleId="17">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8">
    <w:name w:val="页眉 Char"/>
    <w:basedOn w:val="12"/>
    <w:link w:val="8"/>
    <w:qFormat/>
    <w:locked/>
    <w:uiPriority w:val="99"/>
    <w:rPr>
      <w:rFonts w:eastAsia="仿宋" w:cs="Times New Roman"/>
      <w:sz w:val="18"/>
      <w:szCs w:val="18"/>
    </w:rPr>
  </w:style>
  <w:style w:type="character" w:customStyle="1" w:styleId="19">
    <w:name w:val="页脚 Char"/>
    <w:basedOn w:val="12"/>
    <w:link w:val="7"/>
    <w:qFormat/>
    <w:locked/>
    <w:uiPriority w:val="99"/>
    <w:rPr>
      <w:rFonts w:eastAsia="仿宋" w:cs="Times New Roman"/>
      <w:sz w:val="18"/>
      <w:szCs w:val="18"/>
    </w:rPr>
  </w:style>
  <w:style w:type="character" w:customStyle="1" w:styleId="20">
    <w:name w:val="日期 Char"/>
    <w:basedOn w:val="12"/>
    <w:link w:val="5"/>
    <w:semiHidden/>
    <w:qFormat/>
    <w:locked/>
    <w:uiPriority w:val="99"/>
    <w:rPr>
      <w:rFonts w:eastAsia="仿宋" w:cs="Times New Roman"/>
      <w:kern w:val="2"/>
      <w:sz w:val="24"/>
      <w:szCs w:val="24"/>
    </w:rPr>
  </w:style>
  <w:style w:type="character" w:customStyle="1" w:styleId="21">
    <w:name w:val="批注框文本 Char"/>
    <w:basedOn w:val="12"/>
    <w:link w:val="6"/>
    <w:qFormat/>
    <w:locked/>
    <w:uiPriority w:val="99"/>
    <w:rPr>
      <w:rFonts w:eastAsia="仿宋" w:cs="Times New Roman"/>
      <w:kern w:val="2"/>
      <w:sz w:val="18"/>
      <w:szCs w:val="18"/>
    </w:rPr>
  </w:style>
  <w:style w:type="paragraph" w:customStyle="1" w:styleId="22">
    <w:name w:val="列出段落1"/>
    <w:basedOn w:val="1"/>
    <w:qFormat/>
    <w:uiPriority w:val="99"/>
    <w:pPr>
      <w:spacing w:line="600" w:lineRule="exact"/>
      <w:ind w:firstLine="420" w:firstLineChars="200"/>
    </w:pPr>
    <w:rPr>
      <w:rFonts w:ascii="Times New Roman" w:hAnsi="Times New Roman" w:eastAsia="仿宋"/>
      <w:sz w:val="32"/>
    </w:rPr>
  </w:style>
  <w:style w:type="character" w:customStyle="1" w:styleId="23">
    <w:name w:val="font41"/>
    <w:basedOn w:val="12"/>
    <w:qFormat/>
    <w:uiPriority w:val="99"/>
    <w:rPr>
      <w:rFonts w:ascii="仿宋" w:hAnsi="仿宋" w:eastAsia="仿宋" w:cs="仿宋"/>
      <w:color w:val="000000"/>
      <w:sz w:val="18"/>
      <w:szCs w:val="18"/>
      <w:u w:val="none"/>
    </w:rPr>
  </w:style>
  <w:style w:type="character" w:customStyle="1" w:styleId="24">
    <w:name w:val="font31"/>
    <w:basedOn w:val="12"/>
    <w:qFormat/>
    <w:uiPriority w:val="0"/>
    <w:rPr>
      <w:rFonts w:hint="default" w:ascii="Arial" w:hAnsi="Arial" w:cs="Arial"/>
      <w:color w:val="000000"/>
      <w:sz w:val="20"/>
      <w:szCs w:val="20"/>
      <w:u w:val="none"/>
    </w:rPr>
  </w:style>
  <w:style w:type="character" w:customStyle="1" w:styleId="25">
    <w:name w:val="font21"/>
    <w:basedOn w:val="12"/>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1543</Words>
  <Characters>1625</Characters>
  <Lines>38</Lines>
  <Paragraphs>10</Paragraphs>
  <TotalTime>14</TotalTime>
  <ScaleCrop>false</ScaleCrop>
  <LinksUpToDate>false</LinksUpToDate>
  <CharactersWithSpaces>1968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2020-10-10T03:36:00Z</dcterms:created>
  <dc:creator>PC</dc:creator>
  <cp:lastModifiedBy>旭  17752809893</cp:lastModifiedBy>
  <cp:lastPrinted>2024-10-12T07:12:00Z</cp:lastPrinted>
  <dcterms:modified xsi:type="dcterms:W3CDTF">2026-01-22T05:07:11Z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SaveFontToCloudKey">
    <vt:lpwstr>345119470_btnclosed</vt:lpwstr>
  </property>
  <property fmtid="{D5CDD505-2E9C-101B-9397-08002B2CF9AE}" pid="4" name="ICV">
    <vt:lpwstr>4AB4A89E8F8E44D8962FB53F16E4EEE5</vt:lpwstr>
  </property>
  <property fmtid="{D5CDD505-2E9C-101B-9397-08002B2CF9AE}" pid="5" name="KSOTemplateDocerSaveRecord">
    <vt:lpwstr>eyJoZGlkIjoiZjMwYWI5M2NmY2RkYjUzNmNiNTMzNDQ2NjAzY2VjNmQiLCJ1c2VySWQiOiI3NDgyOTQ0MTAifQ==</vt:lpwstr>
  </property>
</Properties>
</file>