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v="urn:schemas-microsoft-com:vml" xmlns:o="urn:schemas-microsoft-com:office:office" xmlns:r="http://schemas.openxmlformats.org/officeDocument/2006/relationships" xmlns:w10="urn:schemas-microsoft-com:office:word" xmlns:m="http://schemas.openxmlformats.org/officeDocument/2006/math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wp14="http://schemas.microsoft.com/office/word/2010/wordprocessingDrawing" xmlns:wp="http://schemas.openxmlformats.org/drawingml/2006/wordprocessingDrawing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Normal"/>
        <w:rPr>
          <w:sz w:val="44"/>
          <w:szCs w:val="44"/>
          <w:b/>
          <w:kern w:val="0"/>
          <w:bCs w:val="0"/>
          <w:lang w:bidi="ar-SA"/>
          <w:rFonts w:hAnsi="黑体" w:hint="eastAsia" w:eastAsia="黑体" w:ascii="黑体"/>
        </w:rPr>
        <w:widowControl/>
        <w:keepNext w:val="off"/>
        <w:keepLines w:val="off"/>
        <w:suppressLineNumbers w:val="off"/>
        <w:ind w:right="0" w:left="0"/>
        <w:spacing w:after="0" w:afterAutospacing="0" w:line="600" w:beforeAutospacing="0" w:lineRule="exact" w:before="0"/>
        <w:jc w:val="center"/>
      </w:pPr>
      <w:r>
        <w:rPr>
          <w:sz w:val="44"/>
          <w:szCs w:val="44"/>
          <w:b/>
          <w:kern w:val="0"/>
          <w:bCs w:val="0"/>
          <w:lang w:bidi="ar-SA"/>
          <w:rFonts w:hAnsi="黑体" w:hint="eastAsia" w:eastAsia="黑体" w:ascii="黑体"/>
        </w:rPr>
        <w:t xml:space="preserve">彭德怀纪念馆</w:t>
      </w:r>
      <w:r>
        <w:rPr>
          <w:sz w:val="44"/>
          <w:szCs w:val="44"/>
          <w:b/>
          <w:kern w:val="0"/>
          <w:bCs w:val="0"/>
          <w:lang w:bidi="ar-SA" w:eastAsia="zh-CN"/>
          <w:rFonts w:hAnsi="黑体" w:hint="eastAsia" w:eastAsia="黑体" w:ascii="黑体"/>
        </w:rPr>
        <w:t xml:space="preserve">2026</w:t>
      </w:r>
      <w:r>
        <w:rPr>
          <w:sz w:val="44"/>
          <w:szCs w:val="44"/>
          <w:b/>
          <w:kern w:val="0"/>
          <w:bCs w:val="0"/>
          <w:lang w:bidi="ar-SA"/>
          <w:rFonts w:hAnsi="黑体" w:hint="eastAsia" w:eastAsia="黑体" w:ascii="黑体"/>
        </w:rPr>
        <w:t xml:space="preserve">年部门预算公开</w:t>
      </w:r>
      <w:r>
        <w:rPr>
          <w:sz w:val="44"/>
          <w:szCs w:val="44"/>
          <w:b/>
          <w:kern w:val="0"/>
          <w:bCs w:val="0"/>
          <w:lang w:bidi="ar-SA"/>
          <w:rFonts w:hAnsi="黑体" w:hint="eastAsia" w:eastAsia="黑体" w:ascii="黑体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spacing w:after="1" w:afterAutospacing="0" w:before="0" w:beforeAutospacing="0"/>
        <w:jc w:val="center"/>
      </w:pPr>
      <w:r>
        <w:rPr>
          <w:sz w:val="32"/>
          <w:szCs w:val="32"/>
          <w:kern w:val="2"/>
          <w:rFonts w:ascii="宋体" w:eastAsia="宋体" w:hAnsi="宋体" w:hint="eastAsia" w:cs="宋体"/>
          <w:color w:val="000000"/>
        </w:rPr>
        <w:t xml:space="preserve"> </w:t>
      </w:r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32"/>
          <w:szCs w:val="32"/>
          <w:kern w:val="0"/>
          <w:bCs/>
          <w:lang w:bidi="ar-SA"/>
          <w:rFonts w:hAnsi="Times New Roman" w:hint="eastAsia" w:eastAsia="黑体" w:ascii="Times New Roman"/>
        </w:rPr>
        <w:widowControl/>
        <w:keepNext w:val="off"/>
        <w:keepLines w:val="off"/>
        <w:suppressLineNumbers w:val="off"/>
        <w:ind w:right="0" w:left="0"/>
        <w:spacing w:after="0" w:afterAutospacing="0" w:line="600" w:beforeAutospacing="0" w:lineRule="exact" w:before="0"/>
        <w:jc w:val="center"/>
      </w:pPr>
      <w:r>
        <w:rPr>
          <w:sz w:val="32"/>
          <w:szCs w:val="32"/>
          <w:kern w:val="0"/>
          <w:bCs/>
          <w:lang w:bidi="ar-SA"/>
          <w:rFonts w:hAnsi="Times New Roman" w:hint="eastAsia" w:eastAsia="黑体" w:ascii="Times New Roman"/>
        </w:rPr>
        <w:t xml:space="preserve">目</w:t>
      </w:r>
      <w:r>
        <w:rPr>
          <w:sz w:val="32"/>
          <w:szCs w:val="32"/>
          <w:kern w:val="0"/>
          <w:bCs/>
          <w:lang w:eastAsia="zh-CN" w:bidi="ar-SA" w:val="en-US"/>
          <w:rFonts w:hAnsi="Times New Roman" w:hint="eastAsia" w:eastAsia="黑体" w:ascii="Times New Roman"/>
        </w:rPr>
        <w:t xml:space="preserve"> </w:t>
      </w:r>
      <w:r>
        <w:rPr>
          <w:sz w:val="32"/>
          <w:szCs w:val="32"/>
          <w:kern w:val="0"/>
          <w:bCs/>
          <w:lang w:bidi="ar-SA"/>
          <w:rFonts w:hAnsi="Times New Roman" w:hint="eastAsia" w:eastAsia="黑体" w:ascii="Times New Roman"/>
        </w:rPr>
        <w:t xml:space="preserve">录</w:t>
      </w:r>
      <w:r>
        <w:rPr>
          <w:sz w:val="32"/>
          <w:szCs w:val="32"/>
          <w:kern w:val="0"/>
          <w:bCs/>
          <w:lang w:bidi="ar-SA"/>
          <w:rFonts w:hAnsi="Times New Roman" w:hint="eastAsia" w:eastAsia="黑体" w:ascii="Times New Roman"/>
        </w:rPr>
      </w:r>
    </w:p>
    <w:p>
      <w:pPr>
        <w:pStyle w:val="Normal"/>
        <w:rPr>
          <w:sz w:val="32"/>
          <w:szCs w:val="32"/>
          <w:b/>
          <w:kern w:val="0"/>
          <w:bCs/>
          <w:lang w:bidi="ar-SA"/>
          <w:rFonts w:hAnsi="Times New Roman" w:hint="eastAsia" w:eastAsia="仿宋_GB2312" w:ascii="Times New Roman"/>
        </w:rPr>
        <w:widowControl/>
        <w:keepNext w:val="off"/>
        <w:keepLines w:val="off"/>
        <w:suppressLineNumbers w:val="off"/>
        <w:ind w:firstLine="643" w:right="0" w:firstLineChars="200" w:left="0"/>
        <w:spacing w:after="0" w:afterAutospacing="0" w:line="600" w:beforeAutospacing="0" w:lineRule="exact" w:before="0"/>
      </w:pPr>
      <w:r>
        <w:rPr>
          <w:sz w:val="32"/>
          <w:szCs w:val="32"/>
          <w:b/>
          <w:kern w:val="0"/>
          <w:bCs/>
          <w:lang w:bidi="ar-SA"/>
          <w:rFonts w:hAnsi="Times New Roman" w:hint="eastAsia" w:eastAsia="仿宋_GB2312" w:ascii="Times New Roman"/>
        </w:rPr>
        <w:t xml:space="preserve">第一部分</w:t>
      </w:r>
      <w:r>
        <w:rPr>
          <w:sz w:val="32"/>
          <w:szCs w:val="32"/>
          <w:b/>
          <w:kern w:val="0"/>
          <w:bCs/>
          <w:lang w:bidi="ar-SA" w:eastAsia="zh-CN"/>
          <w:rFonts w:hAnsi="Times New Roman" w:hint="eastAsia" w:eastAsia="仿宋_GB2312" w:ascii="Times New Roman"/>
        </w:rPr>
        <w:t xml:space="preserve">2026</w:t>
      </w:r>
      <w:r>
        <w:rPr>
          <w:sz w:val="32"/>
          <w:szCs w:val="32"/>
          <w:b/>
          <w:kern w:val="0"/>
          <w:bCs/>
          <w:lang w:bidi="ar-SA"/>
          <w:rFonts w:hAnsi="Times New Roman" w:hint="eastAsia" w:eastAsia="仿宋_GB2312" w:ascii="Times New Roman"/>
        </w:rPr>
        <w:t xml:space="preserve">年部门预算说明</w:t>
      </w:r>
      <w:r>
        <w:rPr>
          <w:sz w:val="32"/>
          <w:szCs w:val="32"/>
          <w:b/>
          <w:kern w:val="0"/>
          <w:bCs/>
          <w:lang w:bidi="ar-SA"/>
          <w:rFonts w:hAnsi="Times New Roman" w:hint="eastAsia" w:eastAsia="仿宋_GB2312" w:ascii="Times New Roman"/>
        </w:rPr>
      </w:r>
    </w:p>
    <w:p>
      <w:pPr>
        <w:pStyle w:val="Normal"/>
        <w:rPr>
          <w:sz w:val="32"/>
          <w:szCs w:val="32"/>
          <w:b/>
          <w:kern w:val="0"/>
          <w:bCs/>
          <w:lang w:bidi="ar-SA"/>
          <w:rFonts w:hAnsi="Times New Roman" w:eastAsia="仿宋_GB2312" w:ascii="Times New Roman"/>
        </w:rPr>
        <w:widowControl/>
        <w:keepNext w:val="off"/>
        <w:keepLines w:val="off"/>
        <w:suppressLineNumbers w:val="off"/>
        <w:ind w:firstLine="643" w:right="0" w:firstLineChars="200" w:left="0"/>
        <w:spacing w:after="0" w:afterAutospacing="0" w:line="600" w:beforeAutospacing="0" w:lineRule="exact" w:before="0"/>
      </w:pPr>
      <w:r>
        <w:rPr>
          <w:sz w:val="32"/>
          <w:szCs w:val="32"/>
          <w:b/>
          <w:kern w:val="0"/>
          <w:bCs/>
          <w:lang w:bidi="ar-SA" w:eastAsia="zh-CN"/>
          <w:rFonts w:hAnsi="Times New Roman" w:hint="eastAsia" w:eastAsia="仿宋_GB2312" w:ascii="Times New Roman"/>
        </w:rPr>
        <w:t xml:space="preserve">第二部分2026</w:t>
      </w:r>
      <w:r>
        <w:rPr>
          <w:sz w:val="32"/>
          <w:szCs w:val="32"/>
          <w:b/>
          <w:kern w:val="0"/>
          <w:bCs/>
          <w:lang w:bidi="ar-SA"/>
          <w:rFonts w:hAnsi="Times New Roman" w:eastAsia="仿宋_GB2312" w:ascii="Times New Roman"/>
        </w:rPr>
        <w:t xml:space="preserve">年部门预算表</w:t>
      </w:r>
      <w:r>
        <w:rPr>
          <w:sz w:val="32"/>
          <w:szCs w:val="32"/>
          <w:b/>
          <w:kern w:val="0"/>
          <w:bCs/>
          <w:lang w:bidi="ar-SA"/>
          <w:rFonts w:hAnsi="Times New Roman" w:eastAsia="仿宋_GB2312" w:ascii="Times New Roman"/>
        </w:rPr>
      </w:r>
    </w:p>
    <w:p>
      <w:pPr>
        <w:pStyle w:val="Normal"/>
        <w:rPr>
          <w:sz w:val="32"/>
          <w:szCs w:val="32"/>
          <w:rFonts w:hint="eastAsia" w:eastAsia="仿宋_GB2312"/>
        </w:rPr>
        <w:widowControl/>
        <w:ind w:firstLine="320" w:leftChars="200" w:firstLineChars="100" w:rightChars="0" w:right="0"/>
        <w:spacing w:lineRule="exact" w:line="600"/>
      </w:pPr>
      <w:r>
        <w:rPr>
          <w:sz w:val="32"/>
          <w:szCs w:val="32"/>
          <w:rFonts w:hint="eastAsia" w:eastAsia="仿宋_GB2312"/>
        </w:rPr>
        <w:t xml:space="preserve">1、部门收支总体情况表</w:t>
      </w:r>
      <w:r>
        <w:rPr>
          <w:sz w:val="32"/>
          <w:szCs w:val="32"/>
          <w:rFonts w:hint="eastAsia" w:eastAsia="仿宋_GB2312"/>
        </w:rPr>
      </w:r>
    </w:p>
    <w:p>
      <w:pPr>
        <w:pStyle w:val="Normal"/>
        <w:rPr>
          <w:sz w:val="32"/>
          <w:szCs w:val="32"/>
          <w:rFonts w:hint="eastAsia" w:eastAsia="仿宋_GB2312"/>
        </w:rPr>
        <w:widowControl/>
        <w:ind w:firstLine="640" w:firstLineChars="200"/>
        <w:spacing w:lineRule="exact" w:line="600"/>
      </w:pPr>
      <w:r>
        <w:rPr>
          <w:sz w:val="32"/>
          <w:szCs w:val="32"/>
          <w:rFonts w:hint="eastAsia" w:eastAsia="仿宋_GB2312"/>
        </w:rPr>
        <w:t xml:space="preserve">2、部门收入总体情况表</w:t>
      </w:r>
      <w:r>
        <w:rPr>
          <w:sz w:val="32"/>
          <w:szCs w:val="32"/>
          <w:rFonts w:hint="eastAsia" w:eastAsia="仿宋_GB2312"/>
        </w:rPr>
      </w:r>
    </w:p>
    <w:p>
      <w:pPr>
        <w:pStyle w:val="Normal"/>
        <w:rPr>
          <w:sz w:val="32"/>
          <w:szCs w:val="32"/>
          <w:rFonts w:hint="eastAsia" w:eastAsia="仿宋_GB2312"/>
        </w:rPr>
        <w:widowControl/>
        <w:ind w:firstLine="640" w:firstLineChars="200"/>
        <w:spacing w:lineRule="exact" w:line="600"/>
      </w:pPr>
      <w:r>
        <w:rPr>
          <w:sz w:val="32"/>
          <w:szCs w:val="32"/>
          <w:rFonts w:hint="eastAsia" w:eastAsia="仿宋_GB2312"/>
        </w:rPr>
        <w:t xml:space="preserve">3、部门支出总体情况表</w:t>
      </w:r>
      <w:r>
        <w:rPr>
          <w:sz w:val="32"/>
          <w:szCs w:val="32"/>
          <w:rFonts w:hint="eastAsia" w:eastAsia="仿宋_GB2312"/>
        </w:rPr>
      </w:r>
    </w:p>
    <w:p>
      <w:pPr>
        <w:pStyle w:val="Normal"/>
        <w:rPr>
          <w:sz w:val="32"/>
          <w:szCs w:val="32"/>
          <w:rFonts w:hint="eastAsia" w:eastAsia="仿宋_GB2312"/>
        </w:rPr>
        <w:widowControl/>
        <w:ind w:firstLine="640" w:firstLineChars="200"/>
        <w:spacing w:lineRule="exact" w:line="600"/>
      </w:pPr>
      <w:r>
        <w:rPr>
          <w:sz w:val="32"/>
          <w:szCs w:val="32"/>
          <w:rFonts w:hint="eastAsia" w:eastAsia="仿宋_GB2312"/>
        </w:rPr>
        <w:t xml:space="preserve">4、财政拨款收支情况表</w:t>
      </w:r>
      <w:r>
        <w:rPr>
          <w:sz w:val="32"/>
          <w:szCs w:val="32"/>
          <w:rFonts w:hint="eastAsia" w:eastAsia="仿宋_GB2312"/>
        </w:rPr>
      </w:r>
    </w:p>
    <w:p>
      <w:pPr>
        <w:pStyle w:val="Normal"/>
        <w:rPr>
          <w:sz w:val="32"/>
          <w:szCs w:val="32"/>
          <w:rFonts w:hint="eastAsia" w:eastAsia="仿宋_GB2312"/>
        </w:rPr>
        <w:widowControl/>
        <w:ind w:firstLine="640" w:firstLineChars="200"/>
        <w:spacing w:lineRule="exact" w:line="600"/>
      </w:pPr>
      <w:r>
        <w:rPr>
          <w:sz w:val="32"/>
          <w:szCs w:val="32"/>
          <w:rFonts w:hint="eastAsia" w:eastAsia="仿宋_GB2312"/>
        </w:rPr>
        <w:t xml:space="preserve">5、一般公共预算支出表</w:t>
      </w:r>
      <w:r>
        <w:rPr>
          <w:sz w:val="32"/>
          <w:szCs w:val="32"/>
          <w:rFonts w:hint="eastAsia" w:eastAsia="仿宋_GB2312"/>
        </w:rPr>
      </w:r>
    </w:p>
    <w:p>
      <w:pPr>
        <w:pStyle w:val="Normal"/>
        <w:rPr>
          <w:sz w:val="32"/>
          <w:szCs w:val="32"/>
          <w:rFonts w:hint="eastAsia" w:eastAsia="仿宋_GB2312"/>
        </w:rPr>
        <w:widowControl/>
        <w:ind w:firstLine="640" w:firstLineChars="200"/>
        <w:spacing w:lineRule="exact" w:line="600"/>
      </w:pPr>
      <w:r>
        <w:rPr>
          <w:sz w:val="32"/>
          <w:szCs w:val="32"/>
          <w:rFonts w:hint="eastAsia" w:eastAsia="仿宋_GB2312"/>
        </w:rPr>
        <w:t xml:space="preserve">6、一般公共预算基本支出表</w:t>
      </w:r>
      <w:r>
        <w:rPr>
          <w:sz w:val="32"/>
          <w:szCs w:val="32"/>
          <w:rFonts w:hint="eastAsia" w:eastAsia="仿宋_GB2312"/>
        </w:rPr>
      </w:r>
    </w:p>
    <w:p>
      <w:pPr>
        <w:pStyle w:val="Normal"/>
        <w:rPr>
          <w:sz w:val="32"/>
          <w:szCs w:val="32"/>
          <w:rFonts w:hint="eastAsia" w:eastAsia="仿宋_GB2312"/>
        </w:rPr>
        <w:widowControl/>
        <w:ind w:firstLine="640" w:firstLineChars="200"/>
        <w:spacing w:lineRule="exact" w:line="600"/>
      </w:pPr>
      <w:r>
        <w:rPr>
          <w:sz w:val="32"/>
          <w:szCs w:val="32"/>
          <w:rFonts w:hint="eastAsia" w:eastAsia="仿宋_GB2312"/>
        </w:rPr>
        <w:t xml:space="preserve">7、一般公共预算“三公”经费支出表</w:t>
      </w:r>
      <w:r>
        <w:rPr>
          <w:sz w:val="32"/>
          <w:szCs w:val="32"/>
          <w:rFonts w:hint="eastAsia" w:eastAsia="仿宋_GB2312"/>
        </w:rPr>
      </w:r>
    </w:p>
    <w:p>
      <w:pPr>
        <w:pStyle w:val="Normal"/>
        <w:rPr>
          <w:sz w:val="32"/>
          <w:szCs w:val="32"/>
          <w:rFonts w:hint="eastAsia" w:eastAsia="仿宋_GB2312"/>
        </w:rPr>
        <w:widowControl/>
        <w:ind w:firstLine="640" w:firstLineChars="200"/>
        <w:spacing w:lineRule="exact" w:line="600"/>
      </w:pPr>
      <w:r>
        <w:rPr>
          <w:sz w:val="32"/>
          <w:szCs w:val="32"/>
          <w:rFonts w:hint="eastAsia" w:eastAsia="仿宋_GB2312"/>
        </w:rPr>
        <w:t xml:space="preserve">8、政府性基金预算支出情况表</w:t>
      </w:r>
      <w:r>
        <w:rPr>
          <w:sz w:val="32"/>
          <w:szCs w:val="32"/>
          <w:rFonts w:hint="eastAsia" w:eastAsia="仿宋_GB2312"/>
        </w:rPr>
      </w:r>
    </w:p>
    <w:p>
      <w:pPr>
        <w:pStyle w:val="Normal"/>
        <w:rPr>
          <w:sz w:val="32"/>
          <w:szCs w:val="32"/>
          <w:kern w:val="0"/>
          <w:bCs/>
          <w:rFonts w:eastAsia="仿宋_GB2312"/>
        </w:rPr>
        <w:widowControl/>
        <w:ind w:firstLine="640" w:firstLineChars="200"/>
        <w:spacing w:lineRule="exact" w:line="600"/>
      </w:pPr>
      <w:r>
        <w:rPr>
          <w:sz w:val="32"/>
          <w:szCs w:val="32"/>
          <w:kern w:val="0"/>
          <w:bCs/>
          <w:rFonts w:eastAsia="仿宋_GB2312"/>
        </w:rPr>
        <w:t xml:space="preserve">注：以上部门预算报表中，空表表示本部门无相关收支情况。</w:t>
      </w:r>
      <w:r>
        <w:rPr>
          <w:sz w:val="32"/>
          <w:szCs w:val="32"/>
          <w:kern w:val="0"/>
          <w:bCs/>
          <w:rFonts w:eastAsia="仿宋_GB2312"/>
        </w:rPr>
      </w:r>
    </w:p>
    <w:p>
      <w:pPr>
        <w:pStyle w:val="UserStyle_3"/>
        <w:rPr>
          <w:sz w:val="24"/>
          <w:szCs w:val="24"/>
          <w:kern w:val="0"/>
          <w:rFonts w:ascii="宋体" w:eastAsia="宋体" w:hAnsi="宋体" w:hint="eastAsia" w:cs="宋体"/>
        </w:rPr>
        <w:widowControl/>
        <w:keepNext w:val="off"/>
        <w:keepLines w:val="off"/>
        <w:suppressLineNumbers w:val="off"/>
        <w:spacing w:after="1" w:afterAutospacing="0" w:before="0" w:beforeAutospacing="0"/>
      </w:pPr>
      <w:r>
        <w:rPr>
          <w:sz w:val="24"/>
          <w:szCs w:val="24"/>
          <w:kern w:val="0"/>
          <w:rFonts w:ascii="宋体" w:eastAsia="宋体" w:hAnsi="宋体" w:hint="eastAsia" w:cs="宋体"/>
        </w:rPr>
        <w:t xml:space="preserve"> </w:t>
      </w:r>
      <w:r>
        <w:rPr>
          <w:sz w:val="24"/>
          <w:szCs w:val="24"/>
          <w:kern w:val="0"/>
          <w:rFonts w:ascii="宋体" w:eastAsia="宋体" w:hAnsi="宋体" w:hint="eastAsia" w:cs="宋体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spacing w:after="1" w:afterAutospacing="0" w:before="0" w:beforeAutospacing="0"/>
      </w:pPr>
      <w:r>
        <w:rPr>
          <w:sz w:val="32"/>
          <w:szCs w:val="32"/>
          <w:kern w:val="2"/>
          <w:rFonts w:ascii="宋体" w:eastAsia="宋体" w:hAnsi="宋体" w:hint="eastAsia" w:cs="宋体"/>
          <w:color w:val="000000"/>
        </w:rPr>
        <w:t xml:space="preserve"> </w:t>
      </w:r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21"/>
          <w:szCs w:val="21"/>
          <w:kern w:val="2"/>
          <w:rFonts w:cs="Times New Roman" w:hAnsi="等线" w:eastAsia="等线" w:ascii="等线"/>
        </w:rPr>
        <w:spacing w:after="1" w:afterAutospacing="0" w:before="0" w:beforeAutospacing="0"/>
      </w:pPr>
      <w:r>
        <w:rPr>
          <w:sz w:val="21"/>
          <w:szCs w:val="21"/>
          <w:kern w:val="2"/>
          <w:rFonts w:cs="Times New Roman" w:hAnsi="等线" w:eastAsia="等线" w:ascii="等线"/>
        </w:rPr>
        <w:t xml:space="preserve"> </w:t>
      </w:r>
      <w:r>
        <w:rPr>
          <w:sz w:val="21"/>
          <w:szCs w:val="21"/>
          <w:kern w:val="2"/>
          <w:rFonts w:cs="Times New Roman" w:hAnsi="等线" w:eastAsia="等线" w:ascii="等线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both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outlineLvl w:val="0"/>
        <w:ind w:right="0" w:rightChars="0" w:left="0" w:leftChars="0"/>
        <w:spacing w:after="1" w:afterAutospacing="0" w:before="0" w:beforeAutospacing="0"/>
        <w:jc w:val="center"/>
      </w:pPr>
      <w:bookmarkStart w:name="_Toc11302" w:id="0"/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t xml:space="preserve">第一部分 </w:t>
      </w:r>
      <w:r>
        <w:rPr>
          <w:rStyle w:val="UserStyle_2"/>
          <w:sz w:val="40"/>
          <w:szCs w:val="40"/>
          <w:b/>
          <w:bCs w:val="0"/>
          <w:lang w:eastAsia="zh-CN"/>
          <w:rFonts w:ascii="宋体" w:eastAsia="宋体" w:hAnsi="宋体" w:hint="eastAsia" w:cs="宋体"/>
          <w:color w:val="000000"/>
        </w:rPr>
        <w:t xml:space="preserve">2026</w:t>
      </w: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t xml:space="preserve">年部门预算说明</w:t>
      </w:r>
      <w:bookmarkEnd w:id="0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spacing w:after="1" w:afterAutospacing="0" w:before="0" w:beforeAutospacing="0"/>
      </w:pPr>
      <w:r>
        <w:rPr>
          <w:sz w:val="32"/>
          <w:szCs w:val="32"/>
          <w:b/>
          <w:kern w:val="2"/>
          <w:bCs/>
          <w:rFonts w:ascii="宋体" w:eastAsia="宋体" w:hAnsi="宋体" w:hint="eastAsia" w:cs="宋体"/>
          <w:color w:val="000000"/>
        </w:rPr>
        <w:t xml:space="preserve"> </w:t>
      </w:r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outlineLvl w:val="0"/>
        <w:ind w:firstLine="627" w:firstLineChars="0" w:leftChars="0" w:left="0" w:rightChars="0" w:right="0"/>
        <w:spacing w:after="1" w:afterAutospacing="0" w:before="0" w:beforeAutospacing="0"/>
      </w:pPr>
      <w:bookmarkStart w:name="_Toc30633" w:id="1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t xml:space="preserve">一、部门基本概况</w:t>
      </w:r>
      <w:bookmarkEnd w:id="1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32"/>
          <w:szCs w:val="32"/>
          <w:b/>
          <w:lang w:bidi="ar-SA"/>
          <w:rFonts w:hAnsi="Times New Roman" w:hint="eastAsia" w:eastAsia="楷体_GB2312" w:ascii="Times New Roman"/>
        </w:rPr>
        <w:widowControl/>
        <w:keepNext w:val="off"/>
        <w:keepLines w:val="off"/>
        <w:outlineLvl w:val="1"/>
        <w:suppressLineNumbers w:val="off"/>
        <w:ind w:firstLine="630" w:firstLineChars="196" w:leftChars="0" w:left="0" w:rightChars="0" w:right="0"/>
        <w:spacing w:after="0" w:afterAutospacing="0" w:line="600" w:beforeAutospacing="0" w:lineRule="exact" w:before="0"/>
        <w:jc w:val="start"/>
      </w:pPr>
      <w:bookmarkStart w:name="_Toc25835" w:id="2"/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（一）职能职责</w:t>
      </w:r>
      <w:bookmarkEnd w:id="2"/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</w:r>
    </w:p>
    <w:p>
      <w:pPr>
        <w:pStyle w:val="Normal"/>
        <w:rPr>
          <w:sz w:val="32"/>
          <w:szCs w:val="32"/>
          <w:kern w:val="0"/>
          <w:lang w:bidi="ar-SA"/>
          <w:rFonts w:ascii="仿宋" w:eastAsia="仿宋" w:hAnsi="仿宋" w:hint="eastAsia" w:cs="宋体"/>
        </w:rPr>
        <w:widowControl/>
        <w:keepNext w:val="off"/>
        <w:keepLines w:val="off"/>
        <w:suppressLineNumbers w:val="off"/>
        <w:ind w:firstLine="627" w:right="0" w:firstLineChars="196" w:left="0"/>
        <w:spacing w:after="0" w:afterAutospacing="0" w:line="600" w:beforeAutospacing="0" w:lineRule="exact" w:before="0"/>
        <w:jc w:val="start"/>
      </w:pP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  <w:t xml:space="preserve">1、负责全面系统地宣传彭德怀同志忠于党、忠于人民的高贵品德和为新中国的建立建设、维护世界和平所立下的丰功伟绩。</w:t>
      </w: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bidi="ar-SA"/>
          <w:rFonts w:ascii="仿宋" w:eastAsia="仿宋" w:hAnsi="仿宋" w:hint="eastAsia" w:cs="宋体"/>
        </w:rPr>
        <w:widowControl/>
        <w:keepNext w:val="off"/>
        <w:keepLines w:val="off"/>
        <w:suppressLineNumbers w:val="off"/>
        <w:ind w:firstLine="627" w:right="0" w:firstLineChars="196" w:left="0"/>
        <w:spacing w:after="0" w:afterAutospacing="0" w:line="600" w:beforeAutospacing="0" w:lineRule="exact" w:before="0"/>
        <w:jc w:val="start"/>
      </w:pP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  <w:t xml:space="preserve">2、负责利用彭德怀纪念馆的真实史料及文物，做好爱国主义教育和革命传统教育工作。</w:t>
      </w: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bidi="ar-SA"/>
          <w:rFonts w:ascii="仿宋" w:eastAsia="仿宋" w:hAnsi="仿宋" w:hint="eastAsia" w:cs="宋体"/>
        </w:rPr>
        <w:widowControl/>
        <w:keepNext w:val="off"/>
        <w:keepLines w:val="off"/>
        <w:suppressLineNumbers w:val="off"/>
        <w:ind w:firstLine="627" w:right="0" w:firstLineChars="196" w:left="0"/>
        <w:spacing w:after="0" w:afterAutospacing="0" w:line="600" w:beforeAutospacing="0" w:lineRule="exact" w:before="0"/>
        <w:jc w:val="start"/>
      </w:pP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  <w:t xml:space="preserve">3、负责与其他纪念馆、纪念地及有关部门联系，广泛收集彭德怀同志有关文物与史料，逐步形成彭德怀同志生平与思想的研究中心。</w:t>
      </w: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bidi="ar-SA"/>
          <w:rFonts w:ascii="仿宋" w:eastAsia="仿宋" w:hAnsi="仿宋" w:hint="eastAsia" w:cs="宋体"/>
        </w:rPr>
        <w:widowControl/>
        <w:keepNext w:val="off"/>
        <w:keepLines w:val="off"/>
        <w:suppressLineNumbers w:val="off"/>
        <w:ind w:firstLine="627" w:right="0" w:firstLineChars="196" w:left="0"/>
        <w:spacing w:after="0" w:afterAutospacing="0" w:line="600" w:beforeAutospacing="0" w:lineRule="exact" w:before="0"/>
        <w:jc w:val="start"/>
      </w:pP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  <w:t xml:space="preserve">4、负责做好彭德怀纪念馆文物、资料展品的保管、保护工作。</w:t>
      </w: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bidi="ar-SA"/>
          <w:rFonts w:ascii="仿宋" w:eastAsia="仿宋" w:hAnsi="仿宋" w:hint="eastAsia" w:cs="宋体"/>
        </w:rPr>
        <w:widowControl/>
        <w:keepNext w:val="off"/>
        <w:keepLines w:val="off"/>
        <w:suppressLineNumbers w:val="off"/>
        <w:ind w:firstLine="627" w:right="0" w:firstLineChars="196" w:left="0"/>
        <w:spacing w:after="0" w:afterAutospacing="0" w:line="600" w:beforeAutospacing="0" w:lineRule="exact" w:before="0"/>
        <w:jc w:val="start"/>
      </w:pP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  <w:t xml:space="preserve">5、完成县委、县政府和上级业务部门交办的其他工作。</w:t>
      </w:r>
      <w:r>
        <w:rPr>
          <w:sz w:val="32"/>
          <w:szCs w:val="32"/>
          <w:kern w:val="0"/>
          <w:lang w:bidi="ar-SA"/>
          <w:rFonts w:ascii="仿宋" w:eastAsia="仿宋" w:hAnsi="仿宋" w:hint="eastAsia" w:cs="宋体"/>
        </w:rPr>
      </w:r>
    </w:p>
    <w:p>
      <w:pPr>
        <w:pStyle w:val="Normal"/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outlineLvl w:val="1"/>
        <w:ind w:firstLine="627" w:firstLineChars="0" w:leftChars="0" w:left="0" w:rightChars="0" w:right="0"/>
        <w:spacing w:after="1" w:afterAutospacing="0" w:before="0" w:beforeAutospacing="0"/>
      </w:pPr>
      <w:bookmarkStart w:name="_Toc21301" w:id="3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t xml:space="preserve">（二）机构设置</w:t>
      </w:r>
      <w:bookmarkEnd w:id="3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30" w:left="0"/>
        <w:spacing w:after="1" w:afterAutospacing="0" w:line="360" w:beforeAutospacing="0" w:lineRule="auto" w:before="0"/>
      </w:pP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彭德怀纪念馆内设机构包括：1、办公室：负责协调纪念馆内日常事务、文秘、档案，财务、后勤、人事编制以及各类会议的组织工作；负责对外宣传联系、网站建设和信息发布工作；负责馆区项目策划、招商引资，外出筹资和基建项目；负责景区卫生、绿化和环境整治工作。2.陈列保管科：认真贯彻国家和地方颁布制定的有关文物保护的法规和政策；修改、完善、维护好《彭德怀生平业绩展览》，以及相关文物资料的征集保管工作；参与做好彭德怀生平与思想的研究工作；负责各级领导、专家参观指导的摄影、摄像和题词工作。3、宣传教育科：负责基本陈列及各类临时展览的讲解词、普及性读物以及其他资料的编写、讲解；负责观众信息反馈和资料的收集整理工作；负责讲解员的培训和管理工作。4、安全保卫科：负责全馆设施、馆藏文物的消防安全、保卫工作和馆区的社会治安综合治理工作以及与公安、消防部门的协调；负责发票和验票工作；负责游客的统计和统计</w:t>
      </w:r>
      <w:r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  <w:t xml:space="preserve">分析。编办核定事业编24个，截至2026年初实有在职人数21人，另有人事代理人员2人，劳务派遣人员1人，退休人员4人。设馆长1名，副馆长2人，内设机构各核定副科级领导职数1名，共4名。</w:t>
      </w:r>
      <w:r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autoSpaceDN/>
        <w:autoSpaceDE/>
        <w:widowControl w:val="off"/>
        <w:keepNext w:val="off"/>
        <w:keepLines w:val="off"/>
        <w:pageBreakBefore w:val="off"/>
        <w:outlineLvl w:val="0"/>
        <w:wordWrap/>
        <w:overflowPunct/>
        <w:topLinePunct w:val="off"/>
        <w:kinsoku/>
        <w:bidi w:val="off"/>
        <w:ind w:firstLine="627" w:firstLineChars="0" w:leftChars="0" w:left="0" w:rightChars="0" w:right="0"/>
        <w:spacing w:after="1" w:afterAutospacing="0" w:line="360" w:beforeAutospacing="0" w:lineRule="auto" w:before="0"/>
      </w:pPr>
      <w:bookmarkStart w:name="_Toc13782" w:id="4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t xml:space="preserve">二、部门预算单位构成</w:t>
      </w:r>
      <w:bookmarkEnd w:id="4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27" w:left="0"/>
        <w:spacing w:after="1" w:afterAutospacing="0" w:line="360" w:beforeAutospacing="0" w:lineRule="auto" w:before="0"/>
      </w:pP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彭德怀纪念馆只有本级，没有其他预算单位，纳入编制范围的预算单位仅含彭德怀纪念馆。</w:t>
      </w:r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autoSpaceDN/>
        <w:autoSpaceDE/>
        <w:widowControl w:val="off"/>
        <w:keepNext w:val="off"/>
        <w:keepLines w:val="off"/>
        <w:pageBreakBefore w:val="off"/>
        <w:outlineLvl w:val="0"/>
        <w:wordWrap/>
        <w:overflowPunct/>
        <w:topLinePunct w:val="off"/>
        <w:kinsoku/>
        <w:bidi w:val="off"/>
        <w:ind w:firstLine="627" w:firstLineChars="0" w:leftChars="0" w:left="0" w:rightChars="0" w:right="0"/>
        <w:spacing w:after="1" w:afterAutospacing="0" w:line="360" w:beforeAutospacing="0" w:lineRule="auto" w:before="0"/>
      </w:pPr>
      <w:bookmarkStart w:name="_Toc22116" w:id="5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t xml:space="preserve">三、部门收支总体情况</w:t>
      </w:r>
      <w:bookmarkEnd w:id="5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321" w:firstLineChars="10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（一）收入预算：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包括一般公共预算、政府性基金、国有资本经营预算等财政拨款收入，以及经营收入、事业收入等单位资金。2026年本部门收入预算767.39万元，其中：一般公共预算拨款349.39万元，政府性基金预算拨款0万元，纳入专户管理的非税收入拨款10万元，国有资本经营预算拨款0万元，上级补助收入408万元，其他收入0万元。收入较去年增加57.24万元，主要原因是</w:t>
      </w:r>
      <w:r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  <w:t xml:space="preserve">较上年度增加3人。</w:t>
      </w:r>
      <w:r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3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（二）支出预算：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2026年本部门支出预算767.39万元，其中：一般公共服务支出0万元，文化体育与传媒支出697.19万元，社会保障和就业支出28.48万元，医疗卫生与计划生育支出16.85万元，住房保障支出24.87万元。支出较去年增加57.24万元，主要原因是</w:t>
      </w:r>
      <w:r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  <w:t xml:space="preserve">较上年度增加3人经费支出。</w:t>
      </w:r>
      <w:r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autoSpaceDN/>
        <w:autoSpaceDE/>
        <w:widowControl w:val="off"/>
        <w:keepNext w:val="off"/>
        <w:keepLines w:val="off"/>
        <w:pageBreakBefore w:val="off"/>
        <w:outlineLvl w:val="0"/>
        <w:wordWrap/>
        <w:overflowPunct/>
        <w:topLinePunct w:val="off"/>
        <w:kinsoku/>
        <w:bidi w:val="off"/>
        <w:ind w:firstLine="660" w:firstLineChars="0" w:leftChars="0" w:left="0" w:rightChars="0" w:right="0"/>
        <w:spacing w:after="1" w:afterAutospacing="0" w:line="360" w:beforeAutospacing="0" w:lineRule="auto" w:before="0"/>
      </w:pPr>
      <w:bookmarkStart w:name="_Toc26776" w:id="6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t xml:space="preserve">四、一般公共预算拨款支出</w:t>
      </w:r>
      <w:bookmarkEnd w:id="6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30" w:left="0"/>
        <w:spacing w:after="1" w:afterAutospacing="0" w:line="360" w:beforeAutospacing="0" w:lineRule="auto" w:before="0"/>
      </w:pP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2026年本部门一般公共预算拨款支出预算767.39万元，其中：一般公共服务支出0万元，文化体育与传媒支出697.19万元，占90.85%；社会保障和就业支出28.48万元，占3.71%；医疗卫生与计划生育支出16.85万元，占2.2%；住房保障支出24.87万元，占3.24%。具体安排情况如下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（一）基本支出：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2026年本部门基本支出预算331.99万元，主要是为保障部门正常运转、完成日常工作任务而发生的各项支出，包括用于基本工资、津贴补贴等人员经费以及办公费、印刷费、水电费、办公设备购置等公用经费。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（二）项目支出：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2026年本部门项目支出预算435.40万元，主要是部门为完成特定行政工作任务或事业发展目标而发生的支出，包括博物馆纪念馆免费开放补助资金、人事代理经费、纪念馆讲解支出经费。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autoSpaceDN/>
        <w:autoSpaceDE/>
        <w:widowControl w:val="off"/>
        <w:keepNext w:val="off"/>
        <w:keepLines w:val="off"/>
        <w:pageBreakBefore w:val="off"/>
        <w:outlineLvl w:val="0"/>
        <w:wordWrap/>
        <w:overflowPunct/>
        <w:topLinePunct w:val="off"/>
        <w:kinsoku/>
        <w:bidi w:val="off"/>
        <w:ind w:firstLine="660" w:firstLineChars="0" w:leftChars="0" w:left="0" w:rightChars="0" w:right="0"/>
        <w:spacing w:after="1" w:afterAutospacing="0" w:line="360" w:beforeAutospacing="0" w:lineRule="auto" w:before="0"/>
      </w:pPr>
      <w:bookmarkStart w:name="_Toc11994" w:id="7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t xml:space="preserve">五、政府性基金预算支出</w:t>
      </w:r>
      <w:bookmarkEnd w:id="7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本部门无政府性基金安排的支出。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autoSpaceDN/>
        <w:autoSpaceDE/>
        <w:widowControl w:val="off"/>
        <w:keepNext w:val="off"/>
        <w:keepLines w:val="off"/>
        <w:pageBreakBefore w:val="off"/>
        <w:outlineLvl w:val="0"/>
        <w:wordWrap/>
        <w:overflowPunct/>
        <w:topLinePunct w:val="off"/>
        <w:kinsoku/>
        <w:bidi w:val="off"/>
        <w:ind w:firstLine="660" w:firstLineChars="0" w:leftChars="0" w:left="0" w:rightChars="0" w:right="0"/>
        <w:spacing w:after="1" w:afterAutospacing="0" w:line="360" w:beforeAutospacing="0" w:lineRule="auto" w:before="0"/>
      </w:pPr>
      <w:bookmarkStart w:name="_Toc7209" w:id="8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t xml:space="preserve">六、其他重要事项的情况说明</w:t>
      </w:r>
      <w:bookmarkEnd w:id="8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（一）机关运行经费：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2026年本部门未纳入机关运行经费统计范围，无机关运行经费。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（二）“三公”经费预算：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2026年本部门“三公”经费预算数为4.1万元，其中，公务接待费0.5万元，公务用车购置及运行费3.60万元（其中，公务用车购置费0万元，公务用车运行费3.60万元），因公出国（境）费0万元。2026年“三公”经费预算较2025年减少1.60万元，主要是按照上级要求减少公务接待支出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（三）一般性支出情况：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2026年本部门会议费预算0万元，我单位2025年度无会议费预算支出；培训费预算0.60万元，拟对6名讲解员进行培训以及事业人员培训支出，内容为各类临时展览的讲解词、普及性读物以及其他资料的编写、讲解；拟举办0场节庆、晚会、论坛、赛事活动，开支0万元，无相关活动计划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（四）政府采购情况：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2026年本部门政府采购预算总额</w:t>
      </w:r>
      <w:r>
        <w:rPr>
          <w:sz w:val="32"/>
          <w:szCs w:val="32"/>
          <w:kern w:val="0"/>
          <w:highlight w:val="auto"/>
          <w:lang w:eastAsia="zh-CN" w:bidi="ar-SA" w:val="en-US"/>
          <w:rFonts w:ascii="仿宋" w:eastAsia="仿宋" w:hAnsi="仿宋" w:hint="eastAsia" w:cs="宋体"/>
        </w:rPr>
        <w:t xml:space="preserve">217.00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万元，其中，货物类采购预算0万元；工程类采购预算0万元；服务类采购预算</w:t>
      </w:r>
      <w:r>
        <w:rPr>
          <w:sz w:val="32"/>
          <w:szCs w:val="32"/>
          <w:kern w:val="0"/>
          <w:highlight w:val="auto"/>
          <w:shd w:color="auto" w:fill="auto" w:val="clear"/>
          <w:lang w:eastAsia="zh-CN" w:bidi="ar-SA" w:val="en-US"/>
          <w:rFonts w:ascii="仿宋" w:eastAsia="仿宋" w:hAnsi="仿宋" w:hint="eastAsia" w:cs="宋体"/>
          <w:color w:val="000000"/>
        </w:rPr>
        <w:t xml:space="preserve">217.00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万元，主要涉及保安管理服务、绿化管理服务、保洁管理服务、印刷服务等项目。</w:t>
      </w:r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（五）国有资产占用使用及新增资产配置情况：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截至2025年12月底，本部门共有公务用车1辆，其中，机要通信用车0辆，应急保障用车0辆，执法执勤用车0辆，专业技术用车0辆，特种专业技术用车0辆，业务用车1辆，其他按照规定配备的公务用车0辆；单位价值50万元以上通用设备2台，单位价值100万元以上专用设备0台。2026年拟新增配置公务用车0辆，其中，机要通信用车0辆，应急保障用车0辆，执法执勤用车0辆，特种专业技术用车0辆，业务用车0辆，其他按照规定配备的公务用车0辆；新增配备单位价值50万元以上通用设备0台，单位价值100万元以上专用设备0台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b/>
          <w:lang w:bidi="ar-SA"/>
          <w:rFonts w:hAnsi="Times New Roman" w:hint="eastAsia" w:eastAsia="楷体_GB2312" w:ascii="Times New Roman"/>
        </w:rPr>
        <w:t xml:space="preserve">（六）预算绩效目标说明：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本部门所有支出实行绩效目标管理。纳入2026年部门整体支出绩效目标的金额为767.39万元，其中，基本支出331.99万元，项目支出435.40万元，具体绩效目标详见报表。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autoSpaceDN/>
        <w:autoSpaceDE/>
        <w:widowControl w:val="off"/>
        <w:keepNext w:val="off"/>
        <w:keepLines w:val="off"/>
        <w:pageBreakBefore w:val="off"/>
        <w:outlineLvl w:val="0"/>
        <w:wordWrap/>
        <w:overflowPunct/>
        <w:topLinePunct w:val="off"/>
        <w:kinsoku/>
        <w:bidi w:val="off"/>
        <w:ind w:firstLine="660" w:firstLineChars="0" w:leftChars="0" w:left="0" w:rightChars="0" w:right="0"/>
        <w:spacing w:after="1" w:afterAutospacing="0" w:line="360" w:beforeAutospacing="0" w:lineRule="auto" w:before="0"/>
      </w:pPr>
      <w:bookmarkStart w:name="_Toc12264" w:id="9"/>
      <w:r>
        <w:rPr>
          <w:rStyle w:val="UserStyle_2"/>
          <w:sz w:val="32"/>
          <w:szCs w:val="32"/>
          <w:b/>
          <w:bCs w:val="0"/>
          <w:rFonts w:ascii="宋体" w:eastAsia="宋体" w:hAnsi="宋体" w:hint="eastAsia" w:cs="宋体"/>
          <w:color w:val="000000"/>
        </w:rPr>
        <w:t xml:space="preserve">七、名词解释</w:t>
      </w:r>
      <w:bookmarkEnd w:id="9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（一）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  <w:t xml:space="preserve">（二）“三公”经费：纳入省（市/县）财政预算管理的“三公”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务费等支出。</w:t>
      </w:r>
      <w:r>
        <w:rPr>
          <w:sz w:val="32"/>
          <w:szCs w:val="32"/>
          <w:kern w:val="0"/>
          <w:lang w:eastAsia="zh-CN" w:bidi="ar-SA" w:val="en-US"/>
          <w:rFonts w:ascii="仿宋" w:eastAsia="仿宋" w:hAnsi="仿宋" w:hint="eastAsia" w:cs="宋体"/>
        </w:rPr>
      </w:r>
    </w:p>
    <w:p>
      <w:pPr>
        <w:pStyle w:val="Normal"/>
        <w:rPr>
          <w:sz w:val="21"/>
          <w:szCs w:val="21"/>
          <w:kern w:val="2"/>
          <w:rFonts w:cs="Times New Roman" w:hAnsi="等线" w:eastAsia="等线" w:ascii="等线"/>
        </w:rPr>
        <w:autoSpaceDN/>
        <w:autoSpaceDE/>
        <w:widowControl w:val="off"/>
        <w:keepNext w:val="off"/>
        <w:keepLines w:val="off"/>
        <w:pageBreakBefore w:val="off"/>
        <w:wordWrap/>
        <w:overflowPunct/>
        <w:topLinePunct w:val="off"/>
        <w:kinsoku/>
        <w:bidi w:val="off"/>
        <w:ind w:firstLine="660" w:left="0"/>
        <w:spacing w:after="1" w:afterAutospacing="0" w:line="360" w:beforeAutospacing="0" w:lineRule="auto" w:before="0"/>
      </w:pPr>
      <w:r>
        <w:rPr>
          <w:sz w:val="21"/>
          <w:szCs w:val="21"/>
          <w:kern w:val="2"/>
          <w:rFonts w:cs="Times New Roman" w:hAnsi="等线" w:eastAsia="等线" w:ascii="等线"/>
        </w:rPr>
        <w:t xml:space="preserve"> </w:t>
      </w:r>
      <w:r>
        <w:rPr>
          <w:sz w:val="21"/>
          <w:szCs w:val="21"/>
          <w:kern w:val="2"/>
          <w:rFonts w:cs="Times New Roman" w:hAnsi="等线" w:eastAsia="等线" w:ascii="等线"/>
        </w:rPr>
      </w:r>
    </w:p>
    <w:p>
      <w:pPr>
        <w:pStyle w:val="Normal"/>
        <w:rPr>
          <w:sz w:val="21"/>
          <w:szCs w:val="21"/>
          <w:kern w:val="2"/>
          <w:rFonts w:cs="Times New Roman" w:hAnsi="等线" w:eastAsia="等线" w:ascii="等线"/>
        </w:rPr>
        <w:ind w:firstLine="660" w:left="0"/>
        <w:spacing w:after="1" w:afterAutospacing="0" w:before="0" w:beforeAutospacing="0"/>
      </w:pPr>
      <w:r>
        <w:rPr>
          <w:sz w:val="21"/>
          <w:szCs w:val="21"/>
          <w:kern w:val="2"/>
          <w:rFonts w:cs="Times New Roman" w:hAnsi="等线" w:eastAsia="等线" w:ascii="等线"/>
        </w:rPr>
        <w:t xml:space="preserve"> </w:t>
      </w:r>
      <w:r>
        <w:rPr>
          <w:sz w:val="21"/>
          <w:szCs w:val="21"/>
          <w:kern w:val="2"/>
          <w:rFonts w:cs="Times New Roman" w:hAnsi="等线" w:eastAsia="等线" w:ascii="等线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spacing w:after="1" w:afterAutospacing="0" w:before="0" w:beforeAutospacing="0"/>
        <w:jc w:val="center"/>
      </w:pP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</w:r>
    </w:p>
    <w:p>
      <w:pPr>
        <w:pStyle w:val="Normal"/>
        <w:rPr>
          <w:sz w:val="21"/>
          <w:szCs w:val="21"/>
          <w:kern w:val="2"/>
          <w:rFonts w:ascii="等线" w:eastAsia="宋体" w:hAnsi="等线" w:hint="eastAsia" w:cs="Times New Roman"/>
        </w:rPr>
        <w:outlineLvl w:val="0"/>
        <w:ind w:firstLine="1606" w:firstLineChars="400" w:leftChars="0" w:left="0" w:rightChars="0" w:right="0"/>
        <w:spacing w:after="1" w:afterAutospacing="0" w:before="0" w:beforeAutospacing="0"/>
        <w:jc w:val="both"/>
      </w:pPr>
      <w:bookmarkStart w:name="_Toc19924" w:id="10"/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t xml:space="preserve">第二部分 </w:t>
      </w:r>
      <w:r>
        <w:rPr>
          <w:rStyle w:val="UserStyle_2"/>
          <w:sz w:val="40"/>
          <w:szCs w:val="40"/>
          <w:b/>
          <w:bCs w:val="0"/>
          <w:lang w:eastAsia="zh-CN"/>
          <w:rFonts w:ascii="宋体" w:eastAsia="宋体" w:hAnsi="宋体" w:hint="eastAsia" w:cs="宋体"/>
          <w:color w:val="000000"/>
        </w:rPr>
        <w:t xml:space="preserve">2026</w:t>
      </w:r>
      <w:r>
        <w:rPr>
          <w:rStyle w:val="UserStyle_2"/>
          <w:sz w:val="40"/>
          <w:szCs w:val="40"/>
          <w:b/>
          <w:bCs w:val="0"/>
          <w:rFonts w:ascii="宋体" w:eastAsia="宋体" w:hAnsi="宋体" w:hint="eastAsia" w:cs="宋体"/>
          <w:color w:val="000000"/>
        </w:rPr>
        <w:t xml:space="preserve">年部门预算表</w:t>
      </w:r>
      <w:bookmarkEnd w:id="10"/>
      <w:r>
        <w:rPr>
          <w:sz w:val="21"/>
          <w:szCs w:val="21"/>
          <w:kern w:val="2"/>
          <w:rFonts w:ascii="等线" w:eastAsia="宋体" w:hAnsi="等线" w:hint="eastAsia" w:cs="Times New Roman"/>
        </w:rPr>
      </w:r>
    </w:p>
    <w:p>
      <w:pPr>
        <w:pStyle w:val="Normal"/>
        <w:rPr>
          <w:sz w:val="21"/>
          <w:szCs w:val="21"/>
          <w:kern w:val="2"/>
          <w:rFonts w:cs="Times New Roman" w:hAnsi="等线" w:eastAsia="等线" w:ascii="等线"/>
        </w:rPr>
        <w:spacing w:after="1" w:afterAutospacing="0" w:before="0" w:beforeAutospacing="0"/>
        <w:jc w:val="center"/>
      </w:pPr>
      <w:r>
        <w:rPr>
          <w:sz w:val="21"/>
          <w:szCs w:val="21"/>
          <w:kern w:val="2"/>
          <w:rFonts w:cs="Times New Roman" w:hAnsi="等线" w:eastAsia="等线" w:ascii="等线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2"/>
          <w:szCs w:val="32"/>
          <w:b/>
          <w:kern w:val="0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部门预算和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“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三公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”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经费预算公开表格（表</w:t>
      </w:r>
      <w:r>
        <w:rPr>
          <w:sz w:val="30"/>
          <w:szCs w:val="30"/>
          <w:b/>
          <w:kern w:val="0"/>
          <w:lang w:eastAsia="zh-CN"/>
          <w:rFonts w:cs="Times New Roman" w:hint="eastAsia" w:eastAsia="楷体_GB2312"/>
          <w:color w:val="000000"/>
        </w:rPr>
        <w:t xml:space="preserve">1</w:t>
      </w:r>
      <w:r>
        <w:rPr>
          <w:sz w:val="30"/>
          <w:szCs w:val="30"/>
          <w:b/>
          <w:kern w:val="0"/>
          <w:rFonts w:cs="Times New Roman" w:hint="eastAsia" w:eastAsia="楷体_GB2312"/>
          <w:color w:val="000000"/>
        </w:rPr>
        <w:t xml:space="preserve">）</w:t>
      </w:r>
      <w:r>
        <w:rPr>
          <w:sz w:val="32"/>
          <w:szCs w:val="32"/>
          <w:b/>
          <w:kern w:val="0"/>
          <w:color w:val="000000"/>
        </w:rPr>
      </w:r>
    </w:p>
    <w:p>
      <w:pPr>
        <w:pStyle w:val="Normal"/>
        <w:rPr>
          <w:sz w:val="40"/>
          <w:szCs w:val="40"/>
          <w:kern w:val="0"/>
          <w:rFonts w:hint="eastAsia" w:eastAsia="方正小标宋简体"/>
          <w:color w:val="000000"/>
        </w:rPr>
        <w:ind w:firstLine="3200" w:firstLineChars="800"/>
        <w:jc w:val="both"/>
      </w:pP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部门收支总表</w:t>
      </w:r>
      <w:r>
        <w:rPr>
          <w:sz w:val="40"/>
          <w:szCs w:val="40"/>
          <w:kern w:val="0"/>
          <w:rFonts w:hint="eastAsia" w:eastAsia="方正小标宋简体"/>
          <w:color w:val="000000"/>
        </w:rPr>
      </w:r>
    </w:p>
    <w:p>
      <w:pPr>
        <w:pStyle w:val="Normal"/>
        <w:ind w:right="210"/>
        <w:jc w:val="end"/>
      </w:pPr>
      <w:r>
        <w:rPr>
          <w:szCs w:val="21"/>
          <w:kern w:val="0"/>
          <w:rFonts w:hint="eastAsia"/>
          <w:color w:val="000000"/>
        </w:rPr>
        <w:t xml:space="preserve">单位：万元</w:t>
      </w:r>
      <w:r/>
    </w:p>
    <w:tbl>
      <w:tblPr>
        <w:jc w:val="center"/>
        <w:tblW w:w="9740" w:type="dxa"/>
        <w:tblInd w:type="dxa" w:w="-108"/>
        <w:tblBorders>
          <w:top w:color="auto" w:space="0" w:sz="12" w:val="single"/>
          <w:left w:color="auto" w:space="0" w:sz="12" w:val="single"/>
          <w:bottom w:color="auto" w:space="0" w:sz="12" w:val="single"/>
          <w:right w:color="auto" w:space="0" w:sz="12" w:val="single"/>
          <w:insideH w:color="auto" w:space="0" w:sz="6" w:val="single"/>
          <w:insideV w:color="auto" w:space="0" w:sz="6" w:val="single"/>
        </w:tblBorders>
        <w:tblLayout w:type="fixed"/>
        <w:tblCellMar>
          <w:top w:type="dxa" w:w="0"/>
          <w:bottom w:type="dxa" w:w="0"/>
          <w:left w:type="dxa" w:w="108"/>
          <w:right w:type="dxa" w:w="108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48"/>
        </w:trPr>
        <w:tc>
          <w:tcPr>
            <w:textDirection w:val="lrTb"/>
            <w:vAlign w:val="center"/>
            <w:tcW w:type="dxa" w:w="5260"/>
            <w:gridSpan w:val="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收入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4480"/>
            <w:gridSpan w:val="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支出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40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预算数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预算数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一、一般公共预算拨款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331.99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一、本年支出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  <w:t xml:space="preserve">  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经费拨款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331.99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（一）一般公共服务支出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  <w:t xml:space="preserve">  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纳</w:t>
            </w:r>
            <w:r>
              <w:rPr>
                <w:szCs w:val="21"/>
                <w:spacing w:val="-6"/>
                <w:kern w:val="0"/>
                <w:rFonts w:hint="eastAsia"/>
                <w:color w:val="000000"/>
              </w:rPr>
              <w:t xml:space="preserve">入一般公共预算管理的非税收入拨款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（二）国防支出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二、政府性基金收入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（三）公共安全支出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三、纳入专户管理的非税收入拨款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cs="Times New Roman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cs="Times New Roman"/>
                <w:color w:val="000000"/>
              </w:rPr>
              <w:t xml:space="preserve">　10</w:t>
            </w:r>
            <w:r>
              <w:rPr>
                <w:szCs w:val="21"/>
                <w:kern w:val="0"/>
                <w:lang w:eastAsia="zh-CN" w:val="en-US"/>
                <w:rFonts w:cs="Times New Roman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（四）教育支出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四、上级补助收入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cs="Times New Roman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cs="Times New Roman"/>
                <w:color w:val="000000"/>
              </w:rPr>
              <w:t xml:space="preserve">　408</w:t>
            </w:r>
            <w:r>
              <w:rPr>
                <w:szCs w:val="21"/>
                <w:kern w:val="0"/>
                <w:lang w:eastAsia="zh-CN" w:val="en-US"/>
                <w:rFonts w:cs="Times New Roman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（五）科学技术支出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五、其他收入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（六）文化体育与传媒支出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lang w:val="en-US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697.19</w:t>
            </w:r>
            <w:r>
              <w:rPr>
                <w:szCs w:val="21"/>
                <w:kern w:val="0"/>
                <w:lang w:val="en-US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（七）社会保障和就业支出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（八）医</w:t>
            </w:r>
            <w:r>
              <w:rPr>
                <w:szCs w:val="21"/>
                <w:spacing w:val="-6"/>
                <w:kern w:val="0"/>
                <w:rFonts w:hint="eastAsia"/>
                <w:color w:val="000000"/>
              </w:rPr>
              <w:t xml:space="preserve">疗卫生与计划生育支出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（九）节能环保支出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（十）城乡社区支出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（十一）农林水支出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（十二）交通运输支出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（十三）资源勘探信息等支出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（十四）商业服务业等支出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（十五）金融支出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（十六）国土海洋气象等支出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（十七）住房保障支出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50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（十八）粮油物资储备支出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bottom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（十九）其他支出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二、结转下年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5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4"/>
        </w:trPr>
        <w:tc>
          <w:tcPr>
            <w:textDirection w:val="lrTb"/>
            <w:vAlign w:val="center"/>
            <w:tcW w:type="dxa" w:w="39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  <w:t xml:space="preserve">   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收入总计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35"/>
          </w:tcPr>
          <w:p>
            <w:pPr>
              <w:pStyle w:val="Normal"/>
              <w:rPr>
                <w:szCs w:val="21"/>
                <w:kern w:val="0"/>
                <w:lang w:eastAsia="zh-CN"/>
                <w:rFonts w:hint="eastAsia"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kern w:val="0"/>
                <w:lang w:eastAsia="zh-CN"/>
                <w:rFonts w:hint="eastAsia"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98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支</w:t>
            </w: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出</w:t>
            </w: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总</w:t>
            </w: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500"/>
          </w:tcPr>
          <w:p>
            <w:pPr>
              <w:pStyle w:val="Normal"/>
              <w:rPr>
                <w:szCs w:val="21"/>
                <w:kern w:val="0"/>
                <w:lang w:eastAsia="zh-CN"/>
                <w:rFonts w:hint="eastAsia"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kern w:val="0"/>
                <w:lang w:eastAsia="zh-CN"/>
                <w:rFonts w:hint="eastAsia" w:eastAsia="宋体"/>
                <w:color w:val="000000"/>
              </w:rPr>
            </w:r>
          </w:p>
        </w:tc>
      </w:tr>
    </w:tbl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506" w:firstLineChars="5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506" w:firstLineChars="5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506" w:firstLineChars="5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eastAsia="楷体_GB2312"/>
          <w:color w:val="000000"/>
        </w:rPr>
        <w:ind w:firstLine="1506" w:firstLineChars="5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部门预算和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“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三公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”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经费预算公开表格（表</w:t>
      </w:r>
      <w:r>
        <w:rPr>
          <w:sz w:val="30"/>
          <w:szCs w:val="30"/>
          <w:b/>
          <w:kern w:val="0"/>
          <w:rFonts w:cs="Times New Roman" w:hint="eastAsia" w:eastAsia="楷体_GB2312"/>
          <w:color w:val="000000"/>
        </w:rPr>
        <w:t xml:space="preserve">2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）</w:t>
      </w:r>
      <w:r>
        <w:rPr>
          <w:sz w:val="30"/>
          <w:szCs w:val="30"/>
          <w:b/>
          <w:kern w:val="0"/>
          <w:rFonts w:eastAsia="楷体_GB2312"/>
          <w:color w:val="000000"/>
        </w:rPr>
      </w:r>
    </w:p>
    <w:p>
      <w:pPr>
        <w:pStyle w:val="Normal"/>
        <w:rPr>
          <w:sz w:val="20"/>
          <w:szCs w:val="20"/>
          <w:kern w:val="0"/>
          <w:rFonts w:eastAsia="黑体"/>
          <w:color w:val="000000"/>
        </w:rPr>
        <w:spacing w:lineRule="exact" w:line="240"/>
      </w:pPr>
      <w:r>
        <w:rPr>
          <w:sz w:val="20"/>
          <w:szCs w:val="20"/>
          <w:kern w:val="0"/>
          <w:rFonts w:eastAsia="黑体"/>
          <w:color w:val="000000"/>
        </w:rPr>
      </w:r>
    </w:p>
    <w:p>
      <w:pPr>
        <w:pStyle w:val="Normal"/>
        <w:rPr>
          <w:sz w:val="40"/>
          <w:szCs w:val="40"/>
          <w:kern w:val="0"/>
          <w:rFonts w:eastAsia="方正小标宋简体"/>
          <w:color w:val="000000"/>
        </w:rPr>
        <w:outlineLvl w:val="0"/>
        <w:ind w:right="0" w:rightChars="0" w:left="0" w:leftChars="0"/>
        <w:jc w:val="center"/>
      </w:pPr>
      <w:bookmarkStart w:name="_Toc25607" w:id="11"/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部门收入总表</w:t>
      </w:r>
      <w:bookmarkEnd w:id="11"/>
      <w:r>
        <w:rPr>
          <w:sz w:val="40"/>
          <w:szCs w:val="40"/>
          <w:kern w:val="0"/>
          <w:rFonts w:eastAsia="方正小标宋简体"/>
          <w:color w:val="000000"/>
        </w:rPr>
      </w:r>
    </w:p>
    <w:p>
      <w:pPr>
        <w:pStyle w:val="Normal"/>
        <w:rPr>
          <w:szCs w:val="21"/>
          <w:kern w:val="0"/>
          <w:color w:val="000000"/>
        </w:rPr>
        <w:wordWrap w:val="off"/>
        <w:jc w:val="end"/>
      </w:pPr>
      <w:r>
        <w:rPr>
          <w:szCs w:val="21"/>
          <w:kern w:val="0"/>
          <w:rFonts w:hint="eastAsia"/>
          <w:color w:val="000000"/>
        </w:rPr>
        <w:t xml:space="preserve">单位：万元</w:t>
      </w:r>
      <w:r>
        <w:rPr>
          <w:szCs w:val="21"/>
          <w:kern w:val="0"/>
          <w:color w:val="000000"/>
        </w:rPr>
      </w:r>
    </w:p>
    <w:tbl>
      <w:tblPr>
        <w:jc w:val="center"/>
        <w:tblW w:w="9912" w:type="dxa"/>
        <w:tblInd w:type="dxa" w:w="-108"/>
        <w:tblBorders>
          <w:top w:color="auto" w:space="0" w:sz="12" w:val="single"/>
          <w:left w:color="auto" w:space="0" w:sz="12" w:val="single"/>
          <w:bottom w:color="auto" w:space="0" w:sz="12" w:val="single"/>
          <w:right w:color="auto" w:space="0" w:sz="12" w:val="single"/>
          <w:insideH w:color="auto" w:space="0" w:sz="6" w:val="single"/>
          <w:insideV w:color="auto" w:space="0" w:sz="6" w:val="single"/>
        </w:tblBorders>
        <w:tblLayout w:type="fixed"/>
        <w:tblCellMar>
          <w:top w:type="dxa" w:w="0"/>
          <w:bottom w:type="dxa" w:w="0"/>
          <w:left w:type="dxa" w:w="108"/>
          <w:right w:type="dxa" w:w="108"/>
        </w:tblCellMar>
      </w:tblPr>
      <w:tblGrid>
        <w:gridCol w:w="426"/>
        <w:gridCol w:w="426"/>
        <w:gridCol w:w="426"/>
        <w:gridCol w:w="1374"/>
        <w:gridCol w:w="1007"/>
        <w:gridCol w:w="975"/>
        <w:gridCol w:w="930"/>
        <w:gridCol w:w="1050"/>
        <w:gridCol w:w="720"/>
        <w:gridCol w:w="1005"/>
        <w:gridCol w:w="900"/>
        <w:gridCol w:w="673"/>
      </w:tblGrid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48"/>
        </w:trPr>
        <w:tc>
          <w:tcPr>
            <w:textDirection w:val="lrTb"/>
            <w:vAlign w:val="center"/>
            <w:tcW w:type="dxa" w:w="2652"/>
            <w:gridSpan w:val="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功能分类科目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00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955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一般公共预算拨款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72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政府性基金收入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00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纳入专户管理的非税收入拨款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9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上级补助收入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67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其他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收入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623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科目编码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37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科目名称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00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97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小计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930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经费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05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纳入一般公共预算管理的非税收入拨款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72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00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9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67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622"/>
        </w:trPr>
        <w:tc>
          <w:tcPr>
            <w:textDirection w:val="lrTb"/>
            <w:vAlign w:val="center"/>
            <w:tcW w:type="dxa" w:w="42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类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42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42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37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00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97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93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05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72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00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90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67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2"/>
                <w:szCs w:val="22"/>
                <w:b/>
                <w:kern w:val="0"/>
                <w:bCs/>
                <w:lang w:bidi="ar" w:eastAsia="zh-CN"/>
                <w:rFonts w:ascii="宋体" w:eastAsia="宋体" w:hAnsi="宋体" w:hint="eastAsia" w:cs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20</w:t>
            </w:r>
            <w:r>
              <w:rPr>
                <w:sz w:val="22"/>
                <w:szCs w:val="22"/>
                <w:b/>
                <w:kern w:val="0"/>
                <w:bCs/>
                <w:lang w:eastAsia="zh-CN" w:bidi="ar" w:val="en-US"/>
                <w:rFonts w:cs="宋体" w:hAnsi="宋体" w:hint="eastAsia" w:ascii="宋体"/>
                <w:color w:val="000000"/>
              </w:rPr>
              <w:t xml:space="preserve">7</w:t>
            </w:r>
            <w:r>
              <w:rPr>
                <w:sz w:val="22"/>
                <w:szCs w:val="22"/>
                <w:b/>
                <w:kern w:val="0"/>
                <w:bCs/>
                <w:lang w:bidi="ar" w:eastAsia="zh-CN"/>
                <w:rFonts w:ascii="宋体" w:eastAsia="宋体" w:hAnsi="宋体" w:hint="eastAsia" w:cs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2"/>
                <w:szCs w:val="22"/>
                <w:b/>
                <w:kern w:val="0"/>
                <w:bCs/>
                <w:lang w:bidi="ar" w:eastAsia="zh-CN"/>
                <w:rFonts w:ascii="宋体" w:eastAsia="宋体" w:hAnsi="宋体" w:hint="eastAsia" w:cs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 w:eastAsia="zh-CN"/>
                <w:rFonts w:cs="宋体" w:hAnsi="宋体" w:hint="eastAsia" w:ascii="宋体"/>
                <w:color w:val="000000"/>
              </w:rPr>
              <w:t xml:space="preserve">文化旅游体育与传媒支出</w:t>
            </w:r>
            <w:r>
              <w:rPr>
                <w:sz w:val="22"/>
                <w:szCs w:val="22"/>
                <w:b/>
                <w:kern w:val="0"/>
                <w:bCs/>
                <w:lang w:bidi="ar" w:eastAsia="zh-CN"/>
                <w:rFonts w:ascii="宋体" w:eastAsia="宋体" w:hAnsi="宋体" w:hint="eastAsia" w:cs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697.19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b/>
                <w:kern w:val="0"/>
                <w:bCs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10</w:t>
            </w:r>
            <w:r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b/>
                <w:kern w:val="0"/>
                <w:bCs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408</w:t>
            </w:r>
            <w:r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2"/>
                <w:szCs w:val="22"/>
                <w:kern w:val="0"/>
                <w:lang w:eastAsia="zh-CN" w:bidi="ar" w:val="en-US"/>
                <w:rFonts w:cs="宋体" w:hAnsi="宋体" w:eastAsia="宋体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20701</w:t>
            </w: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eastAsia="宋体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文化和旅游</w:t>
            </w: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 w:val="21"/>
                <w:szCs w:val="21"/>
                <w:kern w:val="0"/>
                <w:lang w:eastAsia="zh-CN" w:bidi="ar-SA" w:val="en-US"/>
                <w:rFonts w:ascii="Times New Roman" w:eastAsia="仿宋" w:hAnsi="Times New Roman" w:hint="eastAsia" w:cs="Times New Roman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 w:val="21"/>
                <w:szCs w:val="21"/>
                <w:kern w:val="0"/>
                <w:lang w:eastAsia="zh-CN" w:bidi="ar-SA" w:val="en-US"/>
                <w:rFonts w:ascii="Times New Roman" w:eastAsia="仿宋" w:hAnsi="Times New Roman" w:hint="eastAsia" w:cs="Times New Roman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 w:val="21"/>
                <w:szCs w:val="21"/>
                <w:kern w:val="0"/>
                <w:lang w:eastAsia="zh-CN" w:bidi="ar-SA" w:val="en-US"/>
                <w:rFonts w:ascii="Times New Roman" w:eastAsia="仿宋" w:hAnsi="Times New Roman" w:hint="eastAsia" w:cs="Times New Roman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 w:val="21"/>
                <w:szCs w:val="21"/>
                <w:kern w:val="0"/>
                <w:lang w:eastAsia="zh-CN" w:bidi="ar-SA" w:val="en-US"/>
                <w:rFonts w:ascii="Times New Roman" w:eastAsia="仿宋" w:hAnsi="Times New Roman" w:hint="eastAsia" w:cs="Times New Roman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1"/>
                <w:szCs w:val="21"/>
                <w:kern w:val="0"/>
                <w:lang w:eastAsia="zh-CN" w:bidi="ar-SA" w:val="en-US"/>
                <w:rFonts w:ascii="Times New Roman" w:eastAsia="仿宋" w:hAnsi="Times New Roman" w:hint="eastAsia" w:cs="Times New Roman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 w:val="21"/>
                <w:szCs w:val="21"/>
                <w:kern w:val="0"/>
                <w:lang w:eastAsia="zh-CN" w:bidi="ar-SA" w:val="en-US"/>
                <w:rFonts w:ascii="Times New Roman" w:eastAsia="仿宋" w:hAnsi="Times New Roman" w:hint="eastAsia" w:cs="Times New Roman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4"/>
                <w:szCs w:val="24"/>
                <w:kern w:val="0"/>
                <w:lang w:eastAsia="zh-CN" w:bidi="ar-SA" w:val="en-US"/>
                <w:rFonts w:cs="仿宋" w:hAnsi="仿宋" w:eastAsia="仿宋" w:ascii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2070105</w:t>
            </w:r>
            <w:r>
              <w:rPr>
                <w:sz w:val="24"/>
                <w:szCs w:val="24"/>
                <w:kern w:val="0"/>
                <w:lang w:eastAsia="zh-CN" w:bidi="ar-SA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文化展示及纪念机构</w:t>
            </w:r>
            <w:r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szCs w:val="24"/>
                <w:kern w:val="0"/>
                <w:lang w:eastAsia="zh-CN" w:bidi="ar-SA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szCs w:val="24"/>
                <w:kern w:val="0"/>
                <w:lang w:eastAsia="zh-CN" w:bidi="ar-SA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szCs w:val="24"/>
                <w:kern w:val="0"/>
                <w:lang w:eastAsia="zh-CN" w:bidi="ar-SA" w:val="en-US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宋体" w:ascii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</w:t>
            </w: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702</w:t>
            </w:r>
            <w:r>
              <w:rPr>
                <w:sz w:val="24"/>
                <w:kern w:val="0"/>
                <w:lang w:eastAsia="zh-CN" w:val="en-US"/>
                <w:rFonts w:cs="仿宋" w:hAnsi="仿宋" w:eastAsia="宋体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文物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10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408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2"/>
                <w:szCs w:val="22"/>
                <w:kern w:val="0"/>
                <w:lang w:eastAsia="zh-CN" w:bidi="ar" w:val="en-US"/>
                <w:rFonts w:cs="宋体" w:hAnsi="宋体" w:eastAsia="宋体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2070205</w:t>
            </w: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eastAsia="宋体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博物馆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eastAsia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10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408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t xml:space="preserve">208</w:t>
            </w: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t xml:space="preserve">社会保障和就业支出</w:t>
            </w: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20805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行政事业单位养老支出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2080505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机关事业单位基本养老保险缴费支出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28.48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210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卫生健康支出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 w:val="24"/>
                <w:b/>
                <w:kern w:val="0"/>
                <w:bCs/>
                <w:lang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16.85</w:t>
            </w:r>
            <w:r>
              <w:rPr>
                <w:sz w:val="24"/>
                <w:b/>
                <w:kern w:val="0"/>
                <w:bCs/>
                <w:lang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 w:val="24"/>
                <w:b/>
                <w:kern w:val="0"/>
                <w:bCs/>
                <w:lang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24"/>
                <w:b/>
                <w:kern w:val="0"/>
                <w:bCs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16.85</w:t>
            </w:r>
            <w:r>
              <w:rPr>
                <w:sz w:val="24"/>
                <w:b/>
                <w:kern w:val="0"/>
                <w:bCs/>
                <w:lang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24"/>
                <w:b/>
                <w:kern w:val="0"/>
                <w:bCs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16.85</w:t>
            </w:r>
            <w:r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21011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行政事业单位医疗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16.85</w:t>
            </w:r>
            <w:r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16.85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16.85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ascii="仿宋" w:eastAsia="宋体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210110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</w:t>
            </w:r>
            <w:r>
              <w:rPr>
                <w:sz w:val="24"/>
                <w:kern w:val="0"/>
                <w:lang w:eastAsia="zh-CN" w:val="en-US"/>
                <w:rFonts w:ascii="仿宋" w:eastAsia="宋体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lang w:eastAsia="zh-CN"/>
                <w:rFonts w:hint="eastAsia"/>
                <w:color w:val="000000"/>
              </w:rPr>
              <w:t xml:space="preserve">事业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单位医疗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16.85</w:t>
            </w:r>
            <w:r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16.85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16.85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221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住房保障支出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b/>
                <w:bCs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>
              <w:rPr>
                <w:b/>
                <w:bCs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rPr>
                <w:b/>
                <w:bCs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>
              <w:rPr>
                <w:b/>
                <w:bCs/>
              </w:rPr>
            </w:r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center"/>
            <w:tcW w:type="dxa" w:w="1278"/>
            <w:gridSpan w:val="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22102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住房改革支出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/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/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67"/>
        </w:trPr>
        <w:tc>
          <w:tcPr>
            <w:textDirection w:val="lrTb"/>
            <w:vAlign w:val="bottom"/>
            <w:tcW w:type="dxa" w:w="1278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2210201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74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住房公积金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7"/>
          </w:tcPr>
          <w:p>
            <w:pPr>
              <w:pStyle w:val="Normal"/>
              <w:rPr>
                <w:lang w:val="en-US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>
              <w:rPr>
                <w:lang w:val="en-US"/>
              </w:rPr>
            </w:r>
          </w:p>
        </w:tc>
        <w:tc>
          <w:tcPr>
            <w:textDirection w:val="lrTb"/>
            <w:vAlign w:val="center"/>
            <w:tcW w:type="dxa" w:w="975"/>
          </w:tcPr>
          <w:p>
            <w:pPr>
              <w:pStyle w:val="Normal"/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/>
          </w:p>
        </w:tc>
        <w:tc>
          <w:tcPr>
            <w:textDirection w:val="lrTb"/>
            <w:vAlign w:val="center"/>
            <w:tcW w:type="dxa" w:w="93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24.87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5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72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005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67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</w:tbl>
    <w:p>
      <w:pPr>
        <w:pStyle w:val="Normal"/>
        <w:rPr>
          <w:szCs w:val="21"/>
          <w:kern w:val="0"/>
          <w:rFonts w:ascii="Times New Roman" w:eastAsia="仿宋_GB2312" w:hAnsi="Times New Roman" w:hint="eastAsia" w:cs="Times New Roman"/>
        </w:rPr>
        <w:widowControl/>
        <w:jc w:val="start"/>
      </w:pPr>
      <w:r>
        <w:rPr>
          <w:szCs w:val="21"/>
          <w:kern w:val="0"/>
          <w:rFonts w:ascii="Times New Roman" w:eastAsia="仿宋_GB2312" w:hAnsi="Times New Roman" w:hint="eastAsia" w:cs="Times New Roman"/>
        </w:rPr>
        <w:t xml:space="preserve">注：1.本表反映部门本年度的总收支情况。</w:t>
      </w:r>
      <w:r>
        <w:rPr>
          <w:szCs w:val="21"/>
          <w:kern w:val="0"/>
          <w:rFonts w:ascii="Times New Roman" w:eastAsia="仿宋_GB2312" w:hAnsi="Times New Roman" w:hint="eastAsia" w:cs="Times New Roman"/>
        </w:rPr>
      </w:r>
    </w:p>
    <w:p>
      <w:pPr>
        <w:pStyle w:val="Normal"/>
        <w:rPr>
          <w:szCs w:val="21"/>
          <w:kern w:val="0"/>
          <w:rFonts w:ascii="Times New Roman" w:eastAsia="仿宋_GB2312" w:hAnsi="Times New Roman" w:hint="eastAsia" w:cs="Times New Roman"/>
          <w:color w:val="000000"/>
        </w:rPr>
        <w:widowControl/>
        <w:ind w:firstLine="420" w:firstLineChars="200"/>
        <w:spacing w:lineRule="exact" w:line="400"/>
      </w:pPr>
      <w:r>
        <w:rPr>
          <w:szCs w:val="21"/>
          <w:kern w:val="0"/>
          <w:rFonts w:ascii="Times New Roman" w:eastAsia="仿宋_GB2312" w:hAnsi="Times New Roman" w:hint="eastAsia" w:cs="Times New Roman"/>
        </w:rPr>
        <w:t xml:space="preserve">2.本套报表金额单位转换时可能存在尾数误差。</w:t>
      </w:r>
      <w:r>
        <w:rPr>
          <w:szCs w:val="21"/>
          <w:kern w:val="0"/>
          <w:rFonts w:ascii="Times New Roman" w:eastAsia="仿宋_GB2312" w:hAnsi="Times New Roman" w:hint="eastAsia" w:cs="Times New Roman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eastAsia="楷体_GB2312"/>
          <w:color w:val="000000"/>
        </w:rPr>
        <w:outlineLvl w:val="0"/>
        <w:ind w:firstLine="1205" w:firstLineChars="400" w:leftChars="0" w:left="0" w:rightChars="0" w:right="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部门预算和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“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三公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”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经费预算公开表格（表3）</w:t>
      </w:r>
      <w:r>
        <w:rPr>
          <w:sz w:val="30"/>
          <w:szCs w:val="30"/>
          <w:b/>
          <w:kern w:val="0"/>
          <w:rFonts w:eastAsia="楷体_GB2312"/>
          <w:color w:val="000000"/>
        </w:rPr>
      </w:r>
    </w:p>
    <w:p>
      <w:pPr>
        <w:pStyle w:val="Normal"/>
        <w:rPr>
          <w:sz w:val="20"/>
          <w:szCs w:val="20"/>
          <w:kern w:val="0"/>
          <w:rFonts w:eastAsia="黑体"/>
          <w:color w:val="000000"/>
        </w:rPr>
        <w:spacing w:lineRule="exact" w:line="240"/>
      </w:pPr>
      <w:r>
        <w:rPr>
          <w:sz w:val="20"/>
          <w:szCs w:val="20"/>
          <w:kern w:val="0"/>
          <w:rFonts w:eastAsia="黑体"/>
          <w:color w:val="000000"/>
        </w:rPr>
      </w:r>
    </w:p>
    <w:p>
      <w:pPr>
        <w:pStyle w:val="Normal"/>
        <w:rPr>
          <w:sz w:val="40"/>
          <w:szCs w:val="40"/>
          <w:kern w:val="0"/>
          <w:rFonts w:eastAsia="方正小标宋简体"/>
          <w:color w:val="000000"/>
        </w:rPr>
        <w:jc w:val="center"/>
      </w:pP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部门支出总表</w:t>
      </w:r>
      <w:r>
        <w:rPr>
          <w:sz w:val="40"/>
          <w:szCs w:val="40"/>
          <w:kern w:val="0"/>
          <w:rFonts w:eastAsia="方正小标宋简体"/>
          <w:color w:val="000000"/>
        </w:rPr>
      </w:r>
    </w:p>
    <w:p>
      <w:pPr>
        <w:pStyle w:val="Normal"/>
        <w:rPr>
          <w:szCs w:val="21"/>
          <w:kern w:val="0"/>
          <w:color w:val="000000"/>
        </w:rPr>
        <w:wordWrap w:val="off"/>
        <w:jc w:val="end"/>
      </w:pPr>
      <w:r>
        <w:rPr>
          <w:szCs w:val="21"/>
          <w:kern w:val="0"/>
          <w:rFonts w:hint="eastAsia"/>
          <w:color w:val="000000"/>
        </w:rPr>
        <w:t xml:space="preserve">单位：万元</w:t>
      </w:r>
      <w:r>
        <w:rPr>
          <w:szCs w:val="21"/>
          <w:kern w:val="0"/>
          <w:color w:val="000000"/>
        </w:rPr>
      </w:r>
    </w:p>
    <w:tbl>
      <w:tblPr>
        <w:jc w:val="center"/>
        <w:tblW w:w="9178" w:type="dxa"/>
        <w:tblInd w:type="dxa" w:w="-108"/>
        <w:tblBorders>
          <w:top w:color="auto" w:space="0" w:sz="12" w:val="single"/>
          <w:left w:color="auto" w:space="0" w:sz="12" w:val="single"/>
          <w:bottom w:color="auto" w:space="0" w:sz="12" w:val="single"/>
          <w:right w:color="auto" w:space="0" w:sz="12" w:val="single"/>
          <w:insideH w:color="auto" w:space="0" w:sz="6" w:val="single"/>
          <w:insideV w:color="auto" w:space="0" w:sz="6" w:val="single"/>
        </w:tblBorders>
        <w:tblLayout w:type="fixed"/>
        <w:tblCellMar>
          <w:top w:type="dxa" w:w="0"/>
          <w:bottom w:type="dxa" w:w="0"/>
          <w:left w:type="dxa" w:w="108"/>
          <w:right w:type="dxa" w:w="108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28"/>
        </w:trPr>
        <w:tc>
          <w:tcPr>
            <w:textDirection w:val="lrTb"/>
            <w:vAlign w:val="center"/>
            <w:tcW w:type="dxa" w:w="5661"/>
            <w:gridSpan w:val="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功能分类科目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基本支出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项目支出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28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科目编码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3678"/>
          </w:tcPr>
          <w:p>
            <w:pPr>
              <w:pStyle w:val="Normal"/>
              <w:rPr>
                <w:szCs w:val="21"/>
                <w:kern w:val="0"/>
                <w:color w:val="000000"/>
              </w:rPr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科目名称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427"/>
        </w:trPr>
        <w:tc>
          <w:tcPr>
            <w:textDirection w:val="lrTb"/>
            <w:vAlign w:val="center"/>
            <w:tcW w:type="dxa" w:w="66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类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66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66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367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427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Cs w:val="21"/>
                <w:b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Cs w:val="21"/>
                <w:b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cs="Times New Roman" w:hAnsi="Times New Roman" w:eastAsia="宋体" w:ascii="Times New Roman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331.99</w:t>
            </w:r>
            <w:r>
              <w:rPr>
                <w:szCs w:val="21"/>
                <w:b/>
                <w:kern w:val="0"/>
                <w:bCs/>
                <w:lang w:eastAsia="zh-CN" w:val="en-US"/>
                <w:rFonts w:cs="Times New Roman" w:hAnsi="Times New Roman" w:eastAsia="宋体" w:ascii="Times New Roman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b/>
                <w:kern w:val="0"/>
                <w:lang w:eastAsia="zh-CN" w:val="en-US"/>
                <w:rFonts w:cs="Times New Roman" w:hAnsi="Times New Roman" w:eastAsia="宋体" w:ascii="Times New Roman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 w:cs="Times New Roman"/>
                <w:color w:val="000000"/>
              </w:rPr>
              <w:t xml:space="preserve">435.4</w:t>
            </w:r>
            <w:r>
              <w:rPr>
                <w:szCs w:val="21"/>
                <w:b/>
                <w:kern w:val="0"/>
                <w:lang w:eastAsia="zh-CN" w:val="en-US"/>
                <w:rFonts w:cs="Times New Roman" w:hAnsi="Times New Roman" w:eastAsia="宋体" w:ascii="Times New Roman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20</w:t>
            </w:r>
            <w:r>
              <w:rPr>
                <w:sz w:val="22"/>
                <w:szCs w:val="22"/>
                <w:b/>
                <w:kern w:val="0"/>
                <w:bCs/>
                <w:lang w:eastAsia="zh-CN" w:bidi="ar" w:val="en-US"/>
                <w:rFonts w:cs="宋体" w:hAnsi="宋体" w:hint="eastAsia" w:ascii="宋体"/>
                <w:color w:val="000000"/>
              </w:rPr>
              <w:t xml:space="preserve">7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 w:eastAsia="zh-CN"/>
                <w:rFonts w:cs="宋体" w:hAnsi="宋体" w:hint="eastAsia" w:ascii="宋体"/>
                <w:color w:val="000000"/>
              </w:rPr>
              <w:t xml:space="preserve">文化旅游体育与传媒支出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697.19</w:t>
            </w:r>
            <w:r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261.79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 w:cs="Times New Roman"/>
                <w:color w:val="000000"/>
              </w:rPr>
              <w:t xml:space="preserve">435.4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20701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文化和旅游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261.79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17.4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2070105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文化展示及纪念机构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279.19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261.79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17.4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</w:t>
            </w: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702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文物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 w:val="24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2070205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博物馆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 w:val="24"/>
                <w:kern w:val="0"/>
                <w:lang w:val="en-US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t xml:space="preserve">208</w:t>
            </w: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t xml:space="preserve">社会保障和就业支出</w:t>
            </w: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 w:val="24"/>
                <w:b/>
                <w:kern w:val="0"/>
                <w:bCs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bottom"/>
            <w:tcW w:type="dxa" w:w="142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20805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行政事业单位养老支出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bottom"/>
            <w:tcW w:type="dxa" w:w="1428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2080505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机关事业单位基本养老保险缴费支出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210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卫生健康支出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21011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行政事业单位医疗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 w:val="24"/>
                <w:kern w:val="0"/>
                <w:lang w:eastAsia="zh-CN" w:val="en-US"/>
                <w:rFonts w:ascii="仿宋" w:eastAsia="等线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210110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</w:t>
            </w:r>
            <w:r>
              <w:rPr>
                <w:sz w:val="24"/>
                <w:kern w:val="0"/>
                <w:lang w:eastAsia="zh-CN" w:val="en-US"/>
                <w:rFonts w:ascii="仿宋" w:eastAsia="等线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事业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单位医疗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221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住房保障支出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22102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住房改革支出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bottom"/>
            <w:tcW w:type="dxa" w:w="198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2210201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住房公积金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10"/>
        </w:trPr>
        <w:tc>
          <w:tcPr>
            <w:textDirection w:val="lrTb"/>
            <w:vAlign w:val="center"/>
            <w:tcW w:type="dxa" w:w="1983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67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5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13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42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</w:tbl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rFonts w:hint="eastAsia"/>
        </w:rPr>
      </w:pPr>
      <w:r>
        <w:rPr>
          <w:rFonts w:hint="eastAsia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eastAsia="楷体_GB2312"/>
          <w:color w:val="000000"/>
        </w:rPr>
        <w:outlineLvl w:val="0"/>
        <w:ind w:firstLine="1205" w:firstLineChars="400" w:leftChars="0" w:left="0" w:rightChars="0" w:right="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部门预算和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“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三公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”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经费预算公开表格（表4）</w:t>
      </w:r>
      <w:r>
        <w:rPr>
          <w:sz w:val="30"/>
          <w:szCs w:val="30"/>
          <w:b/>
          <w:kern w:val="0"/>
          <w:rFonts w:eastAsia="楷体_GB2312"/>
          <w:color w:val="000000"/>
        </w:rPr>
      </w:r>
    </w:p>
    <w:p>
      <w:pPr>
        <w:pStyle w:val="Normal"/>
        <w:rPr>
          <w:sz w:val="20"/>
          <w:szCs w:val="20"/>
          <w:kern w:val="0"/>
          <w:rFonts w:eastAsia="黑体"/>
          <w:color w:val="000000"/>
        </w:rPr>
        <w:spacing w:lineRule="exact" w:line="240"/>
      </w:pPr>
      <w:r>
        <w:rPr>
          <w:sz w:val="20"/>
          <w:szCs w:val="20"/>
          <w:kern w:val="0"/>
          <w:rFonts w:eastAsia="黑体"/>
          <w:color w:val="000000"/>
        </w:rPr>
      </w:r>
    </w:p>
    <w:p>
      <w:pPr>
        <w:pStyle w:val="Normal"/>
        <w:rPr>
          <w:sz w:val="40"/>
          <w:szCs w:val="40"/>
          <w:kern w:val="0"/>
          <w:rFonts w:eastAsia="方正小标宋简体"/>
          <w:color w:val="000000"/>
        </w:rPr>
        <w:jc w:val="center"/>
      </w:pP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财政拨款收支总表</w:t>
      </w:r>
      <w:r>
        <w:rPr>
          <w:sz w:val="40"/>
          <w:szCs w:val="40"/>
          <w:kern w:val="0"/>
          <w:rFonts w:eastAsia="方正小标宋简体"/>
          <w:color w:val="000000"/>
        </w:rPr>
      </w:r>
    </w:p>
    <w:p>
      <w:pPr>
        <w:pStyle w:val="Normal"/>
        <w:rPr>
          <w:szCs w:val="21"/>
          <w:kern w:val="0"/>
          <w:color w:val="000000"/>
        </w:rPr>
        <w:wordWrap w:val="off"/>
        <w:jc w:val="end"/>
      </w:pPr>
      <w:r>
        <w:rPr>
          <w:szCs w:val="21"/>
          <w:kern w:val="0"/>
          <w:rFonts w:hint="eastAsia"/>
          <w:color w:val="000000"/>
        </w:rPr>
        <w:t xml:space="preserve">单位：万元</w:t>
      </w:r>
      <w:r>
        <w:rPr>
          <w:szCs w:val="21"/>
          <w:kern w:val="0"/>
          <w:color w:val="000000"/>
        </w:rPr>
        <w:t xml:space="preserve">  </w:t>
      </w:r>
      <w:r>
        <w:rPr>
          <w:szCs w:val="21"/>
          <w:kern w:val="0"/>
          <w:color w:val="000000"/>
        </w:rPr>
      </w:r>
    </w:p>
    <w:tbl>
      <w:tblPr>
        <w:jc w:val="center"/>
        <w:tblW w:w="0" w:type="auto"/>
        <w:tblInd w:type="dxa" w:w="-108"/>
        <w:tblBorders>
          <w:top w:color="auto" w:space="0" w:sz="12" w:val="single"/>
          <w:left w:color="auto" w:space="0" w:sz="12" w:val="single"/>
          <w:bottom w:color="auto" w:space="0" w:sz="12" w:val="single"/>
          <w:right w:color="auto" w:space="0" w:sz="12" w:val="single"/>
          <w:insideH w:color="auto" w:space="0" w:sz="6" w:val="single"/>
          <w:insideV w:color="auto" w:space="0" w:sz="6" w:val="single"/>
        </w:tblBorders>
        <w:tblLayout w:type="fixed"/>
        <w:tblCellMar>
          <w:top w:type="dxa" w:w="0"/>
          <w:bottom w:type="dxa" w:w="0"/>
          <w:left w:type="dxa" w:w="108"/>
          <w:right w:type="dxa" w:w="108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25"/>
        </w:trPr>
        <w:tc>
          <w:tcPr>
            <w:textDirection w:val="lrTb"/>
            <w:vAlign w:val="center"/>
            <w:tcW w:type="dxa" w:w="4878"/>
            <w:gridSpan w:val="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收</w:t>
            </w:r>
            <w:r>
              <w:rPr>
                <w:szCs w:val="21"/>
                <w:kern w:val="0"/>
                <w:color w:val="000000"/>
              </w:rPr>
              <w:t xml:space="preserve"> 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入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4355"/>
            <w:gridSpan w:val="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  <w:t xml:space="preserve">   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支</w:t>
            </w:r>
            <w:r>
              <w:rPr>
                <w:szCs w:val="21"/>
                <w:kern w:val="0"/>
                <w:color w:val="000000"/>
              </w:rPr>
              <w:t xml:space="preserve">  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出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25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预算数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预算数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25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一、一般公共预算拨款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lang w:eastAsia="zh-CN"/>
                <w:rFonts w:hint="eastAsia" w:eastAsia="宋体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bCs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kern w:val="0"/>
                <w:lang w:eastAsia="zh-CN"/>
                <w:rFonts w:hint="eastAsia"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一、本年支出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25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  <w:t xml:space="preserve"> 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经费拨款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bCs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757.39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（一）一般公共服务支出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25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  <w:t xml:space="preserve"> 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纳入一般公共预算管理的非税收入拨款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等线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10</w:t>
            </w:r>
            <w:r>
              <w:rPr>
                <w:szCs w:val="21"/>
                <w:kern w:val="0"/>
                <w:lang w:eastAsia="zh-CN" w:val="en-US"/>
                <w:rFonts w:eastAsia="等线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（二）国防支出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二、政府性基金收入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（三）公共安全支出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（四）教育支出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（五）科学技术支出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（六）文化体育与传媒支出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lang w:val="en-US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697.19</w:t>
            </w:r>
            <w:r>
              <w:rPr>
                <w:szCs w:val="21"/>
                <w:kern w:val="0"/>
                <w:lang w:val="en-US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（七）社会保障和就业支出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（八）医疗卫生与计划生育支出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（九）节能环保支出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（十）城乡社区支出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（十一）农林水支出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（十二）交通运输支出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1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（十三）资源勘探信息等支出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（十四）商业服务业等支出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（十五）金融支出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（十六）国土海洋气象等支出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（十七）住房保障支出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（十八）粮油物资储备支出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（十九）其他支出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二、结转下年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40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283"/>
        </w:trPr>
        <w:tc>
          <w:tcPr>
            <w:textDirection w:val="lrTb"/>
            <w:vAlign w:val="center"/>
            <w:tcW w:type="dxa" w:w="367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收</w:t>
            </w: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入</w:t>
            </w: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总计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06"/>
          </w:tcPr>
          <w:p>
            <w:pPr>
              <w:pStyle w:val="Normal"/>
              <w:rPr>
                <w:szCs w:val="21"/>
                <w:kern w:val="0"/>
                <w:lang w:eastAsia="zh-CN"/>
                <w:rFonts w:hint="eastAsia"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kern w:val="0"/>
                <w:lang w:eastAsia="zh-CN"/>
                <w:rFonts w:hint="eastAsia"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311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支</w:t>
            </w: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出</w:t>
            </w: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总</w:t>
            </w:r>
            <w:r>
              <w:rPr>
                <w:szCs w:val="21"/>
                <w:kern w:val="0"/>
                <w:color w:val="000000"/>
              </w:rPr>
              <w:t xml:space="preserve"> 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41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</w:tbl>
    <w:p>
      <w:pPr>
        <w:pStyle w:val="Normal"/>
        <w:rPr>
          <w:rFonts w:hint="eastAsia"/>
        </w:rPr>
      </w:pPr>
      <w:r>
        <w:rPr>
          <w:rFonts w:hint="eastAsia"/>
        </w:rPr>
      </w:r>
    </w:p>
    <w:p>
      <w:pPr>
        <w:pStyle w:val="Normal"/>
        <w:rPr>
          <w:szCs w:val="21"/>
          <w:kern w:val="0"/>
          <w:color w:val="000000"/>
        </w:rPr>
        <w:wordWrap w:val="off"/>
        <w:jc w:val="both"/>
      </w:pPr>
      <w:r>
        <w:rPr>
          <w:szCs w:val="21"/>
          <w:kern w:val="0"/>
          <w:color w:val="000000"/>
        </w:rPr>
      </w:r>
    </w:p>
    <w:p>
      <w:pPr>
        <w:pStyle w:val="UserStyle_0"/>
        <w:rPr>
          <w:szCs w:val="21"/>
          <w:kern w:val="0"/>
          <w:color w:val="000000"/>
        </w:rPr>
        <w:wordWrap/>
      </w:pPr>
      <w:r>
        <w:rPr>
          <w:szCs w:val="21"/>
          <w:kern w:val="0"/>
          <w:color w:val="000000"/>
        </w:rPr>
      </w:r>
    </w:p>
    <w:p>
      <w:pPr>
        <w:pStyle w:val="UserStyle_0"/>
        <w:rPr>
          <w:szCs w:val="21"/>
          <w:kern w:val="0"/>
          <w:color w:val="000000"/>
        </w:rPr>
        <w:wordWrap/>
      </w:pPr>
      <w:r>
        <w:rPr>
          <w:szCs w:val="21"/>
          <w:kern w:val="0"/>
          <w:color w:val="000000"/>
        </w:rPr>
      </w:r>
    </w:p>
    <w:p>
      <w:pPr>
        <w:pStyle w:val="UserStyle_0"/>
        <w:rPr>
          <w:szCs w:val="21"/>
          <w:kern w:val="0"/>
          <w:color w:val="000000"/>
        </w:rPr>
        <w:wordWrap/>
      </w:pPr>
      <w:r>
        <w:rPr>
          <w:szCs w:val="21"/>
          <w:kern w:val="0"/>
          <w:color w:val="000000"/>
        </w:rPr>
      </w:r>
    </w:p>
    <w:p>
      <w:pPr>
        <w:pStyle w:val="UserStyle_0"/>
        <w:rPr>
          <w:szCs w:val="21"/>
          <w:kern w:val="0"/>
          <w:color w:val="000000"/>
        </w:rPr>
        <w:wordWrap/>
      </w:pPr>
      <w:r>
        <w:rPr>
          <w:szCs w:val="21"/>
          <w:kern w:val="0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部门预算和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“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三公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”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经费预算公开表格（表5）</w:t>
      </w:r>
      <w:r>
        <w:rPr>
          <w:sz w:val="30"/>
          <w:szCs w:val="30"/>
          <w:b/>
          <w:kern w:val="0"/>
          <w:rFonts w:eastAsia="楷体_GB2312"/>
          <w:color w:val="000000"/>
        </w:rPr>
      </w:r>
    </w:p>
    <w:p>
      <w:pPr>
        <w:pStyle w:val="Normal"/>
        <w:rPr>
          <w:sz w:val="20"/>
          <w:szCs w:val="20"/>
          <w:kern w:val="0"/>
          <w:rFonts w:eastAsia="黑体"/>
          <w:color w:val="000000"/>
        </w:rPr>
        <w:spacing w:lineRule="exact" w:line="240"/>
      </w:pPr>
      <w:r>
        <w:rPr>
          <w:sz w:val="20"/>
          <w:szCs w:val="20"/>
          <w:kern w:val="0"/>
          <w:rFonts w:eastAsia="黑体"/>
          <w:color w:val="000000"/>
        </w:rPr>
      </w:r>
    </w:p>
    <w:p>
      <w:pPr>
        <w:pStyle w:val="Normal"/>
        <w:rPr>
          <w:sz w:val="40"/>
          <w:szCs w:val="40"/>
          <w:kern w:val="0"/>
          <w:rFonts w:eastAsia="方正小标宋简体"/>
          <w:color w:val="000000"/>
        </w:rPr>
        <w:jc w:val="center"/>
      </w:pP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一般公共预算支出表</w:t>
      </w:r>
      <w:r>
        <w:rPr>
          <w:sz w:val="40"/>
          <w:szCs w:val="40"/>
          <w:kern w:val="0"/>
          <w:rFonts w:eastAsia="方正小标宋简体"/>
          <w:color w:val="000000"/>
        </w:rPr>
      </w:r>
    </w:p>
    <w:p>
      <w:pPr>
        <w:pStyle w:val="Normal"/>
        <w:rPr>
          <w:szCs w:val="21"/>
          <w:kern w:val="0"/>
          <w:rFonts w:eastAsia="黑体"/>
          <w:color w:val="000000"/>
        </w:rPr>
        <w:wordWrap w:val="off"/>
        <w:jc w:val="end"/>
      </w:pPr>
      <w:r>
        <w:rPr>
          <w:szCs w:val="21"/>
          <w:kern w:val="0"/>
          <w:rFonts w:hint="eastAsia"/>
          <w:color w:val="000000"/>
        </w:rPr>
        <w:t xml:space="preserve">单位：万元</w:t>
      </w:r>
      <w:r>
        <w:rPr>
          <w:szCs w:val="21"/>
          <w:kern w:val="0"/>
          <w:color w:val="000000"/>
        </w:rPr>
        <w:t xml:space="preserve">  </w:t>
      </w:r>
      <w:r>
        <w:rPr>
          <w:szCs w:val="21"/>
          <w:kern w:val="0"/>
          <w:rFonts w:eastAsia="黑体"/>
          <w:color w:val="000000"/>
        </w:rPr>
      </w:r>
    </w:p>
    <w:tbl>
      <w:tblPr>
        <w:jc w:val="center"/>
        <w:tblW w:w="8871" w:type="dxa"/>
        <w:tblInd w:type="dxa" w:w="-108"/>
        <w:tblBorders>
          <w:top w:color="auto" w:space="0" w:sz="12" w:val="single"/>
          <w:left w:color="auto" w:space="0" w:sz="12" w:val="single"/>
          <w:bottom w:color="auto" w:space="0" w:sz="12" w:val="single"/>
          <w:right w:color="auto" w:space="0" w:sz="12" w:val="single"/>
          <w:insideH w:color="auto" w:space="0" w:sz="6" w:val="single"/>
          <w:insideV w:color="auto" w:space="0" w:sz="6" w:val="single"/>
        </w:tblBorders>
        <w:tblLayout w:type="fixed"/>
        <w:tblCellMar>
          <w:top w:type="dxa" w:w="0"/>
          <w:bottom w:type="dxa" w:w="0"/>
          <w:left w:type="dxa" w:w="108"/>
          <w:right w:type="dxa" w:w="108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4709"/>
            <w:gridSpan w:val="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功能分类科目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4162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预算数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58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科目编码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313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科目名称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小计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基本支出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项目支出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457"/>
        </w:trPr>
        <w:tc>
          <w:tcPr>
            <w:textDirection w:val="lrTb"/>
            <w:vAlign w:val="center"/>
            <w:tcW w:type="dxa" w:w="52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类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52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525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313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457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Cs w:val="21"/>
                <w:b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Cs w:val="21"/>
                <w:b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767.39</w:t>
            </w:r>
            <w:r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b/>
                <w:kern w:val="0"/>
                <w:bCs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331.99</w:t>
            </w:r>
            <w:r>
              <w:rPr>
                <w:szCs w:val="21"/>
                <w:b/>
                <w:kern w:val="0"/>
                <w:bCs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b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 w:cs="Times New Roman"/>
                <w:color w:val="000000"/>
              </w:rPr>
              <w:t xml:space="preserve">435.4</w:t>
            </w:r>
            <w:r>
              <w:rPr>
                <w:szCs w:val="21"/>
                <w:b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20</w:t>
            </w:r>
            <w:r>
              <w:rPr>
                <w:sz w:val="22"/>
                <w:szCs w:val="22"/>
                <w:b/>
                <w:kern w:val="0"/>
                <w:bCs/>
                <w:lang w:eastAsia="zh-CN" w:bidi="ar" w:val="en-US"/>
                <w:rFonts w:cs="宋体" w:hAnsi="宋体" w:hint="eastAsia" w:ascii="宋体"/>
                <w:color w:val="000000"/>
              </w:rPr>
              <w:t xml:space="preserve">7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 w:eastAsia="zh-CN"/>
                <w:rFonts w:cs="宋体" w:hAnsi="宋体" w:hint="eastAsia" w:ascii="宋体"/>
                <w:color w:val="000000"/>
              </w:rPr>
              <w:t xml:space="preserve">文化旅游体育与传媒支出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b/>
                <w:kern w:val="0"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697.19</w:t>
            </w:r>
            <w:r>
              <w:rPr>
                <w:szCs w:val="21"/>
                <w:b/>
                <w:kern w:val="0"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b/>
                <w:kern w:val="0"/>
                <w:bCs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 w:eastAsia="仿宋"/>
                <w:color w:val="000000"/>
              </w:rPr>
              <w:t xml:space="preserve">261.79</w:t>
            </w:r>
            <w:r>
              <w:rPr>
                <w:szCs w:val="21"/>
                <w:b/>
                <w:kern w:val="0"/>
                <w:bCs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 w:cs="Times New Roman"/>
                <w:color w:val="000000"/>
              </w:rPr>
              <w:t xml:space="preserve">435.4</w:t>
            </w:r>
            <w:r>
              <w:rPr>
                <w:szCs w:val="21"/>
                <w:kern w:val="0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20701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文化和旅游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279.19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261.79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rFonts w:cs="仿宋" w:hAnsi="仿宋" w:eastAsia="仿宋" w:ascii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17.4</w:t>
            </w:r>
            <w:r>
              <w:rPr>
                <w:szCs w:val="21"/>
                <w:kern w:val="0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2070105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文化展示及纪念机构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279.19</w:t>
            </w:r>
            <w:r>
              <w:rPr>
                <w:szCs w:val="21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lang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261.79</w:t>
            </w:r>
            <w:r>
              <w:rPr>
                <w:szCs w:val="21"/>
                <w:kern w:val="0"/>
                <w:lang w:val="en-US"/>
                <w:rFonts w:cs="仿宋" w:hAnsi="仿宋" w:eastAsia="仿宋" w:ascii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ascii="仿宋" w:eastAsia="仿宋" w:hAnsi="仿宋" w:hint="eastAsia" w:cs="仿宋"/>
                <w:color w:val="000000"/>
              </w:rPr>
              <w:t xml:space="preserve">17.4</w:t>
            </w:r>
            <w:r>
              <w:rPr>
                <w:szCs w:val="21"/>
                <w:kern w:val="0"/>
                <w:lang w:eastAsia="zh-CN" w:val="en-US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</w:t>
            </w: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702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文物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2070205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博物馆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lang w:val="en-US"/>
                <w:rFonts w:cs="仿宋" w:hAnsi="仿宋" w:eastAsia="仿宋" w:ascii="仿宋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 w:eastAsia="仿宋"/>
                <w:color w:val="000000"/>
              </w:rPr>
              <w:t xml:space="preserve">418</w:t>
            </w:r>
            <w:r>
              <w:rPr>
                <w:szCs w:val="21"/>
                <w:kern w:val="0"/>
                <w:lang w:val="en-US"/>
                <w:rFonts w:cs="仿宋" w:hAnsi="仿宋" w:eastAsia="仿宋" w:ascii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t xml:space="preserve">208</w:t>
            </w: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  <w:t xml:space="preserve">社会保障和就业支出</w:t>
            </w:r>
            <w:r>
              <w:rPr>
                <w:sz w:val="22"/>
                <w:szCs w:val="22"/>
                <w:b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 w:val="24"/>
                <w:b/>
                <w:kern w:val="0"/>
                <w:bCs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bottom"/>
            <w:tcW w:type="dxa" w:w="1388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20805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行政事业单位养老支出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bottom"/>
            <w:tcW w:type="dxa" w:w="1388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625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2080505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机关事业单位基本养老保险缴费支出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210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卫生健康支出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21011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行政事业单位医疗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 w:val="21"/>
                <w:szCs w:val="21"/>
                <w:kern w:val="0"/>
                <w:lang w:eastAsia="zh-CN" w:bidi="ar" w:val="en-US"/>
                <w:rFonts w:cs="Times New Roman" w:hAnsi="等线" w:eastAsia="等线" w:ascii="等线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 w:val="21"/>
                <w:szCs w:val="21"/>
                <w:kern w:val="0"/>
                <w:lang w:eastAsia="zh-CN" w:bidi="ar" w:val="en-US"/>
                <w:rFonts w:cs="Times New Roman" w:hAnsi="等线" w:eastAsia="等线" w:ascii="等线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 w:val="21"/>
                <w:szCs w:val="21"/>
                <w:kern w:val="0"/>
                <w:lang w:eastAsia="zh-CN" w:bidi="ar" w:val="en-US"/>
                <w:rFonts w:cs="Times New Roman" w:hAnsi="等线" w:eastAsia="等线" w:ascii="等线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 w:val="21"/>
                <w:szCs w:val="21"/>
                <w:kern w:val="0"/>
                <w:lang w:eastAsia="zh-CN" w:bidi="ar" w:val="en-US"/>
                <w:rFonts w:cs="Times New Roman" w:hAnsi="等线" w:eastAsia="等线" w:ascii="等线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2101101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行政单位医疗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221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Cs w:val="21"/>
                <w:b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住房保障支出</w:t>
            </w:r>
            <w:r>
              <w:rPr>
                <w:szCs w:val="21"/>
                <w:b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center"/>
            <w:tcW w:type="dxa" w:w="1573"/>
            <w:gridSpan w:val="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22102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住房改革支出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39"/>
        </w:trPr>
        <w:tc>
          <w:tcPr>
            <w:textDirection w:val="lrTb"/>
            <w:vAlign w:val="bottom"/>
            <w:tcW w:type="dxa" w:w="1573"/>
            <w:gridSpan w:val="3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2210201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3136"/>
          </w:tcPr>
          <w:p>
            <w:pPr>
              <w:pStyle w:val="Normal"/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  <w:widowControl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住房公积金</w:t>
            </w:r>
            <w:r>
              <w:rPr>
                <w:sz w:val="24"/>
                <w:kern w:val="0"/>
                <w:rFonts w:ascii="仿宋" w:eastAsia="仿宋" w:hAnsi="仿宋" w:hint="eastAsia" w:cs="仿宋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38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8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</w:tbl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355" w:firstLineChars="45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355" w:firstLineChars="45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355" w:firstLineChars="45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eastAsia="楷体_GB2312"/>
          <w:color w:val="000000"/>
        </w:rPr>
        <w:ind w:firstLine="1355" w:firstLineChars="45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部门预算和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“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三公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”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经费预算公开表格（表6）</w:t>
      </w:r>
      <w:r>
        <w:rPr>
          <w:sz w:val="30"/>
          <w:szCs w:val="30"/>
          <w:b/>
          <w:kern w:val="0"/>
          <w:rFonts w:eastAsia="楷体_GB2312"/>
          <w:color w:val="000000"/>
        </w:rPr>
      </w:r>
    </w:p>
    <w:p>
      <w:pPr>
        <w:pStyle w:val="Normal"/>
        <w:rPr>
          <w:sz w:val="20"/>
          <w:szCs w:val="20"/>
          <w:kern w:val="0"/>
          <w:rFonts w:eastAsia="黑体"/>
          <w:color w:val="000000"/>
        </w:rPr>
        <w:spacing w:lineRule="exact" w:line="240"/>
      </w:pPr>
      <w:r>
        <w:rPr>
          <w:sz w:val="20"/>
          <w:szCs w:val="20"/>
          <w:kern w:val="0"/>
          <w:rFonts w:eastAsia="黑体"/>
          <w:color w:val="000000"/>
        </w:rPr>
      </w:r>
    </w:p>
    <w:p>
      <w:pPr>
        <w:pStyle w:val="Normal"/>
        <w:rPr>
          <w:sz w:val="40"/>
          <w:szCs w:val="40"/>
          <w:kern w:val="0"/>
          <w:rFonts w:eastAsia="方正小标宋简体"/>
          <w:color w:val="000000"/>
        </w:rPr>
        <w:jc w:val="center"/>
      </w:pP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一般公共预算基本支出表</w:t>
      </w:r>
      <w:r>
        <w:rPr>
          <w:sz w:val="40"/>
          <w:szCs w:val="40"/>
          <w:kern w:val="0"/>
          <w:rFonts w:eastAsia="方正小标宋简体"/>
          <w:color w:val="000000"/>
        </w:rPr>
      </w:r>
    </w:p>
    <w:p>
      <w:pPr>
        <w:pStyle w:val="Normal"/>
        <w:rPr>
          <w:szCs w:val="21"/>
          <w:kern w:val="0"/>
          <w:color w:val="000000"/>
        </w:rPr>
        <w:wordWrap w:val="off"/>
        <w:jc w:val="end"/>
      </w:pPr>
      <w:r>
        <w:rPr>
          <w:szCs w:val="21"/>
          <w:kern w:val="0"/>
          <w:rFonts w:hint="eastAsia"/>
          <w:color w:val="000000"/>
        </w:rPr>
        <w:t xml:space="preserve">单位：万元</w:t>
      </w:r>
      <w:r>
        <w:rPr>
          <w:szCs w:val="21"/>
          <w:kern w:val="0"/>
          <w:color w:val="000000"/>
        </w:rPr>
        <w:t xml:space="preserve">  </w:t>
      </w:r>
      <w:r>
        <w:rPr>
          <w:szCs w:val="21"/>
          <w:kern w:val="0"/>
          <w:color w:val="000000"/>
        </w:rPr>
      </w:r>
    </w:p>
    <w:tbl>
      <w:tblPr>
        <w:jc w:val="center"/>
        <w:tblW w:w="9161" w:type="dxa"/>
        <w:tblInd w:type="dxa" w:w="-108"/>
        <w:tblBorders>
          <w:top w:color="auto" w:space="0" w:sz="12" w:val="single"/>
          <w:left w:color="auto" w:space="0" w:sz="12" w:val="single"/>
          <w:bottom w:color="auto" w:space="0" w:sz="12" w:val="single"/>
          <w:right w:color="auto" w:space="0" w:sz="12" w:val="single"/>
          <w:insideH w:color="auto" w:space="0" w:sz="6" w:val="single"/>
          <w:insideV w:color="auto" w:space="0" w:sz="6" w:val="single"/>
        </w:tblBorders>
        <w:tblLayout w:type="fixed"/>
        <w:tblCellMar>
          <w:top w:type="dxa" w:w="0"/>
          <w:bottom w:type="dxa" w:w="0"/>
          <w:left w:type="dxa" w:w="108"/>
          <w:right w:type="dxa" w:w="108"/>
        </w:tblCellMar>
      </w:tblPr>
      <w:tblGrid>
        <w:gridCol w:w="819"/>
        <w:gridCol w:w="820"/>
        <w:gridCol w:w="2606"/>
        <w:gridCol w:w="1290"/>
        <w:gridCol w:w="1813"/>
        <w:gridCol w:w="1813"/>
      </w:tblGrid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07"/>
        </w:trPr>
        <w:tc>
          <w:tcPr>
            <w:textDirection w:val="lrTb"/>
            <w:vAlign w:val="center"/>
            <w:tcW w:type="dxa" w:w="4245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经济分类科目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4916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基本支出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83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科目编码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26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科目名称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人员经费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公用经费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382"/>
        </w:trPr>
        <w:tc>
          <w:tcPr>
            <w:textDirection w:val="lrTb"/>
            <w:vAlign w:val="center"/>
            <w:tcW w:type="dxa" w:w="81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类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82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2606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bottom"/>
            <w:tcW w:type="dxa" w:w="1639"/>
            <w:gridSpan w:val="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Cs w:val="21"/>
                <w:b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Cs w:val="21"/>
                <w:b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331.99</w:t>
            </w:r>
            <w:r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294.45</w:t>
            </w:r>
            <w:r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37.54</w:t>
            </w:r>
            <w:r>
              <w:rPr>
                <w:szCs w:val="21"/>
                <w:b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301</w:t>
            </w:r>
            <w:r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工资福利支出</w:t>
            </w:r>
            <w:r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294.16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294.16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rFonts w:hint="eastAsia"/>
                <w:color w:val="000000"/>
              </w:rPr>
              <w:t xml:space="preserve">　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30101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基本工资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90.41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90.41</w:t>
            </w:r>
            <w:r>
              <w:rPr>
                <w:szCs w:val="21"/>
                <w:kern w:val="0"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30102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津贴补贴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17.33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17.33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30103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奖金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49.38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49.38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30106</w:t>
            </w:r>
            <w:r>
              <w:rPr>
                <w:sz w:val="22"/>
                <w:szCs w:val="22"/>
                <w:kern w:val="0"/>
                <w:lang w:bidi="ar"/>
                <w:rFonts w:cs="宋体" w:hAnsi="宋体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ind w:firstLine="220" w:firstLineChars="100"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伙食补助费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11.34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11.34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30107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widowControl/>
              <w:ind w:firstLine="220" w:firstLineChars="100"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绩效工资</w:t>
            </w: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53.63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53.63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30108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机关事业单位基本养老保险缴费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28.48</w:t>
            </w:r>
            <w:r>
              <w:rPr>
                <w:szCs w:val="21"/>
                <w:kern w:val="0"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30110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职工基本医疗保险缴费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16.85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30112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其他社会保障缴费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1.87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1.87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30113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住房公积金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24.87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302</w:t>
            </w:r>
            <w:r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商品和服务支出</w:t>
            </w:r>
            <w:r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37.54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rFonts w:hint="eastAsia"/>
                <w:color w:val="000000"/>
              </w:rPr>
              <w:t xml:space="preserve">　</w:t>
            </w: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lang w:eastAsia="zh-CN" w:val="en-US"/>
                <w:rFonts w:hint="eastAsia"/>
                <w:color w:val="000000"/>
              </w:rPr>
              <w:t xml:space="preserve">37.54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30201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ind w:firstLine="220" w:firstLineChars="100"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办公费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30211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ind w:firstLine="220" w:firstLineChars="100"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差旅费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3.3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3.3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kern w:val="0"/>
                <w:lang w:eastAsia="zh-CN" w:bidi="ar" w:val="en-US"/>
                <w:rFonts w:cs="宋体" w:hAnsi="宋体" w:eastAsia="宋体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30216</w:t>
            </w: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eastAsia="宋体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kern w:val="0"/>
                <w:lang w:bidi="ar" w:eastAsia="zh-CN"/>
                <w:rFonts w:ascii="宋体" w:eastAsia="宋体" w:hAnsi="宋体" w:hint="eastAsia" w:cs="宋体"/>
                <w:color w:val="000000"/>
              </w:rPr>
              <w:widowControl/>
              <w:ind w:firstLine="220" w:firstLineChars="100"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培训费</w:t>
            </w:r>
            <w:r>
              <w:rPr>
                <w:sz w:val="22"/>
                <w:szCs w:val="22"/>
                <w:kern w:val="0"/>
                <w:lang w:bidi="ar" w:eastAsia="zh-CN"/>
                <w:rFonts w:ascii="宋体" w:eastAsia="宋体" w:hAnsi="宋体" w:hint="eastAsia" w:cs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0.6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0.6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kern w:val="0"/>
                <w:lang w:eastAsia="zh-CN" w:bidi="ar" w:val="en-US"/>
                <w:rFonts w:cs="宋体" w:hAnsi="宋体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30217</w:t>
            </w: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widowControl/>
              <w:ind w:firstLine="220" w:firstLineChars="100"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公务接待费</w:t>
            </w: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0.5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0.5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kern w:val="0"/>
                <w:lang w:eastAsia="zh-CN" w:bidi="ar" w:val="en-US"/>
                <w:rFonts w:cs="宋体" w:hAnsi="宋体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hint="eastAsia" w:ascii="宋体"/>
                <w:color w:val="000000"/>
              </w:rPr>
              <w:t xml:space="preserve">30227</w:t>
            </w:r>
            <w:r>
              <w:rPr>
                <w:sz w:val="22"/>
                <w:szCs w:val="22"/>
                <w:kern w:val="0"/>
                <w:lang w:eastAsia="zh-CN" w:bidi="ar" w:val="en-US"/>
                <w:rFonts w:cs="宋体" w:hAnsi="宋体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widowControl/>
              <w:ind w:firstLine="220" w:firstLineChars="100"/>
              <w:jc w:val="start"/>
            </w:pP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  <w:t xml:space="preserve">委托业务费</w:t>
            </w:r>
            <w:r>
              <w:rPr>
                <w:sz w:val="22"/>
                <w:szCs w:val="22"/>
                <w:kern w:val="0"/>
                <w:lang w:bidi="ar" w:eastAsia="zh-CN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2.5</w:t>
            </w: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2.5</w:t>
            </w:r>
            <w:r>
              <w:rPr>
                <w:szCs w:val="21"/>
                <w:kern w:val="0"/>
                <w:lang w:eastAsia="zh-CN" w:val="en-US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30228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工会经费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2.88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2.88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30229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福利费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3.6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3.6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30231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公务用车运行维护费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3.6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3.6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30239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其他交通费用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14.86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14.86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30299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  其他商品和服务支出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2.7</w:t>
            </w: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2.7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303</w:t>
            </w:r>
            <w:r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b/>
                <w:kern w:val="0"/>
                <w:bCs/>
                <w:lang w:bidi="ar"/>
                <w:rFonts w:cs="宋体" w:hAnsi="宋体" w:hint="eastAsia" w:ascii="宋体"/>
                <w:color w:val="000000"/>
              </w:rPr>
              <w:t xml:space="preserve">对个人和家庭的补助</w:t>
            </w:r>
            <w:r>
              <w:rPr>
                <w:sz w:val="22"/>
                <w:szCs w:val="22"/>
                <w:b/>
                <w:bCs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b/>
                <w:kern w:val="0"/>
                <w:bCs/>
                <w:lang w:val="en-US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0.29</w:t>
            </w:r>
            <w:r>
              <w:rPr>
                <w:szCs w:val="21"/>
                <w:b/>
                <w:kern w:val="0"/>
                <w:bCs/>
                <w:lang w:val="en-US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lang w:eastAsia="zh-CN" w:val="en-US"/>
                <w:rFonts w:hint="eastAsia"/>
                <w:color w:val="000000"/>
              </w:rPr>
              <w:t xml:space="preserve">0.29</w:t>
            </w:r>
            <w:r>
              <w:rPr>
                <w:szCs w:val="21"/>
                <w:b/>
                <w:kern w:val="0"/>
                <w:bCs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b/>
                <w:kern w:val="0"/>
                <w:bCs/>
                <w:color w:val="000000"/>
              </w:rPr>
              <w:widowControl/>
              <w:jc w:val="center"/>
            </w:pPr>
            <w:r>
              <w:rPr>
                <w:szCs w:val="21"/>
                <w:b/>
                <w:kern w:val="0"/>
                <w:bCs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546"/>
        </w:trPr>
        <w:tc>
          <w:tcPr>
            <w:textDirection w:val="lrTb"/>
            <w:vAlign w:val="center"/>
            <w:tcW w:type="dxa" w:w="1639"/>
            <w:gridSpan w:val="2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30309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2606"/>
          </w:tcPr>
          <w:p>
            <w:pPr>
              <w:pStyle w:val="Normal"/>
              <w:rPr>
                <w:sz w:val="22"/>
                <w:szCs w:val="22"/>
                <w:rFonts w:cs="宋体" w:hAnsi="宋体" w:hint="eastAsia" w:ascii="宋体"/>
                <w:color w:val="000000"/>
              </w:rPr>
              <w:widowControl/>
              <w:jc w:val="start"/>
            </w:pPr>
            <w:r>
              <w:rPr>
                <w:sz w:val="22"/>
                <w:szCs w:val="22"/>
                <w:kern w:val="0"/>
                <w:lang w:bidi="ar"/>
                <w:rFonts w:cs="宋体" w:hAnsi="宋体" w:hint="eastAsia" w:ascii="宋体"/>
                <w:color w:val="000000"/>
              </w:rPr>
              <w:t xml:space="preserve">奖励金</w:t>
            </w:r>
            <w:r>
              <w:rPr>
                <w:sz w:val="22"/>
                <w:szCs w:val="22"/>
                <w:rFonts w:cs="宋体" w:hAnsi="宋体" w:hint="eastAsia" w:ascii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290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0.29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lang w:eastAsia="zh-CN" w:val="en-US"/>
                <w:rFonts w:hint="eastAsia"/>
                <w:color w:val="000000"/>
              </w:rPr>
              <w:t xml:space="preserve">0.29</w:t>
            </w:r>
            <w:r>
              <w:rPr>
                <w:szCs w:val="21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center"/>
            <w:tcW w:type="dxa" w:w="181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</w:tbl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eastAsia="楷体_GB2312"/>
          <w:color w:val="000000"/>
        </w:rPr>
        <w:ind w:firstLine="1205" w:firstLineChars="4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部门预算和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“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三公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”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经费预算公开表格（表7）</w:t>
      </w:r>
      <w:r>
        <w:rPr>
          <w:sz w:val="30"/>
          <w:szCs w:val="30"/>
          <w:b/>
          <w:kern w:val="0"/>
          <w:rFonts w:eastAsia="楷体_GB2312"/>
          <w:color w:val="000000"/>
        </w:rPr>
      </w:r>
    </w:p>
    <w:p>
      <w:pPr>
        <w:pStyle w:val="Normal"/>
        <w:rPr>
          <w:sz w:val="20"/>
          <w:szCs w:val="20"/>
          <w:kern w:val="0"/>
          <w:rFonts w:eastAsia="黑体"/>
          <w:color w:val="000000"/>
        </w:rPr>
        <w:spacing w:lineRule="exact" w:line="240"/>
      </w:pPr>
      <w:r>
        <w:rPr>
          <w:sz w:val="20"/>
          <w:szCs w:val="20"/>
          <w:kern w:val="0"/>
          <w:rFonts w:eastAsia="黑体"/>
          <w:color w:val="000000"/>
        </w:rPr>
      </w:r>
    </w:p>
    <w:p>
      <w:pPr>
        <w:pStyle w:val="Normal"/>
        <w:rPr>
          <w:sz w:val="40"/>
          <w:szCs w:val="40"/>
          <w:kern w:val="0"/>
          <w:rFonts w:eastAsia="方正小标宋简体"/>
          <w:color w:val="000000"/>
        </w:rPr>
        <w:jc w:val="center"/>
      </w:pP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一般公共预算</w:t>
      </w:r>
      <w:r>
        <w:rPr>
          <w:sz w:val="40"/>
          <w:szCs w:val="40"/>
          <w:kern w:val="0"/>
          <w:rFonts w:eastAsia="方正小标宋简体"/>
          <w:color w:val="000000"/>
        </w:rPr>
        <w:t xml:space="preserve">“</w:t>
      </w: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三公</w:t>
      </w:r>
      <w:r>
        <w:rPr>
          <w:sz w:val="40"/>
          <w:szCs w:val="40"/>
          <w:kern w:val="0"/>
          <w:rFonts w:eastAsia="方正小标宋简体"/>
          <w:color w:val="000000"/>
        </w:rPr>
        <w:t xml:space="preserve">”</w:t>
      </w: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经费支出表</w:t>
      </w:r>
      <w:r>
        <w:rPr>
          <w:sz w:val="40"/>
          <w:szCs w:val="40"/>
          <w:kern w:val="0"/>
          <w:rFonts w:eastAsia="方正小标宋简体"/>
          <w:color w:val="000000"/>
        </w:rPr>
      </w:r>
    </w:p>
    <w:p>
      <w:pPr>
        <w:pStyle w:val="Normal"/>
        <w:rPr>
          <w:szCs w:val="21"/>
          <w:kern w:val="0"/>
          <w:color w:val="000000"/>
        </w:rPr>
        <w:jc w:val="end"/>
      </w:pPr>
      <w:r>
        <w:rPr>
          <w:szCs w:val="21"/>
          <w:kern w:val="0"/>
          <w:rFonts w:hint="eastAsia"/>
          <w:color w:val="000000"/>
        </w:rPr>
        <w:t xml:space="preserve">单位：万元</w:t>
      </w:r>
      <w:r>
        <w:rPr>
          <w:szCs w:val="21"/>
          <w:kern w:val="0"/>
          <w:color w:val="000000"/>
        </w:rPr>
      </w:r>
    </w:p>
    <w:tbl>
      <w:tblPr>
        <w:jc w:val="center"/>
        <w:tblW w:w="9459" w:type="dxa"/>
        <w:tblInd w:type="dxa" w:w="-108"/>
        <w:tblBorders>
          <w:top w:color="auto" w:space="0" w:sz="12" w:val="single"/>
          <w:left w:color="auto" w:space="0" w:sz="12" w:val="single"/>
          <w:bottom w:color="auto" w:space="0" w:sz="12" w:val="single"/>
          <w:right w:color="auto" w:space="0" w:sz="12" w:val="single"/>
          <w:insideH w:color="auto" w:space="0" w:sz="6" w:val="single"/>
          <w:insideV w:color="auto" w:space="0" w:sz="6" w:val="single"/>
        </w:tblBorders>
        <w:tblLayout w:type="fixed"/>
        <w:tblCellMar>
          <w:top w:type="dxa" w:w="0"/>
          <w:bottom w:type="dxa" w:w="0"/>
          <w:left w:type="dxa" w:w="108"/>
          <w:right w:type="dxa" w:w="108"/>
        </w:tblCellMar>
      </w:tblPr>
      <w:tblGrid>
        <w:gridCol w:w="619"/>
        <w:gridCol w:w="820"/>
        <w:gridCol w:w="660"/>
        <w:gridCol w:w="1020"/>
        <w:gridCol w:w="940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48"/>
        </w:trPr>
        <w:tc>
          <w:tcPr>
            <w:textDirection w:val="lrTb"/>
            <w:vAlign w:val="center"/>
            <w:tcW w:type="dxa" w:w="4779"/>
            <w:gridSpan w:val="6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上年预算数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4680"/>
            <w:gridSpan w:val="6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本年预算数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440"/>
        </w:trPr>
        <w:tc>
          <w:tcPr>
            <w:textDirection w:val="lrTb"/>
            <w:vMerge w:val="restart"/>
            <w:vAlign w:val="center"/>
            <w:tcW w:type="dxa" w:w="619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82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因公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出国（境）费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620"/>
            <w:gridSpan w:val="3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公务用车购置及运行费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72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公务接待费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647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756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因公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出国（境）费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2520"/>
            <w:gridSpan w:val="3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公务用车购置及运行费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757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公务接待费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630"/>
        </w:trPr>
        <w:tc>
          <w:tcPr>
            <w:textDirection w:val="lrTb"/>
            <w:vMerge w:val="continue"/>
            <w:vAlign w:val="center"/>
            <w:tcW w:type="dxa" w:w="619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start"/>
            </w:pP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82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start"/>
            </w:pP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66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小计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02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公务用车购置费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4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公务用车运行费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72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start"/>
            </w:pP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647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start"/>
            </w:pP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756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start"/>
            </w:pP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68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小计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公务用车购置费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4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公务用车运行费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757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start"/>
            </w:pPr>
            <w:r>
              <w:rPr>
                <w:sz w:val="18"/>
                <w:szCs w:val="18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atLeast" w:val="630"/>
        </w:trPr>
        <w:tc>
          <w:tcPr>
            <w:textDirection w:val="lrTb"/>
            <w:vAlign w:val="bottom"/>
            <w:tcW w:type="dxa" w:w="619"/>
          </w:tcPr>
          <w:p>
            <w:pPr>
              <w:pStyle w:val="Normal"/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18"/>
                <w:szCs w:val="18"/>
                <w:kern w:val="0"/>
                <w:lang w:eastAsia="zh-CN" w:val="en-US"/>
                <w:rFonts w:hint="eastAsia"/>
                <w:color w:val="000000"/>
              </w:rPr>
              <w:t xml:space="preserve">5.7</w:t>
            </w:r>
            <w:r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bottom"/>
            <w:tcW w:type="dxa" w:w="820"/>
          </w:tcPr>
          <w:p>
            <w:pPr>
              <w:pStyle w:val="Normal"/>
              <w:rPr>
                <w:sz w:val="18"/>
                <w:szCs w:val="18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0</w:t>
            </w:r>
            <w:r>
              <w:rPr>
                <w:sz w:val="18"/>
                <w:szCs w:val="18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bottom"/>
            <w:tcW w:type="dxa" w:w="66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0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1020"/>
          </w:tcPr>
          <w:p>
            <w:pPr>
              <w:pStyle w:val="Normal"/>
              <w:rPr>
                <w:sz w:val="18"/>
                <w:szCs w:val="18"/>
                <w:kern w:val="0"/>
                <w:rFonts w:hint="eastAsia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0</w:t>
            </w:r>
            <w:r>
              <w:rPr>
                <w:sz w:val="18"/>
                <w:szCs w:val="18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bottom"/>
            <w:tcW w:type="dxa" w:w="940"/>
          </w:tcPr>
          <w:p>
            <w:pPr>
              <w:pStyle w:val="Normal"/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18"/>
                <w:szCs w:val="18"/>
                <w:kern w:val="0"/>
                <w:lang w:eastAsia="zh-CN" w:val="en-US"/>
                <w:rFonts w:hint="eastAsia"/>
                <w:color w:val="000000"/>
              </w:rPr>
              <w:t xml:space="preserve">3.6</w:t>
            </w:r>
            <w:r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bottom"/>
            <w:tcW w:type="dxa" w:w="720"/>
          </w:tcPr>
          <w:p>
            <w:pPr>
              <w:pStyle w:val="Normal"/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  <w:widowControl/>
              <w:ind w:right="0" w:rightChars="0" w:left="0" w:leftChars="0"/>
              <w:jc w:val="center"/>
            </w:pPr>
            <w:r>
              <w:rPr>
                <w:sz w:val="18"/>
                <w:szCs w:val="18"/>
                <w:kern w:val="0"/>
                <w:lang w:eastAsia="zh-CN" w:val="en-US"/>
                <w:rFonts w:hint="eastAsia"/>
                <w:color w:val="000000"/>
              </w:rPr>
              <w:t xml:space="preserve">2.1</w:t>
            </w:r>
            <w:r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bottom"/>
            <w:tcW w:type="dxa" w:w="647"/>
          </w:tcPr>
          <w:p>
            <w:pPr>
              <w:pStyle w:val="Normal"/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lang w:eastAsia="zh-CN" w:val="en-US"/>
                <w:rFonts w:hint="eastAsia"/>
                <w:color w:val="000000"/>
              </w:rPr>
              <w:t xml:space="preserve">4.1</w:t>
            </w:r>
            <w:r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bottom"/>
            <w:tcW w:type="dxa" w:w="756"/>
          </w:tcPr>
          <w:p>
            <w:pPr>
              <w:pStyle w:val="Normal"/>
              <w:rPr>
                <w:sz w:val="18"/>
                <w:szCs w:val="18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0</w:t>
            </w:r>
            <w:r>
              <w:rPr>
                <w:sz w:val="18"/>
                <w:szCs w:val="18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bottom"/>
            <w:tcW w:type="dxa" w:w="680"/>
          </w:tcPr>
          <w:p>
            <w:pPr>
              <w:pStyle w:val="Normal"/>
              <w:rPr>
                <w:sz w:val="18"/>
                <w:szCs w:val="18"/>
                <w:kern w:val="0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0</w:t>
            </w:r>
            <w:r>
              <w:rPr>
                <w:sz w:val="18"/>
                <w:szCs w:val="18"/>
                <w:kern w:val="0"/>
                <w:color w:val="000000"/>
              </w:rPr>
            </w:r>
          </w:p>
        </w:tc>
        <w:tc>
          <w:tcPr>
            <w:textDirection w:val="lrTb"/>
            <w:vAlign w:val="bottom"/>
            <w:tcW w:type="dxa" w:w="900"/>
          </w:tcPr>
          <w:p>
            <w:pPr>
              <w:pStyle w:val="Normal"/>
              <w:rPr>
                <w:sz w:val="18"/>
                <w:szCs w:val="18"/>
                <w:kern w:val="0"/>
                <w:rFonts w:hint="eastAsia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rFonts w:hint="eastAsia"/>
                <w:color w:val="000000"/>
              </w:rPr>
              <w:t xml:space="preserve">0</w:t>
            </w:r>
            <w:r>
              <w:rPr>
                <w:sz w:val="18"/>
                <w:szCs w:val="18"/>
                <w:kern w:val="0"/>
                <w:rFonts w:hint="eastAsia"/>
                <w:color w:val="000000"/>
              </w:rPr>
            </w:r>
          </w:p>
        </w:tc>
        <w:tc>
          <w:tcPr>
            <w:textDirection w:val="lrTb"/>
            <w:vAlign w:val="bottom"/>
            <w:tcW w:type="dxa" w:w="940"/>
          </w:tcPr>
          <w:p>
            <w:pPr>
              <w:pStyle w:val="Normal"/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lang w:eastAsia="zh-CN" w:val="en-US"/>
                <w:rFonts w:hint="eastAsia"/>
                <w:color w:val="000000"/>
              </w:rPr>
              <w:t xml:space="preserve">3.6</w:t>
            </w:r>
            <w:r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</w:r>
          </w:p>
        </w:tc>
        <w:tc>
          <w:tcPr>
            <w:textDirection w:val="lrTb"/>
            <w:vAlign w:val="bottom"/>
            <w:tcW w:type="dxa" w:w="757"/>
          </w:tcPr>
          <w:p>
            <w:pPr>
              <w:pStyle w:val="Normal"/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  <w:widowControl/>
              <w:jc w:val="center"/>
            </w:pPr>
            <w:r>
              <w:rPr>
                <w:sz w:val="18"/>
                <w:szCs w:val="18"/>
                <w:kern w:val="0"/>
                <w:lang w:eastAsia="zh-CN" w:val="en-US"/>
                <w:rFonts w:hint="eastAsia"/>
                <w:color w:val="000000"/>
              </w:rPr>
              <w:t xml:space="preserve">0.5</w:t>
            </w:r>
            <w:r>
              <w:rPr>
                <w:sz w:val="18"/>
                <w:szCs w:val="18"/>
                <w:kern w:val="0"/>
                <w:lang w:eastAsia="zh-CN" w:val="en-US"/>
                <w:rFonts w:eastAsia="宋体"/>
                <w:color w:val="000000"/>
              </w:rPr>
            </w:r>
          </w:p>
        </w:tc>
      </w:tr>
    </w:tbl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UserStyle_0"/>
        <w:rPr>
          <w:sz w:val="30"/>
          <w:szCs w:val="30"/>
          <w:b/>
          <w:kern w:val="0"/>
          <w:rFonts w:hint="eastAsia" w:eastAsia="楷体_GB2312"/>
          <w:color w:val="000000"/>
        </w:rPr>
      </w:pPr>
      <w:r>
        <w:rPr>
          <w:sz w:val="30"/>
          <w:szCs w:val="30"/>
          <w:b/>
          <w:kern w:val="0"/>
          <w:rFonts w:hint="eastAsia" w:eastAsia="楷体_GB2312"/>
          <w:color w:val="000000"/>
        </w:rPr>
      </w:r>
    </w:p>
    <w:p>
      <w:pPr>
        <w:pStyle w:val="Normal"/>
        <w:rPr>
          <w:sz w:val="30"/>
          <w:szCs w:val="30"/>
          <w:b/>
          <w:kern w:val="0"/>
          <w:rFonts w:eastAsia="楷体_GB2312"/>
          <w:color w:val="000000"/>
        </w:rPr>
        <w:ind w:firstLine="1807" w:firstLineChars="600"/>
      </w:pP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部门预算和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“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三公</w:t>
      </w:r>
      <w:r>
        <w:rPr>
          <w:sz w:val="30"/>
          <w:szCs w:val="30"/>
          <w:b/>
          <w:kern w:val="0"/>
          <w:rFonts w:eastAsia="楷体_GB2312"/>
          <w:color w:val="000000"/>
        </w:rPr>
        <w:t xml:space="preserve">”</w:t>
      </w:r>
      <w:r>
        <w:rPr>
          <w:sz w:val="30"/>
          <w:szCs w:val="30"/>
          <w:b/>
          <w:kern w:val="0"/>
          <w:rFonts w:hint="eastAsia" w:eastAsia="楷体_GB2312"/>
          <w:color w:val="000000"/>
        </w:rPr>
        <w:t xml:space="preserve">经费预算公开表格（表8）</w:t>
      </w:r>
      <w:r>
        <w:rPr>
          <w:sz w:val="30"/>
          <w:szCs w:val="30"/>
          <w:b/>
          <w:kern w:val="0"/>
          <w:rFonts w:eastAsia="楷体_GB2312"/>
          <w:color w:val="000000"/>
        </w:rPr>
      </w:r>
    </w:p>
    <w:p>
      <w:pPr>
        <w:pStyle w:val="Normal"/>
        <w:rPr>
          <w:sz w:val="20"/>
          <w:szCs w:val="20"/>
          <w:kern w:val="0"/>
          <w:rFonts w:eastAsia="黑体"/>
          <w:color w:val="000000"/>
        </w:rPr>
        <w:spacing w:lineRule="exact" w:line="240"/>
      </w:pPr>
      <w:r>
        <w:rPr>
          <w:sz w:val="20"/>
          <w:szCs w:val="20"/>
          <w:kern w:val="0"/>
          <w:rFonts w:eastAsia="黑体"/>
          <w:color w:val="000000"/>
        </w:rPr>
      </w:r>
    </w:p>
    <w:p>
      <w:pPr>
        <w:pStyle w:val="Normal"/>
        <w:rPr>
          <w:sz w:val="40"/>
          <w:szCs w:val="40"/>
          <w:kern w:val="0"/>
          <w:rFonts w:eastAsia="方正小标宋简体"/>
          <w:color w:val="000000"/>
        </w:rPr>
        <w:jc w:val="center"/>
      </w:pPr>
      <w:r>
        <w:rPr>
          <w:sz w:val="40"/>
          <w:szCs w:val="40"/>
          <w:kern w:val="0"/>
          <w:rFonts w:hint="eastAsia" w:eastAsia="方正小标宋简体"/>
          <w:color w:val="000000"/>
        </w:rPr>
        <w:t xml:space="preserve">政府性基金预算支出表</w:t>
      </w:r>
      <w:r>
        <w:rPr>
          <w:sz w:val="40"/>
          <w:szCs w:val="40"/>
          <w:kern w:val="0"/>
          <w:rFonts w:eastAsia="方正小标宋简体"/>
          <w:color w:val="000000"/>
        </w:rPr>
      </w:r>
    </w:p>
    <w:p>
      <w:pPr>
        <w:pStyle w:val="Normal"/>
        <w:rPr>
          <w:sz w:val="40"/>
          <w:szCs w:val="40"/>
          <w:kern w:val="0"/>
          <w:rFonts w:eastAsia="方正小标宋简体"/>
          <w:color w:val="000000"/>
        </w:rPr>
        <w:spacing w:lineRule="exact" w:line="240"/>
        <w:jc w:val="center"/>
      </w:pPr>
      <w:r>
        <w:rPr>
          <w:sz w:val="40"/>
          <w:szCs w:val="40"/>
          <w:kern w:val="0"/>
          <w:rFonts w:eastAsia="方正小标宋简体"/>
          <w:color w:val="000000"/>
        </w:rPr>
      </w:r>
    </w:p>
    <w:p>
      <w:pPr>
        <w:pStyle w:val="Normal"/>
        <w:rPr>
          <w:szCs w:val="21"/>
          <w:kern w:val="0"/>
          <w:color w:val="000000"/>
        </w:rPr>
        <w:wordWrap w:val="off"/>
        <w:jc w:val="end"/>
      </w:pPr>
      <w:r>
        <w:rPr>
          <w:szCs w:val="21"/>
          <w:kern w:val="0"/>
          <w:rFonts w:hint="eastAsia"/>
          <w:color w:val="000000"/>
        </w:rPr>
        <w:t xml:space="preserve">单位：万元</w:t>
      </w:r>
      <w:r>
        <w:rPr>
          <w:szCs w:val="21"/>
          <w:kern w:val="0"/>
          <w:color w:val="000000"/>
        </w:rPr>
        <w:t xml:space="preserve">  </w:t>
      </w:r>
      <w:r>
        <w:rPr>
          <w:szCs w:val="21"/>
          <w:kern w:val="0"/>
          <w:color w:val="000000"/>
        </w:rPr>
      </w:r>
    </w:p>
    <w:tbl>
      <w:tblPr>
        <w:jc w:val="center"/>
        <w:tblW w:w="9012" w:type="dxa"/>
        <w:tblInd w:type="dxa" w:w="-108"/>
        <w:tblBorders>
          <w:top w:color="auto" w:space="0" w:sz="12" w:val="single"/>
          <w:left w:color="auto" w:space="0" w:sz="12" w:val="single"/>
          <w:bottom w:color="auto" w:space="0" w:sz="12" w:val="single"/>
          <w:right w:color="auto" w:space="0" w:sz="12" w:val="single"/>
          <w:insideH w:color="auto" w:space="0" w:sz="6" w:val="single"/>
          <w:insideV w:color="auto" w:space="0" w:sz="6" w:val="single"/>
        </w:tblBorders>
        <w:tblLayout w:type="fixed"/>
        <w:tblCellMar>
          <w:top w:type="dxa" w:w="0"/>
          <w:bottom w:type="dxa" w:w="0"/>
          <w:left w:type="dxa" w:w="108"/>
          <w:right w:type="dxa" w:w="108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5465"/>
            <w:gridSpan w:val="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功能分类科目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547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本年政府性基金预算财政拨款支出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461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科目编码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科目名称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基本支出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restart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项目支出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460"/>
        </w:trPr>
        <w:tc>
          <w:tcPr>
            <w:textDirection w:val="lrTb"/>
            <w:vAlign w:val="center"/>
            <w:tcW w:type="dxa" w:w="747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类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748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款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749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项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start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Merge w:val="continue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 w:val="28"/>
                <w:szCs w:val="28"/>
                <w:kern w:val="0"/>
                <w:rFonts w:ascii="宋体" w:eastAsia="仿宋_GB2312" w:hAnsi="宋体" w:hint="eastAsia" w:cs="宋体"/>
              </w:rPr>
              <w:t xml:space="preserve">我单位无此项指标</w:t>
            </w: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color w:val="000000"/>
              </w:rPr>
            </w:r>
          </w:p>
        </w:tc>
      </w:tr>
      <w:tr>
        <w:tblPrEx>
          <w:tblBorders>
            <w:top w:color="auto" w:space="0" w:sz="12" w:val="single"/>
            <w:left w:color="auto" w:space="0" w:sz="12" w:val="single"/>
            <w:bottom w:color="auto" w:space="0" w:sz="12" w:val="single"/>
            <w:right w:color="auto" w:space="0" w:sz="12" w:val="single"/>
            <w:insideH w:color="auto" w:space="0" w:sz="6" w:val="single"/>
            <w:insideV w:color="auto" w:space="0" w:sz="6" w:val="single"/>
          </w:tblBorders>
          <w:tblCellMar>
            <w:top w:type="dxa" w:w="0"/>
            <w:left w:type="dxa" w:w="108"/>
            <w:bottom w:type="dxa" w:w="0"/>
            <w:right w:type="dxa" w:w="108"/>
          </w:tblCellMar>
        </w:tblPrEx>
        <w:trPr>
          <w:trHeight w:hRule="exact" w:val="567"/>
        </w:trPr>
        <w:tc>
          <w:tcPr>
            <w:textDirection w:val="lrTb"/>
            <w:vAlign w:val="center"/>
            <w:tcW w:type="dxa" w:w="2244"/>
            <w:gridSpan w:val="3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322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合计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901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362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  <w:tc>
          <w:tcPr>
            <w:textDirection w:val="lrTb"/>
            <w:vAlign w:val="center"/>
            <w:tcW w:type="dxa" w:w="1284"/>
          </w:tcPr>
          <w:p>
            <w:pPr>
              <w:pStyle w:val="Normal"/>
              <w:rPr>
                <w:szCs w:val="21"/>
                <w:kern w:val="0"/>
                <w:color w:val="000000"/>
              </w:rPr>
              <w:widowControl/>
              <w:jc w:val="center"/>
            </w:pPr>
            <w:r>
              <w:rPr>
                <w:szCs w:val="21"/>
                <w:kern w:val="0"/>
                <w:rFonts w:hint="eastAsia"/>
                <w:color w:val="000000"/>
              </w:rPr>
              <w:t xml:space="preserve">　</w:t>
            </w:r>
            <w:r>
              <w:rPr>
                <w:szCs w:val="21"/>
                <w:kern w:val="0"/>
                <w:color w:val="000000"/>
              </w:rPr>
            </w:r>
          </w:p>
        </w:tc>
      </w:tr>
    </w:tbl>
    <w:p>
      <w:pPr>
        <w:pStyle w:val="Normal"/>
        <w:ind w:firstLine="0" w:firstLineChars="0" w:leftChars="0" w:left="0" w:rightChars="0" w:right="0"/>
        <w:spacing w:before="0" w:lineRule="auto" w:after="0" w:line="240"/>
        <w:jc w:val="center"/>
      </w:pPr>
      <w:r/>
    </w:p>
    <w:p>
      <w:pPr>
        <w:pStyle w:val="UserStyle_0"/>
      </w:pPr>
      <w:r/>
    </w:p>
    <w:p>
      <w:pPr>
        <w:pStyle w:val="Normal"/>
      </w:pPr>
      <w:r/>
    </w:p>
    <w:p>
      <w:pPr>
        <w:pStyle w:val="Normal"/>
      </w:pPr>
      <w:r/>
    </w:p>
    <w:sectPr>
      <w:type w:val="nextPage"/>
      <w:pgSz w:h="16839" w:w="11906"/>
      <w:pgMar w:footer="992" w:header="851" w:gutter="0" w:left="1800" w:top="1440" w:right="1800" w:bottom="1440"/>
    </w:sectPr>
  </w:body>
</w:document>
</file>

<file path=word/fontTable.xml><?xml version="1.0" encoding="utf-8"?>
<w:fonts xmlns:w="http://schemas.openxmlformats.org/wordprocessingml/2006/main">
  <w:font w:name="Calibri">
    <w:charset w:val="00"/>
    <w:family w:val="swiss"/>
    <w:panose1 w:val="020f0502020204030204"/>
    <w:pitch w:val="default"/>
    <w:sig w:usb0="E4002EFF" w:usb1="C200247B" w:usb2="00000009" w:usb3="00000000" w:csb0="200001FF" w:csb1="00000000"/>
  </w:font>
  <w:font w:name="宋体">
    <w:charset w:val="86"/>
    <w:family w:val="auto"/>
    <w:panose1 w:val="02010600030101010101"/>
    <w:pitch w:val="default"/>
    <w:sig w:usb0="00000203" w:usb1="288F0000" w:usb2="00000006" w:usb3="00000000" w:csb0="00040001" w:csb1="00000000"/>
  </w:font>
  <w:font w:name="Times New Roman">
    <w:charset w:val="00"/>
    <w:family w:val="auto"/>
    <w:panose1 w:val="02020603050405020304"/>
    <w:pitch w:val="default"/>
    <w:sig w:usb0="E0002EFF" w:usb1="C000785B" w:usb2="00000009" w:usb3="00000000" w:csb0="400001FF" w:csb1="FFFF0000"/>
  </w:font>
  <w:font w:name="等线">
    <w:charset w:val="86"/>
    <w:family w:val="auto"/>
    <w:panose1 w:val="02010600030101010101"/>
    <w:pitch w:val="default"/>
    <w:sig w:usb0="A00002BF" w:usb1="38CF7CFA" w:usb2="00000016" w:usb3="00000000" w:csb0="0004000F" w:csb1="00000000"/>
  </w:font>
  <w:font w:name="Times New Roman">
    <w:charset w:val="86"/>
    <w:family w:val="auto"/>
    <w:panose1 w:val="02020603050405020304"/>
    <w:pitch w:val="default"/>
    <w:sig w:usb0="E0002EFF" w:usb1="C000785B" w:usb2="00000009" w:usb3="00000000" w:csb0="400001FF" w:csb1="FFFF0000"/>
  </w:font>
  <w:font w:name="仿宋">
    <w:charset w:val="86"/>
    <w:family w:val="auto"/>
    <w:panose1 w:val="02010609060101010101"/>
    <w:pitch w:val="default"/>
    <w:sig w:usb0="800002BF" w:usb1="38CF7CFA" w:usb2="00000016" w:usb3="00000000" w:csb0="00040001" w:csb1="00000000"/>
  </w:font>
  <w:font w:name="宋体">
    <w:charset w:val="7a"/>
    <w:family w:val="auto"/>
    <w:panose1 w:val="02010600030101010101"/>
    <w:pitch w:val="default"/>
    <w:sig w:usb0="00000203" w:usb1="288F0000" w:usb2="00000006" w:usb3="00000000" w:csb0="00040001" w:csb1="00000000"/>
  </w:font>
  <w:font w:name="黑体">
    <w:charset w:val="86"/>
    <w:family w:val="auto"/>
    <w:panose1 w:val="02010609060101010101"/>
    <w:pitch w:val="default"/>
    <w:sig w:usb0="800002BF" w:usb1="38CF7CFA" w:usb2="00000016" w:usb3="00000000" w:csb0="00040001" w:csb1="00000000"/>
  </w:font>
  <w:font w:name="仿宋_GB2312">
    <w:altName w:val="仿宋"/>
    <w:charset w:val="86"/>
    <w:family w:val="modern"/>
    <w:panose1 w:val="02010609030101010101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anose1 w:val="02010609030101010101"/>
    <w:pitch w:val="default"/>
    <w:sig w:usb0="00000000" w:usb1="00000000" w:usb2="00000010" w:usb3="00000000" w:csb0="00040000" w:csb1="00000000"/>
  </w:font>
  <w:font w:name="方正小标宋简体">
    <w:charset w:val="86"/>
    <w:family w:val="script"/>
    <w:panose1 w:val="02000000000000000000"/>
    <w:pitch w:val="default"/>
    <w:sig w:usb0="00000001" w:usb1="08000000" w:usb2="00000000" w:usb3="00000000" w:csb0="00040000" w:csb1="00000000"/>
  </w:font>
</w:fonts>
</file>

<file path=word/settings.xml><?xml version="1.0" encoding="utf-8"?>
<w:settings xmlns:w="http://schemas.openxmlformats.org/wordprocessingml/2006/main">
  <w:zoom w:percent="100"/>
  <w:stylePaneFormatFilter w:val="5024"/>
  <w:defaultTabStop w:val="420"/>
  <w:displayHorizontalDrawingGridEvery w:val="0"/>
  <w:displayVerticalDrawingGridEvery w:val="2"/>
  <w:footnotePr w:pos="docEnd" w:numStart="1"/>
  <w:compat>
    <w:compatSetting w:name="compatibilityMode" w:uri="http://schemas.microsoft.com/office/word" w:val="11"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adjustLineHeightInTable/>
    <w:balanceSingleByteDoubleByteWidth/>
    <w:doNotExpandShiftReturn/>
    <w:doNotLeaveBackslashAlone/>
    <w:ulTrailSpac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Calibri" w:eastAsia="宋体" w:hAnsi="Calibri" w:cs="Times New Roman"/>
        <w:lang w:val="en-US"/>
      </w:rPr>
    </w:rPrDefault>
    <w:pPrDefault/>
  </w:docDefaults>
  <w:style w:type="paragraph" w:styleId="Normal">
    <w:name w:val="Normal"/>
    <w:aliases w:val="正文"/>
    <w:next w:val="UserStyle_0"/>
    <w:link w:val="Normal"/>
    <w:uiPriority w:val="99"/>
    <w:unhideWhenUsed/>
    <w:pPr>
      <w:widowControl w:val="off"/>
      <w:keepNext w:val="off"/>
      <w:keepLines w:val="off"/>
      <w:suppressLineNumbers w:val="off"/>
      <w:ind w:right="0" w:left="0"/>
      <w:spacing w:after="0" w:afterAutospacing="0" w:before="0" w:beforeAutospacing="0"/>
      <w:jc w:val="both"/>
    </w:pPr>
    <w:rPr>
      <w:sz w:val="21"/>
      <w:szCs w:val="21"/>
      <w:kern w:val="2"/>
      <w:lang w:eastAsia="zh-CN" w:bidi="ar" w:val="en-US"/>
      <w:rFonts w:cs="Times New Roman" w:hAnsi="等线" w:eastAsia="等线" w:ascii="等线"/>
    </w:rPr>
  </w:style>
  <w:style w:type="character" w:styleId="NormalCharacter">
    <w:name w:val="默认段落字体"/>
    <w:next w:val="NormalCharacter"/>
    <w:link w:val="Normal"/>
    <w:qFormat/>
    <w:semiHidden/>
  </w:style>
  <w:style w:type="table" w:styleId="TableNormal">
    <w:name w:val="普通表格"/>
    <w:next w:val="TableNormal"/>
    <w:link w:val="Normal"/>
    <w:qFormat/>
    <w:semiHidden/>
    <w:tblPr>
      <w:tblW w:w="0" w:type="auto"/>
      <w:tblLayout w:type="fixed"/>
      <w:tblCellMar>
        <w:top w:type="dxa" w:w="0"/>
        <w:bottom w:type="dxa" w:w="0"/>
        <w:left w:type="dxa" w:w="108"/>
        <w:right w:type="dxa" w:w="108"/>
      </w:tblCellMar>
    </w:tblPr>
    <w:tblGrid/>
  </w:style>
  <w:style w:type="paragraph" w:styleId="UserStyle_0">
    <w:name w:val="BodyText1I21"/>
    <w:basedOn w:val="UserStyle_1"/>
    <w:next w:val="UserStyle_0"/>
    <w:link w:val="Normal"/>
    <w:uiPriority w:val="99"/>
    <w:qFormat/>
    <w:pPr>
      <w:ind w:firstLine="420" w:firstLineChars="200"/>
    </w:pPr>
    <w:rPr>
      <w:sz w:val="32"/>
      <w:szCs w:val="44"/>
      <w:b/>
      <w:kern w:val="44"/>
      <w:bCs/>
    </w:rPr>
  </w:style>
  <w:style w:type="paragraph" w:styleId="UserStyle_1">
    <w:name w:val="BodyTextIndent1"/>
    <w:basedOn w:val="Normal"/>
    <w:next w:val="UserStyle_1"/>
    <w:link w:val="Normal"/>
    <w:uiPriority w:val="99"/>
    <w:qFormat/>
    <w:pPr>
      <w:ind w:left="420" w:leftChars="200"/>
      <w:spacing w:after="120"/>
    </w:pPr>
    <w:rPr>
      <w:sz w:val="20"/>
      <w:kern w:val="0"/>
    </w:rPr>
  </w:style>
  <w:style w:type="paragraph" w:styleId="Footer">
    <w:name w:val="页脚"/>
    <w:basedOn w:val="Normal"/>
    <w:next w:val="Footer"/>
    <w:link w:val="Normal"/>
    <w:qFormat/>
    <w:pPr>
      <w:tabs>
        <w:tab w:pos="4153" w:leader="none" w:val="center"/>
        <w:tab w:pos="8306" w:leader="none" w:val="right"/>
      </w:tabs>
      <w:ind w:firstLine="200" w:firstLineChars="200"/>
      <w:spacing w:lineRule="exact" w:line="600"/>
      <w:jc w:val="start"/>
    </w:pPr>
    <w:rPr>
      <w:sz w:val="18"/>
      <w:szCs w:val="18"/>
      <w:kern w:val="0"/>
      <w:rFonts w:hAnsi="Times New Roman" w:eastAsia="仿宋" w:ascii="Times New Roman"/>
    </w:rPr>
  </w:style>
  <w:style w:type="paragraph" w:styleId="Header">
    <w:name w:val="页眉"/>
    <w:basedOn w:val="Normal"/>
    <w:next w:val="Header"/>
    <w:link w:val="Normal"/>
    <w:qFormat/>
    <w:pPr>
      <w:tabs>
        <w:tab w:pos="4153" w:leader="none" w:val="center"/>
        <w:tab w:pos="8306" w:leader="none" w:val="right"/>
      </w:tabs>
      <w:ind w:firstLine="200" w:firstLineChars="200"/>
      <w:spacing w:lineRule="exact" w:line="600"/>
      <w:jc w:val="center"/>
      <w:pBdr>
        <w:bottom w:color="auto" w:space="1" w:sz="6" w:val="single"/>
      </w:pBdr>
    </w:pPr>
    <w:rPr>
      <w:sz w:val="18"/>
      <w:szCs w:val="18"/>
      <w:kern w:val="0"/>
      <w:rFonts w:hAnsi="Times New Roman" w:eastAsia="仿宋" w:ascii="Times New Roman"/>
    </w:rPr>
  </w:style>
  <w:style w:type="paragraph" w:styleId="TOC1">
    <w:name w:val="目录 1"/>
    <w:basedOn w:val="Normal"/>
    <w:next w:val="Normal"/>
    <w:link w:val="Normal"/>
  </w:style>
  <w:style w:type="paragraph" w:styleId="TOC2">
    <w:name w:val="目录 2"/>
    <w:basedOn w:val="Normal"/>
    <w:next w:val="Normal"/>
    <w:link w:val="Normal"/>
    <w:pPr>
      <w:ind w:left="420" w:leftChars="200"/>
    </w:pPr>
  </w:style>
  <w:style w:type="paragraph" w:styleId="HtmlNormal">
    <w:name w:val="普通(网站)"/>
    <w:basedOn w:val="Normal"/>
    <w:next w:val="HtmlNormal"/>
    <w:link w:val="Normal"/>
    <w:qFormat/>
    <w:unhideWhenUsed/>
    <w:pPr>
      <w:widowControl/>
      <w:spacing w:after="100" w:afterAutospacing="1" w:before="100" w:beforeAutospacing="1"/>
      <w:jc w:val="start"/>
    </w:pPr>
    <w:rPr>
      <w:sz w:val="24"/>
      <w:kern w:val="0"/>
      <w:rFonts w:cs="宋体" w:hAnsi="宋体" w:ascii="宋体"/>
    </w:rPr>
  </w:style>
  <w:style w:type="character" w:styleId="Hyperlink">
    <w:name w:val="超链接"/>
    <w:basedOn w:val="NormalCharacter"/>
    <w:next w:val="Hyperlink"/>
    <w:link w:val="Normal"/>
    <w:qFormat/>
    <w:rPr>
      <w:u w:val="single"/>
      <w:color w:val="0000ff"/>
    </w:rPr>
  </w:style>
  <w:style w:type="character" w:styleId="UserStyle_2">
    <w:name w:val="15"/>
    <w:basedOn w:val="NormalCharacter"/>
    <w:next w:val="UserStyle_2"/>
    <w:link w:val="Normal"/>
    <w:qFormat/>
    <w:rPr>
      <w:b/>
      <w:rFonts w:cs="Times New Roman" w:hAnsi="Times New Roman" w:ascii="Times New Roman"/>
    </w:rPr>
  </w:style>
  <w:style w:type="paragraph" w:styleId="UserStyle_3">
    <w:name w:val="普通(网站) Char"/>
    <w:basedOn w:val="Normal"/>
    <w:next w:val="UserStyle_3"/>
    <w:link w:val="Normal"/>
    <w:qFormat/>
    <w:pPr>
      <w:widowControl/>
      <w:keepNext w:val="off"/>
      <w:keepLines w:val="off"/>
      <w:suppressLineNumbers w:val="off"/>
      <w:ind w:right="0" w:left="0"/>
      <w:spacing w:after="100" w:afterAutospacing="1" w:before="100" w:beforeAutospacing="1"/>
      <w:jc w:val="start"/>
    </w:pPr>
    <w:rPr>
      <w:sz w:val="24"/>
      <w:szCs w:val="24"/>
      <w:kern w:val="0"/>
      <w:lang w:eastAsia="zh-CN" w:bidi="ar" w:val="en-US"/>
      <w:rFonts w:ascii="宋体" w:eastAsia="宋体" w:hAnsi="宋体" w:hint="eastAsia" w:cs="宋体"/>
    </w:rPr>
  </w:style>
  <w:style w:type="character" w:styleId="UserStyle_4">
    <w:name w:val="22"/>
    <w:basedOn w:val="NormalCharacter"/>
    <w:next w:val="UserStyle_4"/>
    <w:link w:val="Normal"/>
    <w:qFormat/>
    <w:rPr>
      <w:u w:val="single"/>
      <w:rFonts w:cs="Times New Roman" w:hAnsi="Times New Roman" w:ascii="Times New Roman"/>
      <w:color w:val="0000ff"/>
    </w:rPr>
  </w:style>
  <w:style w:type="paragraph" w:styleId="User">
    <w:name w:val="No Spacing"/>
    <w:next w:val="User"/>
    <w:link w:val="Normal"/>
    <w:uiPriority w:val="1"/>
    <w:qFormat/>
    <w:pPr>
      <w:widowControl w:val="off"/>
      <w:jc w:val="both"/>
    </w:pPr>
    <w:rPr>
      <w:sz w:val="21"/>
      <w:szCs w:val="24"/>
      <w:kern w:val="2"/>
      <w:lang w:eastAsia="zh-CN" w:bidi="ar-SA" w:val="en-US"/>
      <w:rFonts w:cs="Times New Roman" w:hAnsi="Calibri" w:eastAsia="宋体" w:ascii="Calibri"/>
    </w:rPr>
  </w:style>
</w:styles>
</file>

<file path=word/_rels/document.xml.rels><Relationships xmlns="http://schemas.openxmlformats.org/package/2006/relationships"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settings" Target="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/>
  <Pages>16</Pages>
  <Words>2641</Words>
  <Characters>2846</Characters>
  <Lines>0</Lines>
  <Paragraphs>0</Paragraphs>
  <ScaleCrop>0</ScaleCrop>
  <CharactersWithSpaces>2856</CharactersWithSpaces>
  <Application>WPS Office_12.1.0.24657_F1E327/ONLYOFFICE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王嘉</dc:creator>
  <cp:lastModifiedBy>Adminis</cp:lastModifiedBy>
  <cp:revision>1</cp:revision>
  <dcterms:created xsi:type="dcterms:W3CDTF">2025-06-20T02:02:00Z</dcterms:created>
  <dcterms:modified xsi:type="dcterms:W3CDTF">2026-01-21T02:11:00Z</dcterms:modified>
</cp:coreProperties>
</file>