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C90648">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方正小标宋_GBK" w:hAnsi="方正小标宋_GBK" w:eastAsia="方正小标宋_GBK" w:cs="方正小标宋_GBK"/>
          <w:sz w:val="32"/>
          <w:szCs w:val="32"/>
          <w:lang w:bidi="ar-SA"/>
        </w:rPr>
      </w:pPr>
      <w:r>
        <w:rPr>
          <w:rFonts w:hint="eastAsia" w:ascii="方正小标宋_GBK" w:hAnsi="方正小标宋_GBK" w:eastAsia="方正小标宋_GBK" w:cs="方正小标宋_GBK"/>
          <w:sz w:val="44"/>
          <w:szCs w:val="44"/>
          <w:lang w:val="en-US" w:eastAsia="zh-CN" w:bidi="ar-SA"/>
        </w:rPr>
        <w:t>湘潭县排头乡人民政府2025</w:t>
      </w:r>
      <w:r>
        <w:rPr>
          <w:rFonts w:hint="eastAsia" w:ascii="方正小标宋_GBK" w:hAnsi="方正小标宋_GBK" w:eastAsia="方正小标宋_GBK" w:cs="方正小标宋_GBK"/>
          <w:sz w:val="44"/>
          <w:szCs w:val="44"/>
          <w:lang w:bidi="ar-SA"/>
        </w:rPr>
        <w:t>年政府信息公开工作年度报告</w:t>
      </w:r>
    </w:p>
    <w:p w14:paraId="3EC44F79">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420"/>
        <w:jc w:val="both"/>
        <w:textAlignment w:val="auto"/>
        <w:rPr>
          <w:rFonts w:hint="eastAsia" w:ascii="方正仿宋_GBK" w:hAnsi="方正仿宋_GBK" w:eastAsia="方正仿宋_GBK" w:cs="方正仿宋_GBK"/>
          <w:sz w:val="32"/>
          <w:szCs w:val="32"/>
          <w:lang w:bidi="ar-SA"/>
        </w:rPr>
      </w:pPr>
    </w:p>
    <w:p w14:paraId="4338150C">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仿宋" w:hAnsi="仿宋" w:eastAsia="仿宋" w:cs="Times New Roman"/>
          <w:sz w:val="32"/>
          <w:szCs w:val="32"/>
        </w:rPr>
      </w:pPr>
      <w:r>
        <w:rPr>
          <w:rFonts w:hint="eastAsia" w:ascii="仿宋" w:hAnsi="仿宋" w:eastAsia="仿宋" w:cs="Times New Roman"/>
          <w:kern w:val="2"/>
          <w:sz w:val="32"/>
          <w:szCs w:val="32"/>
          <w:lang w:val="en-US" w:eastAsia="zh-CN" w:bidi="ar-SA"/>
        </w:rPr>
        <w:t>根据《中华人民共和国政府信息公开条例》（国务院令第711号）规定，以及《国务院办公厅政府信息与政务公开办公室关于印发〈中华人民共和国政府信息公开工作年度报告格式〉的通知》（国办公开办函〔2021〕30号）</w:t>
      </w:r>
      <w:r>
        <w:rPr>
          <w:rFonts w:hint="eastAsia" w:ascii="仿宋" w:hAnsi="仿宋" w:eastAsia="仿宋" w:cs="Times New Roman"/>
          <w:sz w:val="32"/>
          <w:szCs w:val="32"/>
        </w:rPr>
        <w:t>等文件精神</w:t>
      </w:r>
      <w:r>
        <w:rPr>
          <w:rFonts w:hint="eastAsia" w:ascii="仿宋" w:hAnsi="仿宋" w:eastAsia="仿宋" w:cs="Times New Roman"/>
          <w:kern w:val="2"/>
          <w:sz w:val="32"/>
          <w:szCs w:val="32"/>
          <w:lang w:val="en-US" w:eastAsia="zh-CN" w:bidi="ar-SA"/>
        </w:rPr>
        <w:t>。</w:t>
      </w:r>
      <w:r>
        <w:rPr>
          <w:rFonts w:hint="eastAsia" w:ascii="仿宋" w:hAnsi="仿宋" w:eastAsia="仿宋" w:cs="Times New Roman"/>
          <w:sz w:val="32"/>
          <w:szCs w:val="32"/>
        </w:rPr>
        <w:t>现发布排头乡人民政府</w:t>
      </w:r>
      <w:r>
        <w:rPr>
          <w:rFonts w:hint="eastAsia" w:ascii="仿宋" w:hAnsi="仿宋" w:eastAsia="仿宋" w:cs="Times New Roman"/>
          <w:sz w:val="32"/>
          <w:szCs w:val="32"/>
          <w:lang w:eastAsia="zh-CN"/>
        </w:rPr>
        <w:t>2025</w:t>
      </w:r>
      <w:r>
        <w:rPr>
          <w:rFonts w:hint="eastAsia" w:ascii="仿宋" w:hAnsi="仿宋" w:eastAsia="仿宋" w:cs="Times New Roman"/>
          <w:sz w:val="32"/>
          <w:szCs w:val="32"/>
        </w:rPr>
        <w:t>年政府信息公开工作年度报告。全文包括总体情况、主动公开政府信息情况、收到和处理政府信息公开申请情况，政府信息公开行政复议、行政诉讼情况，存在的主要问题及改进情况，以及其他需要报告的事项。</w:t>
      </w:r>
      <w:r>
        <w:rPr>
          <w:rFonts w:hint="eastAsia" w:ascii="仿宋" w:hAnsi="仿宋" w:eastAsia="仿宋" w:cs="Times New Roman"/>
          <w:kern w:val="2"/>
          <w:sz w:val="32"/>
          <w:szCs w:val="32"/>
          <w:lang w:val="en-US" w:eastAsia="zh-CN" w:bidi="ar-SA"/>
        </w:rPr>
        <w:t>本报告所列数据的统计期限为2025年1月1日至2025年12月31日。</w:t>
      </w:r>
      <w:r>
        <w:rPr>
          <w:rFonts w:hint="eastAsia" w:ascii="仿宋" w:hAnsi="仿宋" w:eastAsia="仿宋" w:cs="Times New Roman"/>
          <w:sz w:val="32"/>
          <w:szCs w:val="32"/>
        </w:rPr>
        <w:t>如对本报告有疑问，请联系排头乡人民政府党政办公室（电话0731-57262888，邮编：411218）。</w:t>
      </w:r>
    </w:p>
    <w:p w14:paraId="472F9870">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一、总体情况</w:t>
      </w:r>
    </w:p>
    <w:p w14:paraId="56B7582C">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sz w:val="32"/>
          <w:szCs w:val="32"/>
          <w:lang w:val="en-US" w:eastAsia="zh-CN" w:bidi="ar-SA"/>
        </w:rPr>
        <w:t>按照国办公开办函〔2021〕30号要求，2025年，排头乡人民政府深入贯彻落实《中华人民共和国政府信息公开条例》，进一步加强组织领导，夯实责任，明确任务，加大督导力度，不断推进信息公开工作的积极性和主动性，有效地保障了公民的知情知政权利，公开内容进一步全面，提高了政府工作的透明度，促进依法行政。</w:t>
      </w:r>
    </w:p>
    <w:p w14:paraId="04935343">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b/>
          <w:sz w:val="32"/>
          <w:szCs w:val="32"/>
          <w:lang w:val="en-US" w:eastAsia="zh-CN" w:bidi="ar-SA"/>
        </w:rPr>
        <w:t>（一）主动公开方面。</w:t>
      </w:r>
      <w:r>
        <w:rPr>
          <w:rFonts w:hint="eastAsia" w:ascii="仿宋" w:hAnsi="仿宋" w:eastAsia="仿宋" w:cs="Times New Roman"/>
          <w:sz w:val="32"/>
          <w:szCs w:val="32"/>
          <w:lang w:val="en-US" w:eastAsia="zh-CN" w:bidi="ar-SA"/>
        </w:rPr>
        <w:t>我乡把推进政府信息公开工作作为打造阳光政府和推进依法行政的重要举措，明确一名党政负责人具体负责全乡政府信息公开工作的推进、指导、协调和监督，各站所根据职责要求分工落实政府信息公开其他各项工作，形成横向到边、纵向到底、上下联动的工作体系。截止2025年12月31日，我乡在门户网站发布政务公开33条，财政信息4条。此外，还主动公开了机构信息、政府领导信息等信息。</w:t>
      </w:r>
    </w:p>
    <w:p w14:paraId="37B7148E">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b/>
          <w:sz w:val="32"/>
          <w:szCs w:val="32"/>
          <w:lang w:val="en-US" w:eastAsia="zh-CN" w:bidi="ar-SA"/>
        </w:rPr>
        <w:t>（二）依申请公开方面。</w:t>
      </w:r>
      <w:r>
        <w:rPr>
          <w:rFonts w:hint="eastAsia" w:ascii="仿宋" w:hAnsi="仿宋" w:eastAsia="仿宋" w:cs="Times New Roman"/>
          <w:sz w:val="32"/>
          <w:szCs w:val="32"/>
          <w:lang w:val="en-US" w:eastAsia="zh-CN" w:bidi="ar-SA"/>
        </w:rPr>
        <w:t>今年共办理依申请公开事项0件。</w:t>
      </w:r>
    </w:p>
    <w:p w14:paraId="215316E3">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b/>
          <w:sz w:val="32"/>
          <w:szCs w:val="32"/>
          <w:lang w:val="en-US" w:eastAsia="zh-CN" w:bidi="ar-SA"/>
        </w:rPr>
        <w:t>（三）政府信息管理方面。</w:t>
      </w:r>
      <w:r>
        <w:rPr>
          <w:rFonts w:hint="eastAsia" w:ascii="仿宋" w:hAnsi="仿宋" w:eastAsia="仿宋" w:cs="Times New Roman"/>
          <w:sz w:val="32"/>
          <w:szCs w:val="32"/>
          <w:lang w:val="en-US" w:eastAsia="zh-CN" w:bidi="ar-SA"/>
        </w:rPr>
        <w:t>按照相关要求，我乡坚决落实网络意识形态工作责任制和网络安全责任制，加强运维管理，进一步强化信息公开保密审查制度，做到应当公开的政府信息依法依规公开到位，确保不发生泄密问题。同时，认真贯彻落实信息发布内审制度，按照起草、审核、发布流程对信息进行全流程管理，确保信息公开审查无遗漏。</w:t>
      </w:r>
    </w:p>
    <w:p w14:paraId="2DC618B8">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b/>
          <w:sz w:val="32"/>
          <w:szCs w:val="32"/>
          <w:lang w:val="en-US" w:eastAsia="zh-CN" w:bidi="ar-SA"/>
        </w:rPr>
        <w:t>（四）政府信息公开平台建设方面。</w:t>
      </w:r>
      <w:r>
        <w:rPr>
          <w:rFonts w:hint="eastAsia" w:ascii="仿宋" w:hAnsi="仿宋" w:eastAsia="仿宋" w:cs="Times New Roman"/>
          <w:sz w:val="32"/>
          <w:szCs w:val="32"/>
          <w:lang w:val="en-US" w:eastAsia="zh-CN" w:bidi="ar-SA"/>
        </w:rPr>
        <w:t>依托排头乡政府门户网站主动公开基层动态、政务动态等基本信息，及时回应社会公众关注热点。加大电子政务公开力度，利用电子显示屏、政府网站等载体，向群众发布各类信息。在大厅设政务公开专栏，向社会公开乡政府的机构设置、领导成员及分工、联系电话等信息，并根据实际情况（如领导变动等）及时调整，确保信息的时效性和准确性。</w:t>
      </w:r>
    </w:p>
    <w:p w14:paraId="3E6EE6BE">
      <w:pPr>
        <w:shd w:val="clear" w:color="auto" w:fill="FFFFFF"/>
        <w:adjustRightInd/>
        <w:snapToGrid/>
        <w:spacing w:before="0" w:beforeAutospacing="0" w:after="0" w:afterAutospacing="0" w:line="560" w:lineRule="exact"/>
        <w:ind w:firstLine="482"/>
        <w:jc w:val="both"/>
        <w:rPr>
          <w:rFonts w:hint="eastAsia" w:ascii="仿宋" w:hAnsi="仿宋" w:eastAsia="仿宋" w:cs="Times New Roman"/>
          <w:sz w:val="32"/>
          <w:szCs w:val="32"/>
          <w:lang w:val="en-US" w:eastAsia="zh-CN" w:bidi="ar-SA"/>
        </w:rPr>
      </w:pPr>
      <w:r>
        <w:rPr>
          <w:rFonts w:hint="eastAsia" w:ascii="仿宋" w:hAnsi="仿宋" w:eastAsia="仿宋" w:cs="Times New Roman"/>
          <w:b/>
          <w:sz w:val="32"/>
          <w:szCs w:val="32"/>
          <w:lang w:val="en-US" w:eastAsia="zh-CN" w:bidi="ar-SA"/>
        </w:rPr>
        <w:t>（五）监督保障方面。</w:t>
      </w:r>
      <w:r>
        <w:rPr>
          <w:rFonts w:hint="eastAsia" w:ascii="仿宋" w:hAnsi="仿宋" w:eastAsia="仿宋" w:cs="Times New Roman"/>
          <w:sz w:val="32"/>
          <w:szCs w:val="32"/>
          <w:lang w:val="en-US" w:eastAsia="zh-CN" w:bidi="ar-SA"/>
        </w:rPr>
        <w:t>我乡严格按照上级相关政务信息公开规定要求落实政务信息公开工作，注重保护个人隐私，对信息发布实行严格审核，依托网站监测平台及时对发布内容及时进行监测，发现错误第一时间进行修改。今年，门户网站未发生严重差错、安全事件、舆情或泄密事件。</w:t>
      </w:r>
    </w:p>
    <w:p w14:paraId="24C86320">
      <w:pPr>
        <w:shd w:val="clear" w:color="auto" w:fill="FFFFFF"/>
        <w:adjustRightInd/>
        <w:snapToGrid/>
        <w:spacing w:before="0" w:beforeAutospacing="0" w:after="0" w:afterAutospacing="0" w:line="560" w:lineRule="exact"/>
        <w:ind w:firstLine="482"/>
        <w:jc w:val="both"/>
        <w:rPr>
          <w:rFonts w:hint="eastAsia" w:ascii="黑体" w:hAnsi="黑体" w:eastAsia="黑体" w:cs="黑体"/>
          <w:b w:val="0"/>
          <w:bCs/>
          <w:sz w:val="32"/>
          <w:szCs w:val="32"/>
          <w:lang w:bidi="ar-SA"/>
        </w:rPr>
      </w:pPr>
      <w:r>
        <w:rPr>
          <w:rFonts w:hint="eastAsia" w:ascii="黑体" w:hAnsi="黑体" w:eastAsia="黑体" w:cs="黑体"/>
          <w:b w:val="0"/>
          <w:bCs/>
          <w:sz w:val="32"/>
          <w:szCs w:val="32"/>
          <w:lang w:val="en-US" w:eastAsia="zh-CN" w:bidi="ar-SA"/>
        </w:rPr>
        <w:t xml:space="preserve"> </w:t>
      </w:r>
      <w:r>
        <w:rPr>
          <w:rFonts w:hint="eastAsia" w:ascii="黑体" w:hAnsi="黑体" w:eastAsia="黑体" w:cs="黑体"/>
          <w:b w:val="0"/>
          <w:bCs/>
          <w:sz w:val="32"/>
          <w:szCs w:val="32"/>
          <w:lang w:eastAsia="zh-CN" w:bidi="ar-SA"/>
        </w:rPr>
        <w:t>二、</w:t>
      </w:r>
      <w:r>
        <w:rPr>
          <w:rFonts w:hint="eastAsia" w:ascii="黑体" w:hAnsi="黑体" w:eastAsia="黑体" w:cs="黑体"/>
          <w:b w:val="0"/>
          <w:bCs/>
          <w:sz w:val="32"/>
          <w:szCs w:val="32"/>
          <w:lang w:bidi="ar-SA"/>
        </w:rPr>
        <w:t>主动公开政府信息情况</w:t>
      </w:r>
    </w:p>
    <w:tbl>
      <w:tblPr>
        <w:tblStyle w:val="5"/>
        <w:tblpPr w:leftFromText="180" w:rightFromText="180" w:vertAnchor="text" w:horzAnchor="page" w:tblpX="1630" w:tblpY="579"/>
        <w:tblOverlap w:val="never"/>
        <w:tblW w:w="90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13"/>
        <w:gridCol w:w="1881"/>
        <w:gridCol w:w="1979"/>
        <w:gridCol w:w="2091"/>
      </w:tblGrid>
      <w:tr w14:paraId="7B895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46B31D7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第二十条第（一）项</w:t>
            </w:r>
          </w:p>
        </w:tc>
      </w:tr>
      <w:tr w14:paraId="14031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73D9DD1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1881" w:type="dxa"/>
            <w:noWrap/>
            <w:tcMar>
              <w:left w:w="108" w:type="dxa"/>
              <w:right w:w="108" w:type="dxa"/>
            </w:tcMar>
            <w:vAlign w:val="center"/>
          </w:tcPr>
          <w:p w14:paraId="252D81C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本年制发件数</w:t>
            </w:r>
          </w:p>
        </w:tc>
        <w:tc>
          <w:tcPr>
            <w:tcW w:w="1979" w:type="dxa"/>
            <w:noWrap w:val="0"/>
            <w:tcMar>
              <w:left w:w="108" w:type="dxa"/>
              <w:right w:w="108" w:type="dxa"/>
            </w:tcMar>
            <w:vAlign w:val="center"/>
          </w:tcPr>
          <w:p w14:paraId="6B35BFC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本年废止件数</w:t>
            </w:r>
          </w:p>
        </w:tc>
        <w:tc>
          <w:tcPr>
            <w:tcW w:w="2091" w:type="dxa"/>
            <w:noWrap/>
            <w:tcMar>
              <w:left w:w="108" w:type="dxa"/>
              <w:right w:w="108" w:type="dxa"/>
            </w:tcMar>
            <w:vAlign w:val="center"/>
          </w:tcPr>
          <w:p w14:paraId="1AD3E33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现行有效件数</w:t>
            </w:r>
          </w:p>
        </w:tc>
      </w:tr>
      <w:tr w14:paraId="3CE6E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3A601E3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规章</w:t>
            </w:r>
          </w:p>
        </w:tc>
        <w:tc>
          <w:tcPr>
            <w:tcW w:w="1881" w:type="dxa"/>
            <w:noWrap/>
            <w:tcMar>
              <w:left w:w="108" w:type="dxa"/>
              <w:right w:w="108" w:type="dxa"/>
            </w:tcMar>
            <w:vAlign w:val="center"/>
          </w:tcPr>
          <w:p w14:paraId="2BEBC5E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1979" w:type="dxa"/>
            <w:noWrap w:val="0"/>
            <w:tcMar>
              <w:left w:w="108" w:type="dxa"/>
              <w:right w:w="108" w:type="dxa"/>
            </w:tcMar>
            <w:vAlign w:val="center"/>
          </w:tcPr>
          <w:p w14:paraId="3C62353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091" w:type="dxa"/>
            <w:noWrap/>
            <w:tcMar>
              <w:left w:w="108" w:type="dxa"/>
              <w:right w:w="108" w:type="dxa"/>
            </w:tcMar>
            <w:vAlign w:val="center"/>
          </w:tcPr>
          <w:p w14:paraId="06A29B0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14:paraId="4D84F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48E1EA8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val="en-US" w:eastAsia="zh-CN" w:bidi="ar"/>
              </w:rPr>
              <w:t>行政</w:t>
            </w:r>
            <w:r>
              <w:rPr>
                <w:rFonts w:hint="eastAsia" w:ascii="宋体" w:cs="宋体"/>
                <w:color w:val="000000"/>
                <w:kern w:val="0"/>
                <w:sz w:val="21"/>
                <w:szCs w:val="21"/>
                <w:lang w:bidi="ar"/>
              </w:rPr>
              <w:t>规范性文件</w:t>
            </w:r>
          </w:p>
        </w:tc>
        <w:tc>
          <w:tcPr>
            <w:tcW w:w="1881" w:type="dxa"/>
            <w:noWrap/>
            <w:tcMar>
              <w:left w:w="108" w:type="dxa"/>
              <w:right w:w="108" w:type="dxa"/>
            </w:tcMar>
            <w:vAlign w:val="center"/>
          </w:tcPr>
          <w:p w14:paraId="7A31FEE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1979" w:type="dxa"/>
            <w:noWrap w:val="0"/>
            <w:tcMar>
              <w:left w:w="108" w:type="dxa"/>
              <w:right w:w="108" w:type="dxa"/>
            </w:tcMar>
            <w:vAlign w:val="center"/>
          </w:tcPr>
          <w:p w14:paraId="66965D7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091" w:type="dxa"/>
            <w:noWrap/>
            <w:tcMar>
              <w:left w:w="108" w:type="dxa"/>
              <w:right w:w="108" w:type="dxa"/>
            </w:tcMar>
            <w:vAlign w:val="center"/>
          </w:tcPr>
          <w:p w14:paraId="32C3650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14:paraId="2332B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1D4FDF8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第二十条第（五）项</w:t>
            </w:r>
          </w:p>
        </w:tc>
      </w:tr>
      <w:tr w14:paraId="1C388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4510BAD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noWrap/>
            <w:tcMar>
              <w:left w:w="108" w:type="dxa"/>
              <w:right w:w="108" w:type="dxa"/>
            </w:tcMar>
            <w:vAlign w:val="center"/>
          </w:tcPr>
          <w:p w14:paraId="6A2EB5C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14:paraId="013E7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3A368F2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行政许可</w:t>
            </w:r>
          </w:p>
        </w:tc>
        <w:tc>
          <w:tcPr>
            <w:tcW w:w="5951" w:type="dxa"/>
            <w:gridSpan w:val="3"/>
            <w:noWrap/>
            <w:tcMar>
              <w:left w:w="108" w:type="dxa"/>
              <w:right w:w="108" w:type="dxa"/>
            </w:tcMar>
            <w:vAlign w:val="center"/>
          </w:tcPr>
          <w:p w14:paraId="2F60972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14:paraId="37A78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7B9E97D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第二十条第（六）项</w:t>
            </w:r>
          </w:p>
        </w:tc>
      </w:tr>
      <w:tr w14:paraId="27836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29BD7AF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noWrap/>
            <w:tcMar>
              <w:left w:w="108" w:type="dxa"/>
              <w:right w:w="108" w:type="dxa"/>
            </w:tcMar>
            <w:vAlign w:val="center"/>
          </w:tcPr>
          <w:p w14:paraId="5E7200A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14:paraId="045F4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57C4344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行政处罚</w:t>
            </w:r>
          </w:p>
        </w:tc>
        <w:tc>
          <w:tcPr>
            <w:tcW w:w="5951" w:type="dxa"/>
            <w:gridSpan w:val="3"/>
            <w:noWrap/>
            <w:tcMar>
              <w:left w:w="108" w:type="dxa"/>
              <w:right w:w="108" w:type="dxa"/>
            </w:tcMar>
            <w:vAlign w:val="center"/>
          </w:tcPr>
          <w:p w14:paraId="6560490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13</w:t>
            </w:r>
          </w:p>
        </w:tc>
      </w:tr>
      <w:tr w14:paraId="184E7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B5B3AF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行政强制</w:t>
            </w:r>
          </w:p>
        </w:tc>
        <w:tc>
          <w:tcPr>
            <w:tcW w:w="5951" w:type="dxa"/>
            <w:gridSpan w:val="3"/>
            <w:noWrap/>
            <w:tcMar>
              <w:left w:w="108" w:type="dxa"/>
              <w:right w:w="108" w:type="dxa"/>
            </w:tcMar>
            <w:vAlign w:val="center"/>
          </w:tcPr>
          <w:p w14:paraId="21A76F3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14:paraId="05A92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16FFAE6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第二十条第（八）项</w:t>
            </w:r>
          </w:p>
        </w:tc>
      </w:tr>
      <w:tr w14:paraId="6BBE9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5223F66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noWrap/>
            <w:tcMar>
              <w:left w:w="108" w:type="dxa"/>
              <w:right w:w="108" w:type="dxa"/>
            </w:tcMar>
            <w:vAlign w:val="center"/>
          </w:tcPr>
          <w:p w14:paraId="21318ED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本年收费金额（单位：万元）</w:t>
            </w:r>
          </w:p>
        </w:tc>
      </w:tr>
      <w:tr w14:paraId="02206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D2F6C1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行政事业性收费</w:t>
            </w:r>
          </w:p>
        </w:tc>
        <w:tc>
          <w:tcPr>
            <w:tcW w:w="5951" w:type="dxa"/>
            <w:gridSpan w:val="3"/>
            <w:noWrap/>
            <w:tcMar>
              <w:left w:w="108" w:type="dxa"/>
              <w:right w:w="108" w:type="dxa"/>
            </w:tcMar>
            <w:vAlign w:val="center"/>
          </w:tcPr>
          <w:p w14:paraId="1DD7546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sz w:val="21"/>
                <w:szCs w:val="21"/>
                <w:lang w:val="en-US" w:eastAsia="zh-CN"/>
              </w:rPr>
            </w:pPr>
            <w:r>
              <w:rPr>
                <w:rFonts w:hint="eastAsia" w:ascii="宋体"/>
                <w:sz w:val="21"/>
                <w:szCs w:val="21"/>
                <w:lang w:val="en-US" w:eastAsia="zh-CN"/>
              </w:rPr>
              <w:t>0</w:t>
            </w:r>
          </w:p>
        </w:tc>
      </w:tr>
    </w:tbl>
    <w:p w14:paraId="3DA1C710">
      <w:pPr>
        <w:pStyle w:val="4"/>
        <w:widowControl/>
        <w:spacing w:before="0" w:beforeAutospacing="0" w:after="240" w:afterAutospacing="0"/>
        <w:ind w:firstLine="640" w:firstLineChars="200"/>
        <w:jc w:val="both"/>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br w:type="page"/>
      </w:r>
      <w:r>
        <w:rPr>
          <w:rFonts w:hint="eastAsia" w:ascii="黑体" w:hAnsi="黑体" w:eastAsia="黑体" w:cs="黑体"/>
          <w:b w:val="0"/>
          <w:bCs/>
          <w:sz w:val="32"/>
          <w:szCs w:val="32"/>
          <w:lang w:bidi="ar-SA"/>
        </w:rPr>
        <w:t>三、</w:t>
      </w:r>
      <w:r>
        <w:rPr>
          <w:rFonts w:hint="eastAsia" w:ascii="黑体" w:hAnsi="黑体" w:eastAsia="黑体" w:cs="黑体"/>
          <w:b w:val="0"/>
          <w:bCs/>
          <w:i w:val="0"/>
          <w:iCs w:val="0"/>
          <w:caps w:val="0"/>
          <w:color w:val="333333"/>
          <w:spacing w:val="0"/>
          <w:sz w:val="32"/>
          <w:szCs w:val="32"/>
          <w:shd w:val="clear" w:color="auto" w:fill="FFFFFF"/>
        </w:rPr>
        <w:t>收到和处理政府信息公开申请情况</w:t>
      </w:r>
    </w:p>
    <w:tbl>
      <w:tblPr>
        <w:tblStyle w:val="5"/>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14:paraId="008ED74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552293E">
            <w:pPr>
              <w:widowControl/>
              <w:spacing w:line="300" w:lineRule="exact"/>
              <w:jc w:val="center"/>
              <w:rPr>
                <w:rFonts w:hint="eastAsia" w:ascii="宋体" w:hAnsi="宋体" w:eastAsia="宋体" w:cs="宋体"/>
                <w:sz w:val="21"/>
                <w:szCs w:val="21"/>
              </w:rPr>
            </w:pPr>
            <w:r>
              <w:rPr>
                <w:rFonts w:hint="eastAsia" w:ascii="楷体" w:hAnsi="楷体" w:eastAsia="楷体" w:cs="楷体"/>
                <w:sz w:val="24"/>
                <w:szCs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14:paraId="4CE2E493">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申请人情况</w:t>
            </w:r>
          </w:p>
        </w:tc>
      </w:tr>
      <w:tr w14:paraId="733265C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FAEDFAC">
            <w:pPr>
              <w:rPr>
                <w:rFonts w:hint="eastAsia" w:ascii="宋体" w:hAnsi="宋体" w:eastAsia="宋体" w:cs="宋体"/>
                <w:sz w:val="21"/>
                <w:szCs w:val="21"/>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14:paraId="4D48C568">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17DBBB82">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08B476AE">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总计</w:t>
            </w:r>
          </w:p>
        </w:tc>
      </w:tr>
      <w:tr w14:paraId="4040477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9F69538">
            <w:pPr>
              <w:rPr>
                <w:rFonts w:hint="eastAsia" w:ascii="宋体" w:hAnsi="宋体" w:eastAsia="宋体" w:cs="宋体"/>
                <w:sz w:val="21"/>
                <w:szCs w:val="21"/>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14:paraId="40BC58DF">
            <w:pPr>
              <w:rPr>
                <w:rFonts w:hint="eastAsia" w:ascii="宋体" w:hAnsi="宋体" w:eastAsia="宋体" w:cs="宋体"/>
                <w:sz w:val="21"/>
                <w:szCs w:val="21"/>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D05EC40">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EDC34D9">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FA369F4">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BDBD877">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E145F89">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2C5CD1DA">
            <w:pPr>
              <w:rPr>
                <w:rFonts w:hint="eastAsia" w:ascii="宋体" w:hAnsi="宋体" w:eastAsia="宋体" w:cs="宋体"/>
                <w:sz w:val="21"/>
                <w:szCs w:val="21"/>
              </w:rPr>
            </w:pPr>
          </w:p>
        </w:tc>
      </w:tr>
      <w:tr w14:paraId="6177FA8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6CCD5BB1">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BCA874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AB61CC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FCD00A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4D5D32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1FB4D3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B84B98F">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155C4AC">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5D9CFFF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1F62C2A8">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1CD619C">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C0B4800">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890474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E24852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13AD33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FC8368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2D3D23F">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070F683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21B3C381">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03132DF1">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F6689B4">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232010B">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84C78D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5E510F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1AD484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42E5284">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0F24134">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1653122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03387FA">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7B9C5E3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（二）部分公开</w:t>
            </w:r>
            <w:r>
              <w:rPr>
                <w:rFonts w:hint="eastAsia" w:ascii="楷体" w:hAnsi="楷体" w:eastAsia="楷体" w:cs="楷体"/>
                <w:kern w:val="0"/>
                <w:sz w:val="21"/>
                <w:szCs w:val="21"/>
                <w:lang w:bidi="ar"/>
              </w:rPr>
              <w:t>（区分处理的，只计这一情形，不计其他情形）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520D174">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288196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CC0FBE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9876CF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E40D9F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2E5674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658E40E">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10A3CED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3A77BC6">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212708F3">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EEAD5BA">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35EA516">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3FFD52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62FF7D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9BC999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C344B0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9EBDEC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DF87005">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57417D5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B2191CF">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4DAAE807">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A96F7A6">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6CBA77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BA610B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EEDC7D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D806AE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6DBEB2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56F362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CCA236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5C79F7D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ADDF8D0">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6EB0380">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39FDE0D">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6CD974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A395B0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549BFD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9CC839B">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D19E69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73DD2A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589D02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567AB40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D6934A1">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02899C7">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4926BA41">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5FEFE5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2E2BE9B">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B87289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33C981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21E2CD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CBAABB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0017D2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4AFFBB6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0CD9FAE">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FBBC839">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8DDD130">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8F645C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FB5527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FE3652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A2AFE8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F23566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0910E8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6257A5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43AF8DF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991E93E">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0582684E">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2E2F172">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9E341E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019CFF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39D72F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4BC3D68">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DE0384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6DCC6AB">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BC72F43">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1FEE9C8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399978C">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4D9C89F7">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E3F11B0">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C81E30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B968B6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33B484B">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980658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129F19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483840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E152B5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6435D3A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2ECCFE1">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06257B06">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1E4EA50">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2BDCCE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A5D97C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1765FC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954D90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18932E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C0D34D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630BE4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2C71F39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5774CA6">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432C0F7D">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AF86538">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C8BEC08">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3995415">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9CB037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BB11F8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A9BC9D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996637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E62211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1004D29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A88CB14">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5D0F2B8D">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5763DCF">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BD57BB8">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45D528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9F9AF4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8D8C9F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87E1EE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CB9774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D6CC5F9">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70B57F2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0E18127">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5618D37D">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86A70B8">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CABABF7">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41BE0E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E90DFB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E23ACF7">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355D8C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C0E3A1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84D220B">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1B9C736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56087F0">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7D50E629">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8BD94DC">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492DF58">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94E85D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C00B69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CFF783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B1EE61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FD1397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396EB38">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12869F7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965CBC8">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5853E0F">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996E979">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62A74F20">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B85CB9D">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C3EFE1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D73D00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485330B">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C51B22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EED92CC">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57EC050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9E71BB2">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6CA23F9">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DF145F1">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D1B00BA">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44B64A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515AF52">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7603A3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69092F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093BD7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85D254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61C065D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5FA1EA4">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03678BCD">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60DFCD1">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A3B92C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8DAA6B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C3B94B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D9C06C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C09C89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90231CB">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D4E38E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07F6F2B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DC26DF2">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EEDEC29">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582642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8C71C6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23E6CB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F22F5F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68BA76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4C9DC1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AA31DE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E3703F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52CEF83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0D5DE38">
            <w:pPr>
              <w:rPr>
                <w:rFonts w:hint="eastAsia" w:ascii="宋体" w:hAnsi="宋体" w:eastAsia="宋体" w:cs="宋体"/>
                <w:sz w:val="21"/>
                <w:szCs w:val="21"/>
              </w:rPr>
            </w:pPr>
          </w:p>
        </w:tc>
        <w:tc>
          <w:tcPr>
            <w:tcW w:w="855" w:type="dxa"/>
            <w:vMerge w:val="restart"/>
            <w:tcBorders>
              <w:top w:val="nil"/>
              <w:left w:val="nil"/>
              <w:right w:val="single" w:color="auto" w:sz="8" w:space="0"/>
            </w:tcBorders>
            <w:noWrap w:val="0"/>
            <w:tcMar>
              <w:left w:w="108" w:type="dxa"/>
              <w:right w:w="108" w:type="dxa"/>
            </w:tcMar>
            <w:vAlign w:val="center"/>
          </w:tcPr>
          <w:p w14:paraId="4B961042">
            <w:pPr>
              <w:rPr>
                <w:rFonts w:hint="eastAsia" w:ascii="宋体" w:hAnsi="宋体" w:eastAsia="宋体" w:cs="宋体"/>
                <w:sz w:val="21"/>
                <w:szCs w:val="21"/>
              </w:rPr>
            </w:pP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六</w:t>
            </w: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其他</w:t>
            </w:r>
            <w:r>
              <w:rPr>
                <w:rFonts w:hint="eastAsia" w:ascii="宋体" w:hAnsi="宋体" w:eastAsia="宋体" w:cs="宋体"/>
                <w:kern w:val="0"/>
                <w:sz w:val="21"/>
                <w:szCs w:val="21"/>
                <w:lang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86049D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822499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46ED769">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895D133">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75FC6B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02FC38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ADB0F9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71F5D6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4705275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22AA731">
            <w:pPr>
              <w:rPr>
                <w:rFonts w:hint="eastAsia" w:ascii="宋体" w:hAnsi="宋体" w:eastAsia="宋体" w:cs="宋体"/>
                <w:sz w:val="21"/>
                <w:szCs w:val="21"/>
              </w:rPr>
            </w:pPr>
          </w:p>
        </w:tc>
        <w:tc>
          <w:tcPr>
            <w:tcW w:w="855" w:type="dxa"/>
            <w:vMerge w:val="continue"/>
            <w:tcBorders>
              <w:left w:val="nil"/>
              <w:right w:val="single" w:color="auto" w:sz="8" w:space="0"/>
            </w:tcBorders>
            <w:noWrap w:val="0"/>
            <w:tcMar>
              <w:left w:w="108" w:type="dxa"/>
              <w:right w:w="108" w:type="dxa"/>
            </w:tcMar>
            <w:vAlign w:val="center"/>
          </w:tcPr>
          <w:p w14:paraId="1BA3847C">
            <w:pPr>
              <w:rPr>
                <w:rFonts w:hint="eastAsia" w:ascii="宋体" w:hAnsi="宋体" w:eastAsia="宋体" w:cs="宋体"/>
                <w:kern w:val="0"/>
                <w:sz w:val="21"/>
                <w:szCs w:val="21"/>
                <w:lang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EF4A25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023E53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CBFC43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8A109E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58C04E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5222DE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86D5F3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4AF6BB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76D2AFD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A435C73">
            <w:pPr>
              <w:rPr>
                <w:rFonts w:hint="eastAsia" w:ascii="宋体" w:hAnsi="宋体" w:eastAsia="宋体" w:cs="宋体"/>
                <w:sz w:val="21"/>
                <w:szCs w:val="21"/>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14:paraId="52CFEAAE">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C2DCB81">
            <w:pPr>
              <w:widowControl/>
              <w:spacing w:line="300" w:lineRule="exact"/>
              <w:jc w:val="left"/>
              <w:rPr>
                <w:rFonts w:hint="eastAsia" w:ascii="宋体" w:hAnsi="宋体" w:eastAsia="宋体" w:cs="宋体"/>
                <w:kern w:val="0"/>
                <w:sz w:val="21"/>
                <w:szCs w:val="21"/>
                <w:lang w:bidi="ar"/>
              </w:rPr>
            </w:pPr>
            <w:r>
              <w:rPr>
                <w:rFonts w:hint="eastAsia" w:ascii="宋体" w:hAnsi="宋体" w:eastAsia="宋体" w:cs="宋体"/>
                <w:kern w:val="0"/>
                <w:sz w:val="21"/>
                <w:szCs w:val="21"/>
                <w:lang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B64C57E">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77E853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56DE36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8AD3C6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356C1E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DD51C76">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6C4B7D8">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14:paraId="380D97C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4ED22D8">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33260A86">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D4254E1">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5D9F521">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D5899A1">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E2BBBE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F5F3954">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E0AAB69">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081F92C">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14:paraId="018E4CD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24AD8D45">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FE99A93">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42C713D">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A110BFF">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11CA230">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E0EF9BC">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2338155">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104544B">
            <w:pPr>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bl>
    <w:p w14:paraId="3A031818">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黑体" w:hAnsi="黑体" w:eastAsia="黑体" w:cs="黑体"/>
          <w:b w:val="0"/>
          <w:bCs/>
          <w:i w:val="0"/>
          <w:iCs w:val="0"/>
          <w:caps w:val="0"/>
          <w:color w:val="333333"/>
          <w:spacing w:val="0"/>
          <w:sz w:val="32"/>
          <w:szCs w:val="32"/>
          <w:shd w:val="clear" w:color="auto" w:fill="FFFFFF"/>
        </w:rPr>
      </w:pPr>
      <w:r>
        <w:rPr>
          <w:rFonts w:hint="eastAsia" w:ascii="黑体" w:hAnsi="黑体" w:eastAsia="黑体" w:cs="黑体"/>
          <w:b w:val="0"/>
          <w:bCs/>
          <w:i w:val="0"/>
          <w:iCs w:val="0"/>
          <w:caps w:val="0"/>
          <w:color w:val="333333"/>
          <w:spacing w:val="0"/>
          <w:sz w:val="32"/>
          <w:szCs w:val="32"/>
          <w:shd w:val="clear" w:color="auto" w:fill="FFFFFF"/>
          <w:lang w:eastAsia="zh-CN"/>
        </w:rPr>
        <w:t>四、</w:t>
      </w:r>
      <w:r>
        <w:rPr>
          <w:rFonts w:hint="eastAsia" w:ascii="黑体" w:hAnsi="黑体" w:eastAsia="黑体" w:cs="黑体"/>
          <w:b w:val="0"/>
          <w:bCs/>
          <w:i w:val="0"/>
          <w:iCs w:val="0"/>
          <w:caps w:val="0"/>
          <w:color w:val="333333"/>
          <w:spacing w:val="0"/>
          <w:sz w:val="32"/>
          <w:szCs w:val="32"/>
          <w:shd w:val="clear" w:color="auto" w:fill="FFFFFF"/>
        </w:rPr>
        <w:t>政府信息公开行政复议、行政诉讼情况</w:t>
      </w:r>
    </w:p>
    <w:tbl>
      <w:tblPr>
        <w:tblStyle w:val="5"/>
        <w:tblpPr w:leftFromText="180" w:rightFromText="180" w:vertAnchor="text" w:horzAnchor="page" w:tblpX="1080" w:tblpY="438"/>
        <w:tblOverlap w:val="never"/>
        <w:tblW w:w="10083"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14:paraId="2F58FDE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461499C">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14:paraId="56CD5D6E">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行政诉讼</w:t>
            </w:r>
          </w:p>
        </w:tc>
      </w:tr>
      <w:tr w14:paraId="07EB95A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36AA848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14:paraId="3EA631E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1E8E851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450843C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29148E9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25C83BA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53AD835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复议后起诉</w:t>
            </w:r>
          </w:p>
        </w:tc>
      </w:tr>
      <w:tr w14:paraId="6906C76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24BB428">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14:paraId="699396DE">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0B18381A">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02E74925">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3B060302">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6964F7C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0B41571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A7EA32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47AB36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41C2834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94A922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B21EF8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49BFE1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24BC9A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F1002B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r>
      <w:tr w14:paraId="7292DC6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A375547">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5F1B1561">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416DD354">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2281A33F">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61" w:type="dxa"/>
            <w:tcBorders>
              <w:top w:val="nil"/>
              <w:left w:val="nil"/>
              <w:bottom w:val="single" w:color="auto" w:sz="8" w:space="0"/>
              <w:right w:val="single" w:color="auto" w:sz="8" w:space="0"/>
            </w:tcBorders>
            <w:noWrap w:val="0"/>
            <w:tcMar>
              <w:left w:w="108" w:type="dxa"/>
              <w:right w:w="108" w:type="dxa"/>
            </w:tcMar>
            <w:vAlign w:val="center"/>
          </w:tcPr>
          <w:p w14:paraId="5227AD8C">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1B48BFDD">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1AC585AD">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268A63AF">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6EEB1D89">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14:paraId="2506F458">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AEA8328">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7E0047D6">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14:paraId="366193A4">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671D3EA8">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D3FA1F5">
            <w:pPr>
              <w:keepNext w:val="0"/>
              <w:keepLines w:val="0"/>
              <w:pageBreakBefore w:val="0"/>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bl>
    <w:p w14:paraId="1E60CC62">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b w:val="0"/>
          <w:bCs/>
          <w:sz w:val="32"/>
          <w:szCs w:val="32"/>
          <w:lang w:bidi="ar-SA"/>
        </w:rPr>
      </w:pPr>
    </w:p>
    <w:p w14:paraId="5086B39A">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cs="宋体"/>
          <w:lang w:bidi="ar-SA"/>
        </w:rPr>
      </w:pPr>
      <w:r>
        <w:rPr>
          <w:rFonts w:hint="eastAsia" w:ascii="黑体" w:hAnsi="黑体" w:eastAsia="黑体" w:cs="黑体"/>
          <w:b w:val="0"/>
          <w:bCs/>
          <w:sz w:val="32"/>
          <w:szCs w:val="32"/>
          <w:lang w:bidi="ar-SA"/>
        </w:rPr>
        <w:t>五、存在的主要问题及改进情况</w:t>
      </w:r>
    </w:p>
    <w:p w14:paraId="6EE6B9A1">
      <w:pPr>
        <w:shd w:val="clear" w:color="auto" w:fill="FFFFFF"/>
        <w:adjustRightInd/>
        <w:snapToGrid/>
        <w:spacing w:before="0" w:beforeAutospacing="0" w:after="0" w:afterAutospacing="0" w:line="560" w:lineRule="exact"/>
        <w:ind w:firstLine="643" w:firstLineChars="200"/>
        <w:jc w:val="both"/>
        <w:rPr>
          <w:rFonts w:ascii="仿宋" w:hAnsi="仿宋" w:eastAsia="仿宋" w:cs="Times New Roman"/>
          <w:b/>
          <w:sz w:val="32"/>
          <w:szCs w:val="32"/>
          <w:lang w:val="en-US" w:eastAsia="zh-CN" w:bidi="ar-SA"/>
        </w:rPr>
      </w:pPr>
      <w:r>
        <w:rPr>
          <w:rFonts w:hint="eastAsia" w:ascii="仿宋" w:hAnsi="仿宋" w:eastAsia="仿宋" w:cs="Times New Roman"/>
          <w:b/>
          <w:sz w:val="32"/>
          <w:szCs w:val="32"/>
          <w:lang w:val="en-US" w:eastAsia="zh-CN" w:bidi="ar-SA"/>
        </w:rPr>
        <w:t>存在问题：</w:t>
      </w:r>
    </w:p>
    <w:p w14:paraId="0F5ECF04">
      <w:pPr>
        <w:shd w:val="clear" w:color="auto" w:fill="FFFFFF"/>
        <w:adjustRightInd/>
        <w:snapToGrid/>
        <w:spacing w:before="0" w:beforeAutospacing="0" w:after="0" w:afterAutospacing="0" w:line="560" w:lineRule="exact"/>
        <w:ind w:firstLine="640" w:firstLineChars="200"/>
        <w:jc w:val="both"/>
        <w:rPr>
          <w:rFonts w:ascii="仿宋" w:hAnsi="仿宋" w:eastAsia="仿宋" w:cs="Times New Roman"/>
          <w:sz w:val="32"/>
          <w:szCs w:val="32"/>
          <w:lang w:val="en-US" w:eastAsia="zh-CN" w:bidi="ar-SA"/>
        </w:rPr>
      </w:pPr>
      <w:r>
        <w:rPr>
          <w:rFonts w:hint="eastAsia" w:ascii="仿宋" w:hAnsi="仿宋" w:eastAsia="仿宋" w:cs="Times New Roman"/>
          <w:sz w:val="32"/>
          <w:szCs w:val="32"/>
          <w:lang w:val="en-US" w:eastAsia="zh-CN" w:bidi="ar-SA"/>
        </w:rPr>
        <w:t>政府信息公开意识有待加强；信息公开的全面性、及时性有待提升；政府信息公开制度建设方面还不够全面。</w:t>
      </w:r>
      <w:r>
        <w:rPr>
          <w:rFonts w:hint="eastAsia" w:ascii="仿宋" w:hAnsi="仿宋" w:eastAsia="仿宋" w:cs="Times New Roman"/>
          <w:sz w:val="32"/>
          <w:szCs w:val="32"/>
          <w:lang w:val="en-US" w:eastAsia="zh-CN" w:bidi="ar-SA"/>
        </w:rPr>
        <w:br w:type="textWrapping"/>
      </w:r>
      <w:r>
        <w:rPr>
          <w:rFonts w:hint="eastAsia" w:ascii="仿宋" w:hAnsi="仿宋" w:eastAsia="仿宋" w:cs="Times New Roman"/>
          <w:sz w:val="32"/>
          <w:szCs w:val="32"/>
          <w:lang w:val="en-US" w:eastAsia="zh-CN" w:bidi="ar-SA"/>
        </w:rPr>
        <w:t>　</w:t>
      </w:r>
      <w:r>
        <w:rPr>
          <w:rFonts w:hint="eastAsia" w:ascii="仿宋" w:hAnsi="仿宋" w:eastAsia="仿宋" w:cs="Times New Roman"/>
          <w:b/>
          <w:sz w:val="32"/>
          <w:szCs w:val="32"/>
          <w:lang w:val="en-US" w:eastAsia="zh-CN" w:bidi="ar-SA"/>
        </w:rPr>
        <w:t>　改进措施：</w:t>
      </w:r>
    </w:p>
    <w:p w14:paraId="44FABD17">
      <w:pPr>
        <w:shd w:val="clear" w:color="auto" w:fill="FFFFFF"/>
        <w:adjustRightInd/>
        <w:snapToGrid/>
        <w:spacing w:before="0" w:beforeAutospacing="0" w:after="0" w:afterAutospacing="0" w:line="560" w:lineRule="exact"/>
        <w:ind w:firstLine="482"/>
        <w:jc w:val="both"/>
        <w:rPr>
          <w:rFonts w:ascii="仿宋" w:hAnsi="仿宋" w:eastAsia="仿宋" w:cs="Times New Roman"/>
          <w:sz w:val="32"/>
          <w:szCs w:val="32"/>
          <w:lang w:val="en-US" w:eastAsia="zh-CN" w:bidi="ar-SA"/>
        </w:rPr>
      </w:pPr>
      <w:r>
        <w:rPr>
          <w:rFonts w:hint="eastAsia" w:ascii="仿宋" w:hAnsi="仿宋" w:eastAsia="仿宋" w:cs="Times New Roman"/>
          <w:sz w:val="32"/>
          <w:szCs w:val="32"/>
          <w:lang w:val="en-US" w:eastAsia="zh-CN" w:bidi="ar-SA"/>
        </w:rPr>
        <w:t>一是完善政府信息公开工作制度和机制，继续推进信息制作、管理、审查、公开的规范化，稳步拓展信息公开的深度和广度;二是进一步加强公开平台建设；三是进一步扩大公开范围，充实公开内容；四是进一步完善信息公开工作机构,确保信息公开工作人员构成相对稳定，加强对政府信息公开工作的指导、培训，通过自学和加强与上级业务指导部门交流，提升政府信息公开工作人员能力，提高群众满意度。</w:t>
      </w:r>
    </w:p>
    <w:p w14:paraId="6F64459C">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六、其他需要报告的事项</w:t>
      </w:r>
    </w:p>
    <w:p w14:paraId="67402851">
      <w:pPr>
        <w:shd w:val="clear" w:color="auto" w:fill="FFFFFF"/>
        <w:adjustRightInd/>
        <w:snapToGrid/>
        <w:spacing w:before="0" w:beforeAutospacing="0" w:after="0" w:afterAutospacing="0" w:line="560" w:lineRule="exact"/>
        <w:ind w:firstLine="640" w:firstLineChars="200"/>
        <w:jc w:val="both"/>
        <w:rPr>
          <w:rFonts w:ascii="仿宋" w:hAnsi="仿宋" w:eastAsia="仿宋" w:cs="宋体"/>
          <w:sz w:val="32"/>
          <w:szCs w:val="32"/>
          <w:lang w:val="en-US" w:eastAsia="zh-CN" w:bidi="ar-SA"/>
        </w:rPr>
      </w:pPr>
      <w:r>
        <w:rPr>
          <w:rFonts w:hint="eastAsia" w:ascii="仿宋" w:hAnsi="仿宋" w:eastAsia="仿宋" w:cs="Times New Roman"/>
          <w:sz w:val="32"/>
          <w:szCs w:val="32"/>
          <w:lang w:val="en-US" w:eastAsia="zh-CN" w:bidi="ar-SA"/>
        </w:rPr>
        <w:t>本年度未收取信息处理费。</w:t>
      </w:r>
    </w:p>
    <w:p w14:paraId="7DFBED7F">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jc w:val="both"/>
        <w:textAlignment w:val="auto"/>
      </w:pPr>
      <w:bookmarkStart w:id="0" w:name="_GoBack"/>
      <w:bookmarkEnd w:id="0"/>
    </w:p>
    <w:sectPr>
      <w:headerReference r:id="rId3" w:type="default"/>
      <w:footerReference r:id="rId4" w:type="default"/>
      <w:pgSz w:w="11906" w:h="16838"/>
      <w:pgMar w:top="2098" w:right="1474" w:bottom="1984" w:left="1587" w:header="851" w:footer="850" w:gutter="0"/>
      <w:pgNumType w:fmt="decimal"/>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仿宋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022AB">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06A111">
                          <w:pPr>
                            <w:pStyle w:val="2"/>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D06A111">
                    <w:pPr>
                      <w:pStyle w:val="2"/>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24A469">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2E688F"/>
    <w:rsid w:val="3B35163E"/>
    <w:rsid w:val="402B4E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3">
    <w:name w:val="header"/>
    <w:qFormat/>
    <w:uiPriority w:val="0"/>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4">
    <w:name w:val="Normal (Web)"/>
    <w:next w:val="3"/>
    <w:qFormat/>
    <w:uiPriority w:val="0"/>
    <w:pPr>
      <w:widowControl w:val="0"/>
      <w:spacing w:before="100" w:beforeAutospacing="1" w:after="100" w:afterAutospacing="1"/>
      <w:ind w:left="0" w:right="0"/>
      <w:jc w:val="left"/>
    </w:pPr>
    <w:rPr>
      <w:rFonts w:ascii="Times New Roman" w:hAnsi="Times New Roman" w:eastAsia="宋体" w:cs="Times New Roman"/>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1834</Words>
  <Characters>1903</Characters>
  <Lines>0</Lines>
  <Paragraphs>0</Paragraphs>
  <TotalTime>5</TotalTime>
  <ScaleCrop>false</ScaleCrop>
  <LinksUpToDate>false</LinksUpToDate>
  <CharactersWithSpaces>1904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2025-01-10T02:40:00Z</dcterms:created>
  <dc:creator>Administrator</dc:creator>
  <cp:lastModifiedBy>赵彬</cp:lastModifiedBy>
  <dcterms:modified xsi:type="dcterms:W3CDTF">2026-01-16T07:18:48Z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eyJoZGlkIjoiNmM1YzQ4NDRiMmE0MDdjMGM2NzNjNzg1Y2U5MzhjZDAiLCJ1c2VySWQiOiIxNDYxNjQ0MDI3In0=</vt:lpwstr>
  </property>
  <property fmtid="{D5CDD505-2E9C-101B-9397-08002B2CF9AE}" pid="4" name="ICV">
    <vt:lpwstr>374E9A1902B74F0FBE90A0595D2471B9_13</vt:lpwstr>
  </property>
</Properties>
</file>