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FA2E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-SA"/>
        </w:rPr>
        <w:t>湘潭县林业局2025年政府信息公开工作年度报告</w:t>
      </w:r>
    </w:p>
    <w:p w14:paraId="1407B4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42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ar-SA"/>
        </w:rPr>
      </w:pPr>
    </w:p>
    <w:p w14:paraId="552FE4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一、总体情况</w:t>
      </w:r>
    </w:p>
    <w:p w14:paraId="65C1735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/>
          <w:kern w:val="0"/>
          <w:sz w:val="32"/>
          <w:szCs w:val="32"/>
          <w:lang w:val="en-US" w:eastAsia="zh-CN" w:bidi="ar-SA"/>
        </w:rPr>
        <w:t>2025年，在县委县政府正确领导下，全县林业工作以林长制工作为抓手，坚持党建领航，围绕中心工作，落实主责主业，实现莲乡林业事业发展稳中有升。全局上下密切配合，共同努力，完成全年的政府信息公开工作，推动全县林业高质量发展，较好地完成了年度目标任务。全年主动公开信息10余条，对领导信息机构职能职责等都按相关要求做好了更新，收到两件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/>
          <w:kern w:val="0"/>
          <w:sz w:val="32"/>
          <w:szCs w:val="32"/>
          <w:lang w:val="en-US" w:eastAsia="zh-CN" w:bidi="ar-SA"/>
        </w:rPr>
        <w:t>依申请公开。受理行政许可550件，收取行政事业性收费62.38万元。</w:t>
      </w:r>
    </w:p>
    <w:p w14:paraId="42ACEFC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/>
          <w:kern w:val="0"/>
          <w:sz w:val="32"/>
          <w:szCs w:val="32"/>
          <w:lang w:val="en-US" w:eastAsia="zh-CN" w:bidi="ar-SA"/>
        </w:rPr>
        <w:t>　　（一）主动公开政府信息情况</w:t>
      </w:r>
    </w:p>
    <w:p w14:paraId="109F60A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/>
          <w:kern w:val="0"/>
          <w:sz w:val="32"/>
          <w:szCs w:val="32"/>
          <w:lang w:val="en-US" w:eastAsia="zh-CN" w:bidi="ar-SA"/>
        </w:rPr>
        <w:t>　　2025年，湘潭县林业局认真贯彻落实《中华人民共和国政府信息公开条例》，按照上级工作要求，坚持以公开为常态，以不公开为例外的原则，根据工作职能做好政府信息公开工作，全方位、多角度、高频次为群众提供所需信息。2025年，我局坚持信息公开三审制度，主动公开政府信息10余条，包括机构信息，领导信息，财政信息等。</w:t>
      </w:r>
    </w:p>
    <w:p w14:paraId="1AF8DB8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/>
          <w:kern w:val="0"/>
          <w:sz w:val="32"/>
          <w:szCs w:val="32"/>
          <w:lang w:val="en-US" w:eastAsia="zh-CN" w:bidi="ar-SA"/>
        </w:rPr>
        <w:t>　　（二）收到和处理政府信息公开申请情况</w:t>
      </w:r>
    </w:p>
    <w:p w14:paraId="20E7E6C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/>
          <w:kern w:val="0"/>
          <w:sz w:val="32"/>
          <w:szCs w:val="32"/>
          <w:lang w:val="en-US" w:eastAsia="zh-CN" w:bidi="ar-SA"/>
        </w:rPr>
        <w:t>　　2025年，湘潭县林业局规范依申请公开工作流程，收到两件申请，均依流程进行了回复。</w:t>
      </w:r>
    </w:p>
    <w:p w14:paraId="1F539B7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/>
          <w:kern w:val="0"/>
          <w:sz w:val="32"/>
          <w:szCs w:val="32"/>
          <w:lang w:val="en-US" w:eastAsia="zh-CN" w:bidi="ar-SA"/>
        </w:rPr>
        <w:t>　　（三）因政府信息公开工作被申请行政复议、提起行政诉讼情况</w:t>
      </w:r>
    </w:p>
    <w:p w14:paraId="4B12BEB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/>
          <w:kern w:val="0"/>
          <w:sz w:val="32"/>
          <w:szCs w:val="32"/>
          <w:lang w:val="en-US" w:eastAsia="zh-CN" w:bidi="ar-SA"/>
        </w:rPr>
        <w:t>　　2025年，湘潭县林业局规范提升信息公开质量，保障公众合理信息需求，收到一件行政复议申请。</w:t>
      </w:r>
    </w:p>
    <w:p w14:paraId="79B8ED3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br w:type="page"/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二、主动公开政府信息情况</w:t>
      </w:r>
    </w:p>
    <w:tbl>
      <w:tblPr>
        <w:tblStyle w:val="4"/>
        <w:tblpPr w:leftFromText="180" w:rightFromText="180" w:vertAnchor="text" w:horzAnchor="page" w:tblpX="1630" w:tblpY="579"/>
        <w:tblOverlap w:val="never"/>
        <w:tblW w:w="90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 w14:paraId="4F84C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59492C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第二十条第（一）项</w:t>
            </w:r>
          </w:p>
        </w:tc>
      </w:tr>
      <w:tr w14:paraId="0F8ED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73EACF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信息内容</w:t>
            </w:r>
          </w:p>
        </w:tc>
        <w:tc>
          <w:tcPr>
            <w:tcW w:w="1881" w:type="dxa"/>
            <w:noWrap/>
            <w:tcMar>
              <w:left w:w="108" w:type="dxa"/>
              <w:right w:w="108" w:type="dxa"/>
            </w:tcMar>
            <w:vAlign w:val="center"/>
          </w:tcPr>
          <w:p w14:paraId="789F07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  <w:t>本年制发件数</w:t>
            </w:r>
          </w:p>
        </w:tc>
        <w:tc>
          <w:tcPr>
            <w:tcW w:w="1979" w:type="dxa"/>
            <w:noWrap w:val="0"/>
            <w:tcMar>
              <w:left w:w="108" w:type="dxa"/>
              <w:right w:w="108" w:type="dxa"/>
            </w:tcMar>
            <w:vAlign w:val="center"/>
          </w:tcPr>
          <w:p w14:paraId="06AA37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  <w:t>本年废止件数</w:t>
            </w:r>
          </w:p>
        </w:tc>
        <w:tc>
          <w:tcPr>
            <w:tcW w:w="2091" w:type="dxa"/>
            <w:noWrap/>
            <w:tcMar>
              <w:left w:w="108" w:type="dxa"/>
              <w:right w:w="108" w:type="dxa"/>
            </w:tcMar>
            <w:vAlign w:val="center"/>
          </w:tcPr>
          <w:p w14:paraId="33A6D0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  <w:t>现行有效件数</w:t>
            </w:r>
          </w:p>
        </w:tc>
      </w:tr>
      <w:tr w14:paraId="6D12A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39114A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规章</w:t>
            </w:r>
          </w:p>
        </w:tc>
        <w:tc>
          <w:tcPr>
            <w:tcW w:w="1881" w:type="dxa"/>
            <w:noWrap/>
            <w:tcMar>
              <w:left w:w="108" w:type="dxa"/>
              <w:right w:w="108" w:type="dxa"/>
            </w:tcMar>
            <w:vAlign w:val="center"/>
          </w:tcPr>
          <w:p w14:paraId="4F77DE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noWrap w:val="0"/>
            <w:tcMar>
              <w:left w:w="108" w:type="dxa"/>
              <w:right w:w="108" w:type="dxa"/>
            </w:tcMar>
            <w:vAlign w:val="center"/>
          </w:tcPr>
          <w:p w14:paraId="51B6B2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noWrap/>
            <w:tcMar>
              <w:left w:w="108" w:type="dxa"/>
              <w:right w:w="108" w:type="dxa"/>
            </w:tcMar>
            <w:vAlign w:val="center"/>
          </w:tcPr>
          <w:p w14:paraId="1617A7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4FE27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0087F0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规范性文件</w:t>
            </w:r>
          </w:p>
        </w:tc>
        <w:tc>
          <w:tcPr>
            <w:tcW w:w="1881" w:type="dxa"/>
            <w:noWrap/>
            <w:tcMar>
              <w:left w:w="108" w:type="dxa"/>
              <w:right w:w="108" w:type="dxa"/>
            </w:tcMar>
            <w:vAlign w:val="center"/>
          </w:tcPr>
          <w:p w14:paraId="1C8271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noWrap w:val="0"/>
            <w:tcMar>
              <w:left w:w="108" w:type="dxa"/>
              <w:right w:w="108" w:type="dxa"/>
            </w:tcMar>
            <w:vAlign w:val="center"/>
          </w:tcPr>
          <w:p w14:paraId="47E13D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noWrap/>
            <w:tcMar>
              <w:left w:w="108" w:type="dxa"/>
              <w:right w:w="108" w:type="dxa"/>
            </w:tcMar>
            <w:vAlign w:val="center"/>
          </w:tcPr>
          <w:p w14:paraId="4DFECE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0AF89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5E5944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  <w:t>第二十条第（五）项</w:t>
            </w:r>
          </w:p>
        </w:tc>
      </w:tr>
      <w:tr w14:paraId="1708F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64ECE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信息内容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2B1E71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4A17B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35CFA8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行政许可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52730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550</w:t>
            </w:r>
          </w:p>
        </w:tc>
      </w:tr>
      <w:tr w14:paraId="7FA61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4D8423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  <w:t>第二十条第（六）项</w:t>
            </w:r>
          </w:p>
        </w:tc>
      </w:tr>
      <w:tr w14:paraId="785A5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1F708A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信息内容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5AAEC4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0DAAE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473BC2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行政处罚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7ED9EF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58058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11E3C6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行政强制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142A34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0</w:t>
            </w:r>
          </w:p>
        </w:tc>
      </w:tr>
      <w:tr w14:paraId="3F52A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747BAE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  <w:t>第二十条第（八）项</w:t>
            </w:r>
          </w:p>
        </w:tc>
      </w:tr>
      <w:tr w14:paraId="114ED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52C9AB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信息内容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50AF25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 w14:paraId="759EE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7DE1A3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行政事业性收费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77CB10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 w:cs="Times New Roman"/>
                <w:kern w:val="2"/>
                <w:sz w:val="21"/>
                <w:szCs w:val="21"/>
                <w:lang w:val="en-US" w:eastAsia="zh-CN"/>
              </w:rPr>
              <w:t>62.38</w:t>
            </w:r>
          </w:p>
        </w:tc>
      </w:tr>
    </w:tbl>
    <w:p w14:paraId="2E6FEA41">
      <w:pPr>
        <w:widowControl/>
        <w:spacing w:before="0" w:beforeAutospacing="0" w:after="240" w:afterAutospacing="0"/>
        <w:ind w:left="0" w:right="0" w:firstLine="640" w:firstLineChars="200"/>
        <w:jc w:val="both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br w:type="page"/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收到和处理政府信息公开申请情况</w:t>
      </w:r>
    </w:p>
    <w:tbl>
      <w:tblPr>
        <w:tblStyle w:val="4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 w14:paraId="79641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4B58E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31DE0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申请人情况</w:t>
            </w:r>
          </w:p>
        </w:tc>
      </w:tr>
      <w:tr w14:paraId="2BDF9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FC010D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3AD24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5B7360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D2A71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总计</w:t>
            </w:r>
          </w:p>
        </w:tc>
      </w:tr>
      <w:tr w14:paraId="04EF8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E05927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F74131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E616B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72DC11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61A5EF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97E2FA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803BA6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DE4CF9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</w:tr>
      <w:tr w14:paraId="5DAF9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486FC5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7AEEF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7245A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13FC9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2370F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77482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54A05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8B328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</w:tr>
      <w:tr w14:paraId="43F5FC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99547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5F0DC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E2E16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39198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D9868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6832A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9714B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3EFEB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07B28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A6461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4D7FA1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05432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99967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46F52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BC69C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EBFFE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24BFE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BB982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</w:tr>
      <w:tr w14:paraId="01B28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2F9599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76C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val="en-US"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F4EE4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03BA3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D22A6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74A74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C1C25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EDB87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37A69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25B5F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1C1329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DC46DF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62C102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3BE2D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46B8A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82753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E76A8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B5846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689D5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E4D00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027D7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5D7AFE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AB668A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287152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DAC3F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1B992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6F12E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C1FA5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1A5A0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55A39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A4537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023AD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F7DC8C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C40D28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ABF8AB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23CBD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FAF75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54B6D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EACAB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F0060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ADA7C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5C588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658E7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FA1027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1FE0AA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46AFE6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A9D60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59678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0145F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2D53C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F816A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746E4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DBE89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091D1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63E616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CF65FA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7C7F5E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8D998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04B38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19359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88BCA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071C9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3C174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EF3AF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431C2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7422A8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0D8849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734C05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5DD7D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92D0B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8CA3E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FAE41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801EC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EF2B9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8C83E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7A024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F45233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462B6B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55438E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5296C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62BB7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664B4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6451E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C3426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A0E06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903EF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44953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35D7B9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C063A2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038EFE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90D6A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4A46B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A78DA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27229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564D3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E3815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CAECA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660A6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FCFDE6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B10D7E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A08C92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E92C9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7763C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4E835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45230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659CF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8C552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51246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</w:tr>
      <w:tr w14:paraId="4D6C7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0F5645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6C08E6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5FA23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71BCF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F67E6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CA07C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2D9ED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8B696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CAE57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9C45D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5468F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78F990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377882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E44EFB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2047C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CF455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3D359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A51B2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24C7F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9D65B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97641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1E476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25DB9B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AC34AA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63B1A1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13DD5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F407F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6ADED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362F8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D15C6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A7748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36DB3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71232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CE5754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40E309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2B120B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C2D78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3122F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20EBE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7F785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AD9DA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AD391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E284B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2B0E5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EDF891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99AE74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12075F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864B1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28710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92844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EE119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B63B8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43B18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F7227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3FF33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D52CB4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83BC8B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BE1E54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74537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4695E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CB002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0BBA8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D4D76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F3495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BEA0C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7EC59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3ECCF2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54713B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79DB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A436F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F177B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48D67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C7666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B3EE8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D9596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0A50E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48C43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BD368A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EEBE1F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4BCC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AA466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63EDD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B5ED7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14EB2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7EA0D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61CFA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1F171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44182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0EBCE3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810ADD">
            <w:pPr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B3D9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57A91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A4277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CC2ED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4AE05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B9EA5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9EF1D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0901B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7DB50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7C0F30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6DC54B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9D1C77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595B6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E3D20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4566A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33660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59903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33723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39C89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14:paraId="39C2C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4E09B9">
            <w:pPr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8AEE85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D5AC3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FFCA4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C696F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1D63C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27AF6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AFE1C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80A22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</w:tr>
      <w:tr w14:paraId="12137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1E161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7730F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F2B9B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ADD6A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435B3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9059C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BE4B0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36F5B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</w:tbl>
    <w:p w14:paraId="418235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4"/>
        <w:tblpPr w:leftFromText="180" w:rightFromText="180" w:vertAnchor="text" w:horzAnchor="page" w:tblpX="1080" w:tblpY="438"/>
        <w:tblOverlap w:val="never"/>
        <w:tblW w:w="1008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 w14:paraId="37479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E314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E050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bidi="ar"/>
              </w:rPr>
              <w:t>行政诉讼</w:t>
            </w:r>
          </w:p>
        </w:tc>
      </w:tr>
      <w:tr w14:paraId="270B4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D27A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0F5C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C07E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0475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FB39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A4C5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4918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bidi="ar"/>
              </w:rPr>
              <w:t>复议后起诉</w:t>
            </w:r>
          </w:p>
        </w:tc>
      </w:tr>
      <w:tr w14:paraId="17C9F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1D28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A701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1B72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22C6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B8B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3707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618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E8C8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7659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9BEA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9D28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F2F8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9209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0765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val="en-US"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DA75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总计</w:t>
            </w:r>
          </w:p>
        </w:tc>
      </w:tr>
      <w:tr w14:paraId="2E34F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63399C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B67972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D2BD76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宋体" w:cs="Times New Roman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F2C24C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61EC98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47D494F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CDDE5C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2ACDCC5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9FDBC1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2CDF34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E1F8F1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05C07BF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696EA97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7503C10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 w14:paraId="5D6B00E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</w:tbl>
    <w:p w14:paraId="458C5F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2F71544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　　五、存在的主要问题及改进情况</w:t>
      </w:r>
    </w:p>
    <w:p w14:paraId="2A6B9E5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,虽然我局在政府信息公开方面做了大量工作，但在工作中还存在一些问题和不足：政府信息公开的内容和形式还需要进一步规范，标准还不够高，内容还不齐全，信息更新还需要更及时。今后，我局将进一步加大推进政府信息公开的力度，进一步规范、完善政府信息公开工作，充实公开内容，拓展公开形式，健全长效机制，努力使政府信息工作规范化、常态化。</w:t>
      </w:r>
    </w:p>
    <w:p w14:paraId="5E0741EE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　　六、其他需要报告的事项</w:t>
      </w:r>
    </w:p>
    <w:p w14:paraId="7E8A83C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本年度未收取信息处理费。</w:t>
      </w:r>
    </w:p>
    <w:p w14:paraId="09D56061">
      <w:r>
        <w:rPr>
          <w:rFonts w:ascii="方正仿宋_GBK" w:hAnsi="方正仿宋_GBK" w:eastAsia="方正仿宋_GBK" w:cs="方正仿宋_GBK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4F941C"/>
    <w:rsid w:val="4A4F941C"/>
    <w:rsid w:val="7FF7D389"/>
    <w:rsid w:val="CA5FB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99"/>
    <w:pPr>
      <w:widowControl w:val="0"/>
    </w:pPr>
    <w:rPr>
      <w:rFonts w:hint="eastAsia" w:ascii="Times New Roman" w:hAnsi="Times New Roman" w:eastAsia="Times New Roman" w:cs="Times New Roman"/>
      <w:color w:val="000000"/>
      <w:sz w:val="24"/>
      <w:lang w:val="zh-CN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rPr>
      <w:rFonts w:cs="Times New Roman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2026-01-12T23:17:00Z</dcterms:created>
  <dc:creator>kylin</dc:creator>
  <cp:lastModifiedBy>kylin</cp:lastModifiedBy>
  <cp:lastPrinted>2026-01-14T00:28:00Z</cp:lastPrinted>
  <dcterms:modified xsi:type="dcterms:W3CDTF">2026-01-15T10:16:35Z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7D6AC2E74C7DD8BA9BF366696F28B8A9_43</vt:lpwstr>
  </property>
</Properties>
</file>