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B7E5BD">
      <w:pPr>
        <w:keepNext w:val="0"/>
        <w:keepLines w:val="0"/>
        <w:widowControl/>
        <w:suppressLineNumbers w:val="0"/>
        <w:jc w:val="center"/>
        <w:rPr>
          <w:rFonts w:hint="eastAsia" w:ascii="方正小标宋简体" w:hAnsi="方正小标宋简体" w:eastAsia="方正小标宋简体" w:cs="方正小标宋简体"/>
          <w:b w:val="0"/>
          <w:bCs w:val="0"/>
          <w:color w:val="000000"/>
          <w:kern w:val="0"/>
          <w:sz w:val="40"/>
          <w:szCs w:val="40"/>
          <w:lang w:val="en-US" w:eastAsia="zh-CN" w:bidi="ar"/>
        </w:rPr>
      </w:pPr>
      <w:r>
        <w:rPr>
          <w:rFonts w:hint="eastAsia" w:ascii="方正小标宋简体" w:hAnsi="方正小标宋简体" w:eastAsia="方正小标宋简体" w:cs="方正小标宋简体"/>
          <w:b w:val="0"/>
          <w:bCs w:val="0"/>
          <w:color w:val="000000"/>
          <w:kern w:val="0"/>
          <w:sz w:val="40"/>
          <w:szCs w:val="40"/>
          <w:lang w:val="en-US" w:eastAsia="zh-CN" w:bidi="ar"/>
        </w:rPr>
        <w:t>湘潭县应急管理局 2025 年政府信息公开</w:t>
      </w:r>
    </w:p>
    <w:p w14:paraId="1391E8F9">
      <w:pPr>
        <w:keepNext w:val="0"/>
        <w:keepLines w:val="0"/>
        <w:widowControl/>
        <w:suppressLineNumbers w:val="0"/>
        <w:jc w:val="center"/>
        <w:rPr>
          <w:rFonts w:hint="eastAsia" w:ascii="方正小标宋简体" w:hAnsi="方正小标宋简体" w:eastAsia="方正小标宋简体" w:cs="方正小标宋简体"/>
          <w:b w:val="0"/>
          <w:bCs w:val="0"/>
          <w:color w:val="000000"/>
          <w:kern w:val="0"/>
          <w:sz w:val="40"/>
          <w:szCs w:val="40"/>
          <w:lang w:val="en-US" w:eastAsia="zh-CN" w:bidi="ar"/>
        </w:rPr>
      </w:pPr>
      <w:r>
        <w:rPr>
          <w:rFonts w:hint="eastAsia" w:ascii="方正小标宋简体" w:hAnsi="方正小标宋简体" w:eastAsia="方正小标宋简体" w:cs="方正小标宋简体"/>
          <w:b w:val="0"/>
          <w:bCs w:val="0"/>
          <w:color w:val="000000"/>
          <w:kern w:val="0"/>
          <w:sz w:val="40"/>
          <w:szCs w:val="40"/>
          <w:lang w:val="en-US" w:eastAsia="zh-CN" w:bidi="ar"/>
        </w:rPr>
        <w:t>工作年度报告</w:t>
      </w:r>
    </w:p>
    <w:p w14:paraId="2DE85C6F">
      <w:pPr>
        <w:keepNext w:val="0"/>
        <w:keepLines w:val="0"/>
        <w:widowControl/>
        <w:suppressLineNumbers w:val="0"/>
        <w:jc w:val="left"/>
        <w:rPr>
          <w:rFonts w:hint="eastAsia" w:ascii="仿宋_GB2312" w:hAnsi="仿宋_GB2312" w:eastAsia="仿宋_GB2312" w:cs="仿宋_GB2312"/>
          <w:kern w:val="0"/>
          <w:sz w:val="32"/>
          <w:szCs w:val="32"/>
          <w:shd w:val="clear" w:color="auto" w:fill="FFFFFF"/>
          <w:lang w:val="en-US" w:eastAsia="zh-CN" w:bidi="ar-SA"/>
        </w:rPr>
      </w:pPr>
    </w:p>
    <w:p w14:paraId="1711940A">
      <w:pPr>
        <w:keepNext w:val="0"/>
        <w:keepLines w:val="0"/>
        <w:pageBreakBefore w:val="0"/>
        <w:widowControl/>
        <w:suppressLineNumbers w:val="0"/>
        <w:kinsoku/>
        <w:wordWrap/>
        <w:overflowPunct/>
        <w:topLinePunct w:val="0"/>
        <w:autoSpaceDE/>
        <w:autoSpaceDN/>
        <w:bidi w:val="0"/>
        <w:adjustRightInd/>
        <w:snapToGrid/>
        <w:spacing w:line="560" w:lineRule="exact"/>
        <w:ind w:firstLine="640" w:firstLineChars="200"/>
        <w:jc w:val="left"/>
        <w:textAlignment w:val="auto"/>
        <w:rPr>
          <w:rFonts w:ascii="华文中宋" w:hAnsi="华文中宋" w:eastAsia="华文中宋" w:cs="华文中宋"/>
          <w:b/>
          <w:bCs/>
          <w:color w:val="000000"/>
          <w:kern w:val="0"/>
          <w:sz w:val="40"/>
          <w:szCs w:val="40"/>
          <w:lang w:val="en-US" w:eastAsia="zh-CN" w:bidi="ar"/>
        </w:rPr>
      </w:pPr>
      <w:r>
        <w:rPr>
          <w:rFonts w:hint="eastAsia" w:ascii="仿宋_GB2312" w:hAnsi="仿宋_GB2312" w:eastAsia="仿宋_GB2312" w:cs="仿宋_GB2312"/>
          <w:kern w:val="0"/>
          <w:sz w:val="32"/>
          <w:szCs w:val="32"/>
          <w:shd w:val="clear" w:color="auto" w:fill="FFFFFF"/>
          <w:lang w:val="en-US" w:eastAsia="zh-CN" w:bidi="ar-SA"/>
        </w:rPr>
        <w:t>根据《中华人民共和国政府信息公开条例》（国务院令第 711 号）规定，以及《国务院办公厅政府信息与政务公开办公室关于印发〈中华人民共和国政府信息公开工作年度报告格式〉的通知》（国办公开办函〔2021〕30 号）要求编制本报告。本报告所列数据的统计期限为 2025 年 1 月 1 日至 2025 年12月31日。</w:t>
      </w:r>
    </w:p>
    <w:p w14:paraId="018CC9A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黑体" w:hAnsi="黑体" w:eastAsia="黑体" w:cs="黑体"/>
          <w:b/>
          <w:bCs/>
          <w:kern w:val="0"/>
          <w:sz w:val="32"/>
          <w:szCs w:val="32"/>
          <w:shd w:val="clear" w:color="auto" w:fill="FFFFFF"/>
          <w:lang w:val="en-US" w:eastAsia="zh-CN" w:bidi="ar-SA"/>
        </w:rPr>
      </w:pPr>
      <w:r>
        <w:rPr>
          <w:rFonts w:hint="eastAsia" w:ascii="黑体" w:hAnsi="黑体" w:eastAsia="黑体" w:cs="黑体"/>
          <w:b/>
          <w:bCs/>
          <w:kern w:val="0"/>
          <w:sz w:val="32"/>
          <w:szCs w:val="32"/>
          <w:shd w:val="clear" w:color="auto" w:fill="FFFFFF"/>
          <w:lang w:val="en-US" w:eastAsia="zh-CN" w:bidi="ar-SA"/>
        </w:rPr>
        <w:t>一、总体情况</w:t>
      </w:r>
    </w:p>
    <w:p w14:paraId="40B04FC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2025年，湘潭县应急管理局严格贯彻落实《中华人民共和国政府信息公开条例》等文件精神，及时发布工作动态，认真落实工作要求，全面开展了政府信息公开工作，保障了公众知情权。</w:t>
      </w:r>
    </w:p>
    <w:p w14:paraId="03BB1D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w:t>
      </w:r>
      <w:r>
        <w:rPr>
          <w:rFonts w:hint="eastAsia" w:ascii="楷体" w:hAnsi="楷体" w:eastAsia="楷体" w:cs="楷体"/>
          <w:b/>
          <w:bCs/>
          <w:kern w:val="0"/>
          <w:sz w:val="32"/>
          <w:szCs w:val="32"/>
          <w:shd w:val="clear" w:color="auto" w:fill="FFFFFF"/>
          <w:lang w:val="en-US" w:eastAsia="zh-CN" w:bidi="ar-SA"/>
        </w:rPr>
        <w:t>(一)主动公开方面。</w:t>
      </w:r>
      <w:r>
        <w:rPr>
          <w:rFonts w:hint="eastAsia" w:ascii="仿宋_GB2312" w:hAnsi="仿宋_GB2312" w:eastAsia="仿宋_GB2312" w:cs="仿宋_GB2312"/>
          <w:kern w:val="0"/>
          <w:sz w:val="32"/>
          <w:szCs w:val="32"/>
          <w:shd w:val="clear" w:color="auto" w:fill="FFFFFF"/>
          <w:lang w:val="en-US" w:eastAsia="zh-CN" w:bidi="ar-SA"/>
        </w:rPr>
        <w:t>公开的内容包括：</w:t>
      </w:r>
    </w:p>
    <w:p w14:paraId="526DFE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1.机构信息：单位概况、机构职能、机构设置、领导信息。</w:t>
      </w:r>
    </w:p>
    <w:p w14:paraId="133F3E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2.工作动态：部门动态。</w:t>
      </w:r>
    </w:p>
    <w:p w14:paraId="3917D8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3.应急管理：应急预案、预警信息及应对情况等。</w:t>
      </w:r>
    </w:p>
    <w:p w14:paraId="2A736C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4.2025年政务公开工作要点专栏：“湘潭县实施七大攻坚”专题。</w:t>
      </w:r>
    </w:p>
    <w:p w14:paraId="6D53C6B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5.行政执法信息等。</w:t>
      </w:r>
    </w:p>
    <w:p w14:paraId="39C0F91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0"/>
        <w:jc w:val="both"/>
        <w:textAlignment w:val="auto"/>
        <w:rPr>
          <w:rFonts w:hint="eastAsia" w:ascii="仿宋_GB2312" w:hAnsi="仿宋_GB2312" w:eastAsia="仿宋_GB2312" w:cs="仿宋_GB2312"/>
          <w:kern w:val="0"/>
          <w:sz w:val="32"/>
          <w:szCs w:val="32"/>
          <w:shd w:val="clear" w:color="auto" w:fill="FFFFFF"/>
          <w:lang w:val="en-US" w:eastAsia="zh-CN" w:bidi="ar-SA"/>
        </w:rPr>
      </w:pPr>
    </w:p>
    <w:p w14:paraId="6824D2E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w:t>
      </w:r>
      <w:r>
        <w:rPr>
          <w:rFonts w:hint="eastAsia" w:ascii="楷体" w:hAnsi="楷体" w:eastAsia="楷体" w:cs="楷体"/>
          <w:b/>
          <w:bCs/>
          <w:kern w:val="0"/>
          <w:sz w:val="32"/>
          <w:szCs w:val="32"/>
          <w:shd w:val="clear" w:color="auto" w:fill="FFFFFF"/>
          <w:lang w:val="en-US" w:eastAsia="zh-CN" w:bidi="ar-SA"/>
        </w:rPr>
        <w:t>（二）依申请公开方面：</w:t>
      </w:r>
      <w:r>
        <w:rPr>
          <w:rFonts w:hint="eastAsia" w:ascii="仿宋_GB2312" w:hAnsi="仿宋_GB2312" w:eastAsia="仿宋_GB2312" w:cs="仿宋_GB2312"/>
          <w:kern w:val="0"/>
          <w:sz w:val="32"/>
          <w:szCs w:val="32"/>
          <w:shd w:val="clear" w:color="auto" w:fill="FFFFFF"/>
          <w:lang w:val="en-US" w:eastAsia="zh-CN" w:bidi="ar-SA"/>
        </w:rPr>
        <w:t>2025年，新受理政府信息公开申请0件，上年转结政府信息公开申请0件，全年办结0件，转下一年办理0件。</w:t>
      </w:r>
    </w:p>
    <w:p w14:paraId="6D40AE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w:t>
      </w:r>
      <w:r>
        <w:rPr>
          <w:rFonts w:hint="eastAsia" w:ascii="楷体" w:hAnsi="楷体" w:eastAsia="楷体" w:cs="楷体"/>
          <w:b/>
          <w:bCs/>
          <w:kern w:val="0"/>
          <w:sz w:val="32"/>
          <w:szCs w:val="32"/>
          <w:shd w:val="clear" w:color="auto" w:fill="FFFFFF"/>
          <w:lang w:val="en-US" w:eastAsia="zh-CN" w:bidi="ar-SA"/>
        </w:rPr>
        <w:t>（三）政府信息管理情况：</w:t>
      </w:r>
      <w:r>
        <w:rPr>
          <w:rFonts w:hint="eastAsia" w:ascii="仿宋_GB2312" w:hAnsi="仿宋_GB2312" w:eastAsia="仿宋_GB2312" w:cs="仿宋_GB2312"/>
          <w:kern w:val="0"/>
          <w:sz w:val="32"/>
          <w:szCs w:val="32"/>
          <w:shd w:val="clear" w:color="auto" w:fill="FFFFFF"/>
          <w:lang w:val="en-US" w:eastAsia="zh-CN" w:bidi="ar-SA"/>
        </w:rPr>
        <w:t>一是高度重视政府信息公开工作，建立主要领导亲自抓，分管领导负责抓，办公室统筹抓，其它科室协调配合的政务公开工作机制。二是定期对单位政务公开栏信息公开情况进行督查，确保信息及时更新并接受社会公众监督。</w:t>
      </w:r>
    </w:p>
    <w:p w14:paraId="010535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w:t>
      </w:r>
      <w:r>
        <w:rPr>
          <w:rFonts w:hint="eastAsia" w:ascii="楷体" w:hAnsi="楷体" w:eastAsia="楷体" w:cs="楷体"/>
          <w:b/>
          <w:bCs/>
          <w:kern w:val="0"/>
          <w:sz w:val="32"/>
          <w:szCs w:val="32"/>
          <w:shd w:val="clear" w:color="auto" w:fill="FFFFFF"/>
          <w:lang w:val="en-US" w:eastAsia="zh-CN" w:bidi="ar-SA"/>
        </w:rPr>
        <w:t>（四）政府信息公开平台建设方面：</w:t>
      </w:r>
      <w:r>
        <w:rPr>
          <w:rFonts w:hint="eastAsia" w:ascii="仿宋_GB2312" w:hAnsi="仿宋_GB2312" w:eastAsia="仿宋_GB2312" w:cs="仿宋_GB2312"/>
          <w:kern w:val="0"/>
          <w:sz w:val="32"/>
          <w:szCs w:val="32"/>
          <w:shd w:val="clear" w:color="auto" w:fill="FFFFFF"/>
          <w:lang w:val="en-US" w:eastAsia="zh-CN" w:bidi="ar-SA"/>
        </w:rPr>
        <w:t>认真贯彻落实《中华人民共和国政府信息公开条例》，及时发布工作动态，进行政策解读，宣传法律法规。2025年在微信公众号“莲乡应急”上，每周及时推送安全生产政策法规和全县安全生产和消防工作及防灾减灾救灾等应急管理工作动态消息，2025年共推送信息257期、358条。</w:t>
      </w:r>
    </w:p>
    <w:p w14:paraId="2CC1D7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w:t>
      </w:r>
      <w:r>
        <w:rPr>
          <w:rFonts w:hint="eastAsia" w:ascii="楷体" w:hAnsi="楷体" w:eastAsia="楷体" w:cs="楷体"/>
          <w:b/>
          <w:bCs/>
          <w:kern w:val="0"/>
          <w:sz w:val="32"/>
          <w:szCs w:val="32"/>
          <w:shd w:val="clear" w:color="auto" w:fill="FFFFFF"/>
          <w:lang w:val="en-US" w:eastAsia="zh-CN" w:bidi="ar-SA"/>
        </w:rPr>
        <w:t>（五）政府信息公开监督保障。</w:t>
      </w:r>
      <w:r>
        <w:rPr>
          <w:rFonts w:hint="eastAsia" w:ascii="仿宋_GB2312" w:hAnsi="仿宋_GB2312" w:eastAsia="仿宋_GB2312" w:cs="仿宋_GB2312"/>
          <w:kern w:val="0"/>
          <w:sz w:val="32"/>
          <w:szCs w:val="32"/>
          <w:shd w:val="clear" w:color="auto" w:fill="FFFFFF"/>
          <w:lang w:val="en-US" w:eastAsia="zh-CN" w:bidi="ar-SA"/>
        </w:rPr>
        <w:t>我局认真落实各项信息公开要求，由各分管领导审核把关，各科室积极配合，局办公室指定专人严格按照三审三校的发文制度负责信息公布，并定期对网站内容进行维护和更新，确保信息内容真实准确。积极推动应急管理政府信息公开社会评议，积极认真应对社会舆情，妥善处置舆情突发事件。严格按照法定时限和要求公开行政许可、行政处罚、规范性文件等，全年应急管理政府信息公开工作未发生责任追究的情形，工作实效显著。</w:t>
      </w:r>
    </w:p>
    <w:p w14:paraId="1482CA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w:t>
      </w:r>
    </w:p>
    <w:p w14:paraId="1134BC6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p>
    <w:p w14:paraId="71CF58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643" w:firstLineChars="200"/>
        <w:jc w:val="both"/>
        <w:textAlignment w:val="auto"/>
        <w:rPr>
          <w:rFonts w:hint="eastAsia" w:ascii="黑体" w:hAnsi="黑体" w:eastAsia="黑体" w:cs="黑体"/>
          <w:b/>
          <w:bCs/>
          <w:kern w:val="0"/>
          <w:sz w:val="32"/>
          <w:szCs w:val="32"/>
          <w:shd w:val="clear" w:color="auto" w:fill="FFFFFF"/>
          <w:lang w:val="en-US" w:eastAsia="zh-CN" w:bidi="ar-SA"/>
        </w:rPr>
      </w:pPr>
      <w:r>
        <w:rPr>
          <w:rFonts w:hint="eastAsia" w:ascii="黑体" w:hAnsi="黑体" w:eastAsia="黑体" w:cs="黑体"/>
          <w:b/>
          <w:bCs/>
          <w:kern w:val="0"/>
          <w:sz w:val="32"/>
          <w:szCs w:val="32"/>
          <w:shd w:val="clear" w:color="auto" w:fill="FFFFFF"/>
          <w:lang w:val="en-US" w:eastAsia="zh-CN" w:bidi="ar-SA"/>
        </w:rPr>
        <w:t>二、主动公开政府信息情况</w:t>
      </w:r>
    </w:p>
    <w:tbl>
      <w:tblPr>
        <w:tblStyle w:val="3"/>
        <w:tblW w:w="906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3113"/>
        <w:gridCol w:w="1881"/>
        <w:gridCol w:w="1979"/>
        <w:gridCol w:w="2091"/>
      </w:tblGrid>
      <w:tr w14:paraId="1AED858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606" w:hRule="atLeast"/>
          <w:jc w:val="center"/>
        </w:trPr>
        <w:tc>
          <w:tcPr>
            <w:tcW w:w="9064" w:type="dxa"/>
            <w:gridSpan w:val="4"/>
            <w:tcBorders>
              <w:top w:val="single" w:color="auto" w:sz="6" w:space="0"/>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14:paraId="688479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第二十条第（一）项</w:t>
            </w:r>
          </w:p>
        </w:tc>
      </w:tr>
      <w:tr w14:paraId="0C813A7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553A06E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信息内容</w:t>
            </w:r>
          </w:p>
        </w:tc>
        <w:tc>
          <w:tcPr>
            <w:tcW w:w="1881"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5A1A5C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本年制发件数</w:t>
            </w:r>
          </w:p>
        </w:tc>
        <w:tc>
          <w:tcPr>
            <w:tcW w:w="1979"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015C96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本年废止件数</w:t>
            </w:r>
          </w:p>
        </w:tc>
        <w:tc>
          <w:tcPr>
            <w:tcW w:w="209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51C79B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现行有效件数</w:t>
            </w:r>
          </w:p>
        </w:tc>
      </w:tr>
      <w:tr w14:paraId="01D437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0F218B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规章</w:t>
            </w:r>
          </w:p>
        </w:tc>
        <w:tc>
          <w:tcPr>
            <w:tcW w:w="188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8692EE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0</w:t>
            </w:r>
          </w:p>
        </w:tc>
        <w:tc>
          <w:tcPr>
            <w:tcW w:w="1979"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0DB84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0</w:t>
            </w:r>
          </w:p>
        </w:tc>
        <w:tc>
          <w:tcPr>
            <w:tcW w:w="209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0E0764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0</w:t>
            </w:r>
          </w:p>
        </w:tc>
      </w:tr>
      <w:tr w14:paraId="552FBB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73C936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行政规范性文件</w:t>
            </w:r>
          </w:p>
        </w:tc>
        <w:tc>
          <w:tcPr>
            <w:tcW w:w="188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0D8813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0</w:t>
            </w:r>
          </w:p>
        </w:tc>
        <w:tc>
          <w:tcPr>
            <w:tcW w:w="1979"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6EF33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0</w:t>
            </w:r>
          </w:p>
        </w:tc>
        <w:tc>
          <w:tcPr>
            <w:tcW w:w="209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5EDC6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0</w:t>
            </w:r>
          </w:p>
        </w:tc>
      </w:tr>
      <w:tr w14:paraId="240E48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9064" w:type="dxa"/>
            <w:gridSpan w:val="4"/>
            <w:tcBorders>
              <w:top w:val="nil"/>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14:paraId="46C3C2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第二十条第（五）项</w:t>
            </w:r>
          </w:p>
        </w:tc>
      </w:tr>
      <w:tr w14:paraId="277A1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29F72C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信息内容</w:t>
            </w:r>
          </w:p>
        </w:tc>
        <w:tc>
          <w:tcPr>
            <w:tcW w:w="5951" w:type="dxa"/>
            <w:gridSpan w:val="3"/>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338C8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本年处理决定数量</w:t>
            </w:r>
          </w:p>
        </w:tc>
      </w:tr>
      <w:tr w14:paraId="4B73B2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3286DB0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行政许可</w:t>
            </w:r>
          </w:p>
        </w:tc>
        <w:tc>
          <w:tcPr>
            <w:tcW w:w="5951" w:type="dxa"/>
            <w:gridSpan w:val="3"/>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A5C60F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default" w:ascii="宋体" w:hAnsi="Times New Roman" w:eastAsia="宋体" w:cs="宋体"/>
                <w:color w:val="000000"/>
                <w:kern w:val="0"/>
                <w:sz w:val="21"/>
                <w:szCs w:val="21"/>
                <w:lang w:val="en-US" w:eastAsia="zh-CN" w:bidi="ar"/>
              </w:rPr>
              <w:t> </w:t>
            </w:r>
          </w:p>
          <w:p w14:paraId="7867A9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94</w:t>
            </w:r>
          </w:p>
        </w:tc>
      </w:tr>
      <w:tr w14:paraId="592F68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9064" w:type="dxa"/>
            <w:gridSpan w:val="4"/>
            <w:tcBorders>
              <w:top w:val="nil"/>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14:paraId="5E3123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第二十条第（六）项</w:t>
            </w:r>
          </w:p>
        </w:tc>
      </w:tr>
      <w:tr w14:paraId="6AD3843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413AD77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信息内容</w:t>
            </w:r>
          </w:p>
        </w:tc>
        <w:tc>
          <w:tcPr>
            <w:tcW w:w="5951" w:type="dxa"/>
            <w:gridSpan w:val="3"/>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3F6EE4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本年处理决定数量</w:t>
            </w:r>
          </w:p>
        </w:tc>
      </w:tr>
      <w:tr w14:paraId="650C5D8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0D1FA1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行政处罚</w:t>
            </w:r>
          </w:p>
        </w:tc>
        <w:tc>
          <w:tcPr>
            <w:tcW w:w="5951" w:type="dxa"/>
            <w:gridSpan w:val="3"/>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8F5F99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default" w:ascii="宋体" w:hAnsi="Times New Roman" w:eastAsia="宋体" w:cs="宋体"/>
                <w:color w:val="000000"/>
                <w:kern w:val="0"/>
                <w:sz w:val="21"/>
                <w:szCs w:val="21"/>
                <w:lang w:val="en-US" w:eastAsia="zh-CN" w:bidi="ar"/>
              </w:rPr>
              <w:t> </w:t>
            </w:r>
          </w:p>
          <w:p w14:paraId="4B3505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104</w:t>
            </w:r>
          </w:p>
        </w:tc>
      </w:tr>
      <w:tr w14:paraId="5AB8A9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42ABA6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行政强制</w:t>
            </w:r>
          </w:p>
        </w:tc>
        <w:tc>
          <w:tcPr>
            <w:tcW w:w="5951" w:type="dxa"/>
            <w:gridSpan w:val="3"/>
            <w:tcBorders>
              <w:top w:val="nil"/>
              <w:left w:val="nil"/>
              <w:bottom w:val="single" w:color="auto" w:sz="6" w:space="0"/>
              <w:right w:val="single" w:color="auto" w:sz="6" w:space="0"/>
            </w:tcBorders>
            <w:shd w:val="clear" w:color="auto" w:fill="auto"/>
            <w:tcMar>
              <w:top w:w="0" w:type="dxa"/>
              <w:left w:w="108" w:type="dxa"/>
              <w:bottom w:w="0" w:type="dxa"/>
              <w:right w:w="108" w:type="dxa"/>
            </w:tcMar>
            <w:vAlign w:val="top"/>
          </w:tcPr>
          <w:p w14:paraId="4375155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p>
          <w:p w14:paraId="5E37FB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0</w:t>
            </w:r>
          </w:p>
        </w:tc>
      </w:tr>
      <w:tr w14:paraId="709CED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006" w:hRule="atLeast"/>
          <w:jc w:val="center"/>
        </w:trPr>
        <w:tc>
          <w:tcPr>
            <w:tcW w:w="9064" w:type="dxa"/>
            <w:gridSpan w:val="4"/>
            <w:tcBorders>
              <w:top w:val="nil"/>
              <w:left w:val="single" w:color="auto" w:sz="6" w:space="0"/>
              <w:bottom w:val="single" w:color="auto" w:sz="6" w:space="0"/>
              <w:right w:val="single" w:color="auto" w:sz="6" w:space="0"/>
            </w:tcBorders>
            <w:shd w:val="clear" w:color="auto" w:fill="C6D9F1"/>
            <w:tcMar>
              <w:top w:w="0" w:type="dxa"/>
              <w:left w:w="108" w:type="dxa"/>
              <w:bottom w:w="0" w:type="dxa"/>
              <w:right w:w="108" w:type="dxa"/>
            </w:tcMar>
            <w:vAlign w:val="center"/>
          </w:tcPr>
          <w:p w14:paraId="26D311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第二十条第（八）项</w:t>
            </w:r>
          </w:p>
        </w:tc>
      </w:tr>
      <w:tr w14:paraId="403295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606"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4D0195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信息内容</w:t>
            </w:r>
          </w:p>
        </w:tc>
        <w:tc>
          <w:tcPr>
            <w:tcW w:w="5951" w:type="dxa"/>
            <w:gridSpan w:val="3"/>
            <w:tcBorders>
              <w:top w:val="nil"/>
              <w:left w:val="nil"/>
              <w:bottom w:val="single" w:color="auto" w:sz="6" w:space="0"/>
              <w:right w:val="single" w:color="000000" w:sz="6" w:space="0"/>
            </w:tcBorders>
            <w:shd w:val="clear" w:color="auto" w:fill="auto"/>
            <w:tcMar>
              <w:top w:w="0" w:type="dxa"/>
              <w:left w:w="108" w:type="dxa"/>
              <w:bottom w:w="0" w:type="dxa"/>
              <w:right w:w="108" w:type="dxa"/>
            </w:tcMar>
            <w:vAlign w:val="center"/>
          </w:tcPr>
          <w:p w14:paraId="473493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本年收费金额（单位：万元）</w:t>
            </w:r>
          </w:p>
          <w:p w14:paraId="2A460E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default" w:ascii="宋体" w:hAnsi="Times New Roman" w:eastAsia="宋体" w:cs="宋体"/>
                <w:color w:val="000000"/>
                <w:kern w:val="0"/>
                <w:sz w:val="21"/>
                <w:szCs w:val="21"/>
                <w:lang w:val="en-US" w:eastAsia="zh-CN" w:bidi="ar"/>
              </w:rPr>
              <w:t> </w:t>
            </w:r>
          </w:p>
        </w:tc>
      </w:tr>
      <w:tr w14:paraId="4A86E66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1574" w:hRule="atLeast"/>
          <w:jc w:val="center"/>
        </w:trPr>
        <w:tc>
          <w:tcPr>
            <w:tcW w:w="3113"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0226BF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行政事业性收费</w:t>
            </w:r>
          </w:p>
        </w:tc>
        <w:tc>
          <w:tcPr>
            <w:tcW w:w="5951" w:type="dxa"/>
            <w:gridSpan w:val="3"/>
            <w:tcBorders>
              <w:top w:val="nil"/>
              <w:left w:val="nil"/>
              <w:bottom w:val="single" w:color="auto" w:sz="6" w:space="0"/>
              <w:right w:val="single" w:color="000000" w:sz="6" w:space="0"/>
            </w:tcBorders>
            <w:shd w:val="clear" w:color="auto" w:fill="auto"/>
            <w:tcMar>
              <w:top w:w="0" w:type="dxa"/>
              <w:left w:w="108" w:type="dxa"/>
              <w:bottom w:w="0" w:type="dxa"/>
              <w:right w:w="108" w:type="dxa"/>
            </w:tcMar>
            <w:vAlign w:val="center"/>
          </w:tcPr>
          <w:p w14:paraId="5E4E22B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default" w:ascii="宋体" w:hAnsi="Times New Roman" w:eastAsia="宋体" w:cs="宋体"/>
                <w:color w:val="000000"/>
                <w:kern w:val="0"/>
                <w:sz w:val="21"/>
                <w:szCs w:val="21"/>
                <w:lang w:val="en-US" w:eastAsia="zh-CN" w:bidi="ar"/>
              </w:rPr>
              <w:t> </w:t>
            </w:r>
          </w:p>
          <w:p w14:paraId="306845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default" w:ascii="宋体" w:hAnsi="Times New Roman" w:eastAsia="宋体" w:cs="宋体"/>
                <w:color w:val="000000"/>
                <w:kern w:val="0"/>
                <w:sz w:val="21"/>
                <w:szCs w:val="21"/>
                <w:lang w:val="en-US" w:eastAsia="zh-CN" w:bidi="ar"/>
              </w:rPr>
              <w:t> </w:t>
            </w:r>
          </w:p>
          <w:p w14:paraId="6D29050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eastAsia" w:ascii="宋体" w:hAnsi="Times New Roman" w:eastAsia="宋体" w:cs="宋体"/>
                <w:color w:val="000000"/>
                <w:kern w:val="0"/>
                <w:sz w:val="21"/>
                <w:szCs w:val="21"/>
                <w:lang w:val="en-US" w:eastAsia="zh-CN" w:bidi="ar"/>
              </w:rPr>
              <w:t>0</w:t>
            </w:r>
          </w:p>
          <w:p w14:paraId="30C398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default" w:ascii="宋体" w:hAnsi="Times New Roman" w:eastAsia="宋体" w:cs="宋体"/>
                <w:color w:val="000000"/>
                <w:kern w:val="0"/>
                <w:sz w:val="21"/>
                <w:szCs w:val="21"/>
                <w:lang w:val="en-US" w:eastAsia="zh-CN" w:bidi="ar"/>
              </w:rPr>
              <w:t> </w:t>
            </w:r>
          </w:p>
          <w:p w14:paraId="396587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color w:val="000000"/>
                <w:kern w:val="0"/>
                <w:sz w:val="21"/>
                <w:szCs w:val="21"/>
                <w:lang w:val="en-US" w:eastAsia="zh-CN" w:bidi="ar"/>
              </w:rPr>
            </w:pPr>
            <w:r>
              <w:rPr>
                <w:rFonts w:hint="default" w:ascii="宋体" w:hAnsi="Times New Roman" w:eastAsia="宋体" w:cs="宋体"/>
                <w:color w:val="000000"/>
                <w:kern w:val="0"/>
                <w:sz w:val="21"/>
                <w:szCs w:val="21"/>
                <w:lang w:val="en-US" w:eastAsia="zh-CN" w:bidi="ar"/>
              </w:rPr>
              <w:t> </w:t>
            </w:r>
          </w:p>
        </w:tc>
      </w:tr>
    </w:tbl>
    <w:p w14:paraId="2D3825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shd w:val="clear" w:fill="FFFFFF"/>
        </w:rPr>
        <w:t> </w:t>
      </w:r>
    </w:p>
    <w:p w14:paraId="45722B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黑体" w:hAnsi="黑体" w:eastAsia="黑体" w:cs="黑体"/>
          <w:kern w:val="0"/>
          <w:sz w:val="32"/>
          <w:szCs w:val="32"/>
          <w:shd w:val="clear" w:color="auto" w:fill="FFFFFF"/>
          <w:lang w:val="en-US" w:eastAsia="zh-CN" w:bidi="ar-SA"/>
        </w:rPr>
      </w:pPr>
      <w:r>
        <w:rPr>
          <w:rFonts w:hint="eastAsia" w:ascii="宋体" w:hAnsi="宋体" w:eastAsia="宋体" w:cs="宋体"/>
          <w:i w:val="0"/>
          <w:iCs w:val="0"/>
          <w:caps w:val="0"/>
          <w:color w:val="333333"/>
          <w:spacing w:val="0"/>
          <w:sz w:val="24"/>
          <w:szCs w:val="24"/>
          <w:shd w:val="clear" w:fill="FFFFFF"/>
        </w:rPr>
        <w:t>　　</w:t>
      </w:r>
      <w:r>
        <w:rPr>
          <w:rFonts w:hint="eastAsia" w:ascii="黑体" w:hAnsi="黑体" w:eastAsia="黑体" w:cs="黑体"/>
          <w:b/>
          <w:bCs/>
          <w:kern w:val="0"/>
          <w:sz w:val="32"/>
          <w:szCs w:val="32"/>
          <w:shd w:val="clear" w:color="auto" w:fill="FFFFFF"/>
          <w:lang w:val="en-US" w:eastAsia="zh-CN" w:bidi="ar-SA"/>
        </w:rPr>
        <w:t>三、收到和处理政府信息公开申请情况</w:t>
      </w:r>
    </w:p>
    <w:tbl>
      <w:tblPr>
        <w:tblStyle w:val="3"/>
        <w:tblW w:w="962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825"/>
        <w:gridCol w:w="855"/>
        <w:gridCol w:w="2998"/>
        <w:gridCol w:w="555"/>
        <w:gridCol w:w="776"/>
        <w:gridCol w:w="720"/>
        <w:gridCol w:w="750"/>
        <w:gridCol w:w="660"/>
        <w:gridCol w:w="735"/>
        <w:gridCol w:w="750"/>
      </w:tblGrid>
      <w:tr w14:paraId="64FF368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330" w:hRule="atLeast"/>
          <w:jc w:val="center"/>
        </w:trPr>
        <w:tc>
          <w:tcPr>
            <w:tcW w:w="4678" w:type="dxa"/>
            <w:gridSpan w:val="3"/>
            <w:vMerge w:val="restart"/>
            <w:tcBorders>
              <w:top w:val="single" w:color="auto" w:sz="6" w:space="0"/>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33F533F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（本列数据的勾稽关系为：第一项加第二项之和，等于第三项加第四项之和）</w:t>
            </w:r>
          </w:p>
        </w:tc>
        <w:tc>
          <w:tcPr>
            <w:tcW w:w="4946" w:type="dxa"/>
            <w:gridSpan w:val="7"/>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39FAA4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申请人情况</w:t>
            </w:r>
          </w:p>
        </w:tc>
      </w:tr>
      <w:tr w14:paraId="045E9A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0" w:hRule="atLeast"/>
          <w:jc w:val="center"/>
        </w:trPr>
        <w:tc>
          <w:tcPr>
            <w:tcW w:w="4678" w:type="dxa"/>
            <w:gridSpan w:val="3"/>
            <w:vMerge w:val="continue"/>
            <w:tcBorders>
              <w:top w:val="single" w:color="auto" w:sz="6" w:space="0"/>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479517DF">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555" w:type="dxa"/>
            <w:vMerge w:val="restart"/>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B5C92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自然人</w:t>
            </w:r>
          </w:p>
        </w:tc>
        <w:tc>
          <w:tcPr>
            <w:tcW w:w="3641" w:type="dxa"/>
            <w:gridSpan w:val="5"/>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D676C6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法人或其他组织</w:t>
            </w:r>
          </w:p>
        </w:tc>
        <w:tc>
          <w:tcPr>
            <w:tcW w:w="750" w:type="dxa"/>
            <w:vMerge w:val="restart"/>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EC777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总计</w:t>
            </w:r>
          </w:p>
        </w:tc>
      </w:tr>
      <w:tr w14:paraId="273B1D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jc w:val="center"/>
        </w:trPr>
        <w:tc>
          <w:tcPr>
            <w:tcW w:w="4678" w:type="dxa"/>
            <w:gridSpan w:val="3"/>
            <w:vMerge w:val="continue"/>
            <w:tcBorders>
              <w:top w:val="single" w:color="auto" w:sz="6" w:space="0"/>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5E7223BB">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5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CEA33DA">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1C43C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商业企业</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8E719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科研机构</w:t>
            </w:r>
          </w:p>
        </w:tc>
        <w:tc>
          <w:tcPr>
            <w:tcW w:w="75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219BA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社会公益组织</w:t>
            </w:r>
          </w:p>
        </w:tc>
        <w:tc>
          <w:tcPr>
            <w:tcW w:w="66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1EE88C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法律服务机构</w:t>
            </w:r>
          </w:p>
        </w:tc>
        <w:tc>
          <w:tcPr>
            <w:tcW w:w="735"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26570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其他</w:t>
            </w:r>
          </w:p>
        </w:tc>
        <w:tc>
          <w:tcPr>
            <w:tcW w:w="750" w:type="dxa"/>
            <w:vMerge w:val="continue"/>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7428C30">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r>
      <w:tr w14:paraId="0AD58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7" w:hRule="atLeast"/>
          <w:jc w:val="center"/>
        </w:trPr>
        <w:tc>
          <w:tcPr>
            <w:tcW w:w="4678" w:type="dxa"/>
            <w:gridSpan w:val="3"/>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4252DC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一、本年新收政府信息公开申请数量</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93F13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FE3E3F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4F8BA0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D25ED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D196A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1F7DF3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0AA9B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578FFE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7" w:hRule="atLeast"/>
          <w:jc w:val="center"/>
        </w:trPr>
        <w:tc>
          <w:tcPr>
            <w:tcW w:w="4678" w:type="dxa"/>
            <w:gridSpan w:val="3"/>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35F115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二、上年结转政府信息公开申请数量</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491AC1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332EA8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916273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64AFCE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52C4D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7E908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6C91C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5F94D7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72" w:hRule="atLeast"/>
          <w:jc w:val="center"/>
        </w:trPr>
        <w:tc>
          <w:tcPr>
            <w:tcW w:w="825" w:type="dxa"/>
            <w:vMerge w:val="restart"/>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347638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三、本年度办理结果</w:t>
            </w:r>
          </w:p>
        </w:tc>
        <w:tc>
          <w:tcPr>
            <w:tcW w:w="3853" w:type="dxa"/>
            <w:gridSpan w:val="2"/>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75ABE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（一）予以公开</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8DB057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8FC421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42227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2593D7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FC38D0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68318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78A23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68F196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85"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5FE3AAB4">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3853" w:type="dxa"/>
            <w:gridSpan w:val="2"/>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61C1F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（二）部分公开（区分处理的，只计这一情形，不计其他情形）</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A386E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B65D6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C1F94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8B3EAE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DB15B6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78195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2A4D85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44A6CD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50FC0DDB">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restart"/>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39606D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（三）不予公开</w:t>
            </w: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105F8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1.属于国家秘密</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D49D1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7E432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6141F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D0477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9F8B4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88E90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37CC40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0065B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7FC3C632">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4263ECE">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4ECE70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2.其他法律行政法规禁止公开</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122E4C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9C1BDF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3A0CE5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7F3C41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9F7BE3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C10B6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82F1F1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4695EC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3D40812F">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BDBDD21">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828F2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3.危及“三安全一稳定”</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2F1722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965166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0F8E32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C7015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D631E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80406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B6101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7701F4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7B97376A">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CFEC09D">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6CDF6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4.保护第三方合法权益</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1E50E0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902676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0B2E29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AF4EA9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98A54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91669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A5CDC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07EFDE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101C4706">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D7CD1E1">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C60ED1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5.属于三类内部事务信息</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9F9889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E65373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4BBCF8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9C282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730652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9C45D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48EB34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3CAB61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47A72203">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367A2A8">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261476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6.属于四类过程性信息</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E16B1B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D38EA5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36E81B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8EDF9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C7B12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EF57A6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B7999B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3B14C0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55F80298">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8F36747">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BC9B2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7.属于行政执法案卷</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F1F3C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4B174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7D47B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B7621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BC9D5F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4CE02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24F565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209AA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25D34D08">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645E26B">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D5B62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8.属于行政查询事项</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7220E4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A67849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A2E5C0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1F12F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EF3198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9D4EAD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DAD7B7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5B23F3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06"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6E1E9791">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restart"/>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D8FAEA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（四）无法提供</w:t>
            </w: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32CB09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1.本机关不掌握相关政府信息</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E27F9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24649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A8F79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4344F6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8F5D67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E12D7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4F8336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4DA7AD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4009444F">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9B1B1EB">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6B3D5B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2.没有现成信息需要另行制作</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CB38F5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424893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340B2D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53C08C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C9DC1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5A4DF1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85706E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6CB7BF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7169638F">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0684DF0">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6433CD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3.补正后申请内容仍不明确</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543945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F74171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78704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137CE5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BC9FC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EDBC2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D50AF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6BE0DB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0D921FBA">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restart"/>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5EAE1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（五）不予处理</w:t>
            </w: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A1A325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1.信访举报投诉类申请</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D346D8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05BCE5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E8AE7C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71548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B57AFF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30ACA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098CE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042150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76"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5518958A">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9CF4FC3">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3FD853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2.重复申请</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78AF0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13F0FC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99F8C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D432E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4E167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026F4A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DB1AB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295191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246"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3CD6A95E">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D3F6F70">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82BE9E5">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3.要求提供公开出版物</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42BA8E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6BED80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C12F87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0DFA88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12A140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D3FB56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FD4E5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00BD7C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51"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0E09D5A9">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8EBC8B7">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123671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4.无正当理由大量反复申请</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54D8FD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4735E6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DE6639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D0ED23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9C5D11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216DB8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56ED19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38F72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10"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71D95407">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875757A">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2D8CA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5.要求行政机关确认或重新出具已获取信息</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222BDE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AEC926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A9CE4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1FA5FC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778CE7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5482E4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D0429D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7EAB61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40"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625E3270">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restart"/>
            <w:tcBorders>
              <w:top w:val="nil"/>
              <w:left w:val="nil"/>
              <w:bottom w:val="outset" w:color="auto" w:sz="6" w:space="0"/>
              <w:right w:val="single" w:color="auto" w:sz="6" w:space="0"/>
            </w:tcBorders>
            <w:shd w:val="clear" w:color="auto" w:fill="auto"/>
            <w:tcMar>
              <w:top w:w="0" w:type="dxa"/>
              <w:left w:w="108" w:type="dxa"/>
              <w:bottom w:w="0" w:type="dxa"/>
              <w:right w:w="108" w:type="dxa"/>
            </w:tcMar>
            <w:vAlign w:val="center"/>
          </w:tcPr>
          <w:p w14:paraId="6F18465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both"/>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（六）其他处理</w:t>
            </w: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A9B76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1.申请人无正当理由逾期不补正、行政机关不再处理其政府信息公开申请</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F4A240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86C74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CF231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8C975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943F1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DAFC98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7B9E3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1513BF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35"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5C52E147">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outset" w:color="auto" w:sz="6" w:space="0"/>
              <w:right w:val="single" w:color="auto" w:sz="6" w:space="0"/>
            </w:tcBorders>
            <w:shd w:val="clear" w:color="auto" w:fill="auto"/>
            <w:tcMar>
              <w:top w:w="0" w:type="dxa"/>
              <w:left w:w="108" w:type="dxa"/>
              <w:bottom w:w="0" w:type="dxa"/>
              <w:right w:w="108" w:type="dxa"/>
            </w:tcMar>
            <w:vAlign w:val="center"/>
          </w:tcPr>
          <w:p w14:paraId="4B088852">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33BBEA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2.申请人逾期未按收费通知要求缴纳费用、行政机关不再处理其政府信息公开申请</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91FCAE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35A748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834959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2E13EF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4F5B9F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3EB460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9E5AEF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5A509C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39"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04316CA5">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855" w:type="dxa"/>
            <w:vMerge w:val="continue"/>
            <w:tcBorders>
              <w:top w:val="nil"/>
              <w:left w:val="nil"/>
              <w:bottom w:val="outset" w:color="auto" w:sz="6" w:space="0"/>
              <w:right w:val="single" w:color="auto" w:sz="6" w:space="0"/>
            </w:tcBorders>
            <w:shd w:val="clear" w:color="auto" w:fill="auto"/>
            <w:tcMar>
              <w:top w:w="0" w:type="dxa"/>
              <w:left w:w="108" w:type="dxa"/>
              <w:bottom w:w="0" w:type="dxa"/>
              <w:right w:w="108" w:type="dxa"/>
            </w:tcMar>
            <w:vAlign w:val="center"/>
          </w:tcPr>
          <w:p w14:paraId="30A35184">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299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38C96A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3.其他</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0674DD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C9AD38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21BCE5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EB5DC2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020B4C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F10759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B8D9C0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3E40C3C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384" w:hRule="atLeast"/>
          <w:jc w:val="center"/>
        </w:trPr>
        <w:tc>
          <w:tcPr>
            <w:tcW w:w="825"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323C212A">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宋体" w:eastAsia="宋体" w:cs="宋体"/>
                <w:kern w:val="0"/>
                <w:sz w:val="21"/>
                <w:szCs w:val="21"/>
                <w:lang w:val="en-US" w:eastAsia="zh-CN" w:bidi="ar"/>
              </w:rPr>
            </w:pPr>
          </w:p>
        </w:tc>
        <w:tc>
          <w:tcPr>
            <w:tcW w:w="3853" w:type="dxa"/>
            <w:gridSpan w:val="2"/>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7B414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（七）总计</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3EDF1B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A4C54D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00DC34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BFAB3A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153B7B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4CFDDC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76503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r w14:paraId="696D1C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4" w:hRule="atLeast"/>
          <w:jc w:val="center"/>
        </w:trPr>
        <w:tc>
          <w:tcPr>
            <w:tcW w:w="4678" w:type="dxa"/>
            <w:gridSpan w:val="3"/>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1112CCD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left"/>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四、结转下年度继续办理</w:t>
            </w:r>
          </w:p>
        </w:tc>
        <w:tc>
          <w:tcPr>
            <w:tcW w:w="55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66A125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76"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657B25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46D2A3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A2C63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859EE5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3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1EF18E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c>
          <w:tcPr>
            <w:tcW w:w="75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C722F2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0</w:t>
            </w:r>
          </w:p>
        </w:tc>
      </w:tr>
    </w:tbl>
    <w:p w14:paraId="1D85E041">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shd w:val="clear" w:fill="FFFFFF"/>
        </w:rPr>
        <w:t> </w:t>
      </w:r>
    </w:p>
    <w:p w14:paraId="67E94E2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宋体" w:hAnsi="宋体" w:eastAsia="宋体" w:cs="宋体"/>
          <w:i w:val="0"/>
          <w:iCs w:val="0"/>
          <w:caps w:val="0"/>
          <w:color w:val="333333"/>
          <w:spacing w:val="0"/>
          <w:sz w:val="24"/>
          <w:szCs w:val="24"/>
        </w:rPr>
      </w:pPr>
      <w:r>
        <w:rPr>
          <w:rFonts w:hint="eastAsia" w:ascii="宋体" w:hAnsi="宋体" w:eastAsia="宋体" w:cs="宋体"/>
          <w:i w:val="0"/>
          <w:iCs w:val="0"/>
          <w:caps w:val="0"/>
          <w:color w:val="333333"/>
          <w:spacing w:val="0"/>
          <w:sz w:val="24"/>
          <w:szCs w:val="24"/>
          <w:shd w:val="clear" w:fill="FFFFFF"/>
        </w:rPr>
        <w:t>　　</w:t>
      </w:r>
      <w:r>
        <w:rPr>
          <w:rFonts w:hint="eastAsia" w:ascii="黑体" w:hAnsi="黑体" w:eastAsia="黑体" w:cs="黑体"/>
          <w:b/>
          <w:bCs/>
          <w:kern w:val="0"/>
          <w:sz w:val="32"/>
          <w:szCs w:val="32"/>
          <w:shd w:val="clear" w:color="auto" w:fill="FFFFFF"/>
          <w:lang w:val="en-US" w:eastAsia="zh-CN" w:bidi="ar-SA"/>
        </w:rPr>
        <w:t>四、政府信息公开行政复议、行政诉讼情况</w:t>
      </w:r>
    </w:p>
    <w:tbl>
      <w:tblPr>
        <w:tblStyle w:val="3"/>
        <w:tblW w:w="1008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658"/>
        <w:gridCol w:w="658"/>
        <w:gridCol w:w="658"/>
        <w:gridCol w:w="658"/>
        <w:gridCol w:w="661"/>
        <w:gridCol w:w="691"/>
        <w:gridCol w:w="639"/>
        <w:gridCol w:w="690"/>
        <w:gridCol w:w="690"/>
        <w:gridCol w:w="645"/>
        <w:gridCol w:w="720"/>
        <w:gridCol w:w="690"/>
        <w:gridCol w:w="675"/>
        <w:gridCol w:w="690"/>
        <w:gridCol w:w="660"/>
      </w:tblGrid>
      <w:tr w14:paraId="2A9E86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rHeight w:val="482" w:hRule="atLeast"/>
          <w:jc w:val="center"/>
        </w:trPr>
        <w:tc>
          <w:tcPr>
            <w:tcW w:w="3293" w:type="dxa"/>
            <w:gridSpan w:val="5"/>
            <w:tcBorders>
              <w:top w:val="single" w:color="auto" w:sz="6" w:space="0"/>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631DBCA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行政复议</w:t>
            </w:r>
          </w:p>
        </w:tc>
        <w:tc>
          <w:tcPr>
            <w:tcW w:w="6790" w:type="dxa"/>
            <w:gridSpan w:val="10"/>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FDE2EFF">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行政诉讼</w:t>
            </w:r>
          </w:p>
        </w:tc>
      </w:tr>
      <w:tr w14:paraId="04767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447" w:hRule="atLeast"/>
          <w:jc w:val="center"/>
        </w:trPr>
        <w:tc>
          <w:tcPr>
            <w:tcW w:w="658" w:type="dxa"/>
            <w:vMerge w:val="restart"/>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25C7E9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结果维持</w:t>
            </w:r>
          </w:p>
        </w:tc>
        <w:tc>
          <w:tcPr>
            <w:tcW w:w="658" w:type="dxa"/>
            <w:vMerge w:val="restart"/>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592744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结果纠正</w:t>
            </w:r>
          </w:p>
        </w:tc>
        <w:tc>
          <w:tcPr>
            <w:tcW w:w="658" w:type="dxa"/>
            <w:vMerge w:val="restart"/>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B46107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其他结果</w:t>
            </w:r>
          </w:p>
        </w:tc>
        <w:tc>
          <w:tcPr>
            <w:tcW w:w="658" w:type="dxa"/>
            <w:vMerge w:val="restart"/>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7766B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尚未审结</w:t>
            </w:r>
          </w:p>
        </w:tc>
        <w:tc>
          <w:tcPr>
            <w:tcW w:w="661" w:type="dxa"/>
            <w:vMerge w:val="restart"/>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B4F57AE">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总计</w:t>
            </w:r>
          </w:p>
        </w:tc>
        <w:tc>
          <w:tcPr>
            <w:tcW w:w="3355" w:type="dxa"/>
            <w:gridSpan w:val="5"/>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A3F773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未经复议直接起诉</w:t>
            </w:r>
          </w:p>
        </w:tc>
        <w:tc>
          <w:tcPr>
            <w:tcW w:w="3435" w:type="dxa"/>
            <w:gridSpan w:val="5"/>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97B7DA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复议后起诉</w:t>
            </w:r>
          </w:p>
        </w:tc>
      </w:tr>
      <w:tr w14:paraId="651318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588" w:hRule="atLeast"/>
          <w:jc w:val="center"/>
        </w:trPr>
        <w:tc>
          <w:tcPr>
            <w:tcW w:w="658" w:type="dxa"/>
            <w:vMerge w:val="continue"/>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79F74FDD">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Times New Roman" w:eastAsia="宋体" w:cs="宋体"/>
                <w:kern w:val="0"/>
                <w:sz w:val="21"/>
                <w:szCs w:val="21"/>
                <w:lang w:val="en-US" w:eastAsia="zh-CN" w:bidi="ar"/>
              </w:rPr>
            </w:pPr>
          </w:p>
        </w:tc>
        <w:tc>
          <w:tcPr>
            <w:tcW w:w="658" w:type="dxa"/>
            <w:vMerge w:val="continue"/>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755D1C6">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Times New Roman" w:eastAsia="宋体" w:cs="宋体"/>
                <w:kern w:val="0"/>
                <w:sz w:val="21"/>
                <w:szCs w:val="21"/>
                <w:lang w:val="en-US" w:eastAsia="zh-CN" w:bidi="ar"/>
              </w:rPr>
            </w:pPr>
          </w:p>
        </w:tc>
        <w:tc>
          <w:tcPr>
            <w:tcW w:w="658" w:type="dxa"/>
            <w:vMerge w:val="continue"/>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3E43800">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Times New Roman" w:eastAsia="宋体" w:cs="宋体"/>
                <w:kern w:val="0"/>
                <w:sz w:val="21"/>
                <w:szCs w:val="21"/>
                <w:lang w:val="en-US" w:eastAsia="zh-CN" w:bidi="ar"/>
              </w:rPr>
            </w:pPr>
          </w:p>
        </w:tc>
        <w:tc>
          <w:tcPr>
            <w:tcW w:w="658" w:type="dxa"/>
            <w:vMerge w:val="continue"/>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18EBBF8">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Times New Roman" w:eastAsia="宋体" w:cs="宋体"/>
                <w:kern w:val="0"/>
                <w:sz w:val="21"/>
                <w:szCs w:val="21"/>
                <w:lang w:val="en-US" w:eastAsia="zh-CN" w:bidi="ar"/>
              </w:rPr>
            </w:pPr>
          </w:p>
        </w:tc>
        <w:tc>
          <w:tcPr>
            <w:tcW w:w="661" w:type="dxa"/>
            <w:vMerge w:val="continue"/>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AD681EA">
            <w:pPr>
              <w:keepNext w:val="0"/>
              <w:keepLines w:val="0"/>
              <w:pageBreakBefore w:val="0"/>
              <w:kinsoku/>
              <w:wordWrap/>
              <w:overflowPunct/>
              <w:topLinePunct w:val="0"/>
              <w:autoSpaceDE/>
              <w:autoSpaceDN/>
              <w:bidi w:val="0"/>
              <w:adjustRightInd/>
              <w:snapToGrid/>
              <w:spacing w:line="560" w:lineRule="exact"/>
              <w:textAlignment w:val="auto"/>
              <w:rPr>
                <w:rFonts w:hint="default" w:ascii="宋体" w:hAnsi="Times New Roman" w:eastAsia="宋体" w:cs="宋体"/>
                <w:kern w:val="0"/>
                <w:sz w:val="21"/>
                <w:szCs w:val="21"/>
                <w:lang w:val="en-US" w:eastAsia="zh-CN" w:bidi="ar"/>
              </w:rPr>
            </w:pPr>
          </w:p>
        </w:tc>
        <w:tc>
          <w:tcPr>
            <w:tcW w:w="69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52074F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结果维持</w:t>
            </w:r>
          </w:p>
        </w:tc>
        <w:tc>
          <w:tcPr>
            <w:tcW w:w="639"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FF9443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结果纠正</w:t>
            </w:r>
          </w:p>
        </w:tc>
        <w:tc>
          <w:tcPr>
            <w:tcW w:w="69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6C3DFA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其他结果</w:t>
            </w:r>
          </w:p>
        </w:tc>
        <w:tc>
          <w:tcPr>
            <w:tcW w:w="69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ADBB75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尚未审结</w:t>
            </w:r>
          </w:p>
        </w:tc>
        <w:tc>
          <w:tcPr>
            <w:tcW w:w="645"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3CEED2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总计</w:t>
            </w:r>
          </w:p>
        </w:tc>
        <w:tc>
          <w:tcPr>
            <w:tcW w:w="72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7E4526C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结果维持</w:t>
            </w:r>
          </w:p>
        </w:tc>
        <w:tc>
          <w:tcPr>
            <w:tcW w:w="69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6BBCC018">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结果纠正</w:t>
            </w:r>
          </w:p>
        </w:tc>
        <w:tc>
          <w:tcPr>
            <w:tcW w:w="675"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FEF7B9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其他结果</w:t>
            </w:r>
          </w:p>
        </w:tc>
        <w:tc>
          <w:tcPr>
            <w:tcW w:w="69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2B012F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尚未审结</w:t>
            </w:r>
          </w:p>
        </w:tc>
        <w:tc>
          <w:tcPr>
            <w:tcW w:w="660" w:type="dxa"/>
            <w:tcBorders>
              <w:top w:val="single" w:color="auto" w:sz="6" w:space="0"/>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DC3BE8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总计</w:t>
            </w:r>
          </w:p>
        </w:tc>
      </w:tr>
      <w:tr w14:paraId="23372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15" w:type="dxa"/>
            <w:left w:w="15" w:type="dxa"/>
            <w:bottom w:w="15" w:type="dxa"/>
            <w:right w:w="15" w:type="dxa"/>
          </w:tblCellMar>
        </w:tblPrEx>
        <w:trPr>
          <w:trHeight w:val="707" w:hRule="atLeast"/>
          <w:jc w:val="center"/>
        </w:trPr>
        <w:tc>
          <w:tcPr>
            <w:tcW w:w="658" w:type="dxa"/>
            <w:tcBorders>
              <w:top w:val="nil"/>
              <w:left w:val="single" w:color="auto" w:sz="6" w:space="0"/>
              <w:bottom w:val="single" w:color="auto" w:sz="6" w:space="0"/>
              <w:right w:val="single" w:color="auto" w:sz="6" w:space="0"/>
            </w:tcBorders>
            <w:shd w:val="clear" w:color="auto" w:fill="auto"/>
            <w:tcMar>
              <w:top w:w="0" w:type="dxa"/>
              <w:left w:w="108" w:type="dxa"/>
              <w:bottom w:w="0" w:type="dxa"/>
              <w:right w:w="108" w:type="dxa"/>
            </w:tcMar>
            <w:vAlign w:val="center"/>
          </w:tcPr>
          <w:p w14:paraId="626A9D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c>
          <w:tcPr>
            <w:tcW w:w="65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9DA5790">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c>
          <w:tcPr>
            <w:tcW w:w="65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7324E3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c>
          <w:tcPr>
            <w:tcW w:w="658"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17B2F0B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c>
          <w:tcPr>
            <w:tcW w:w="66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0E1F51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c>
          <w:tcPr>
            <w:tcW w:w="691"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54A85D0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c>
          <w:tcPr>
            <w:tcW w:w="639"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F7AB3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c>
          <w:tcPr>
            <w:tcW w:w="69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CAC344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c>
          <w:tcPr>
            <w:tcW w:w="69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DFFFCE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c>
          <w:tcPr>
            <w:tcW w:w="64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8B92D13">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c>
          <w:tcPr>
            <w:tcW w:w="72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ED40F79">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c>
          <w:tcPr>
            <w:tcW w:w="69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0CDA90BD">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c>
          <w:tcPr>
            <w:tcW w:w="675"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3F33780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c>
          <w:tcPr>
            <w:tcW w:w="69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2E958017">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c>
          <w:tcPr>
            <w:tcW w:w="660" w:type="dxa"/>
            <w:tcBorders>
              <w:top w:val="nil"/>
              <w:left w:val="nil"/>
              <w:bottom w:val="single" w:color="auto" w:sz="6" w:space="0"/>
              <w:right w:val="single" w:color="auto" w:sz="6" w:space="0"/>
            </w:tcBorders>
            <w:shd w:val="clear" w:color="auto" w:fill="auto"/>
            <w:tcMar>
              <w:top w:w="0" w:type="dxa"/>
              <w:left w:w="108" w:type="dxa"/>
              <w:bottom w:w="0" w:type="dxa"/>
              <w:right w:w="108" w:type="dxa"/>
            </w:tcMar>
            <w:vAlign w:val="center"/>
          </w:tcPr>
          <w:p w14:paraId="4A1EB32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宋体" w:hAnsi="Times New Roman" w:eastAsia="宋体" w:cs="宋体"/>
                <w:kern w:val="0"/>
                <w:sz w:val="21"/>
                <w:szCs w:val="21"/>
                <w:lang w:val="en-US" w:eastAsia="zh-CN" w:bidi="ar"/>
              </w:rPr>
            </w:pPr>
            <w:r>
              <w:rPr>
                <w:rFonts w:hint="eastAsia" w:ascii="宋体" w:hAnsi="Times New Roman" w:eastAsia="宋体" w:cs="宋体"/>
                <w:kern w:val="0"/>
                <w:sz w:val="21"/>
                <w:szCs w:val="21"/>
                <w:lang w:val="en-US" w:eastAsia="zh-CN" w:bidi="ar"/>
              </w:rPr>
              <w:t>0</w:t>
            </w:r>
          </w:p>
        </w:tc>
      </w:tr>
    </w:tbl>
    <w:p w14:paraId="681241E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default" w:ascii="Calibri" w:hAnsi="Calibri" w:cs="Calibri"/>
          <w:i w:val="0"/>
          <w:iCs w:val="0"/>
          <w:caps w:val="0"/>
          <w:color w:val="333333"/>
          <w:spacing w:val="0"/>
          <w:sz w:val="21"/>
          <w:szCs w:val="21"/>
        </w:rPr>
      </w:pPr>
      <w:r>
        <w:rPr>
          <w:rFonts w:hint="default" w:ascii="Calibri" w:hAnsi="Calibri" w:cs="Calibri"/>
          <w:i w:val="0"/>
          <w:iCs w:val="0"/>
          <w:caps w:val="0"/>
          <w:color w:val="333333"/>
          <w:spacing w:val="0"/>
          <w:sz w:val="21"/>
          <w:szCs w:val="21"/>
          <w:shd w:val="clear" w:fill="FFFFFF"/>
        </w:rPr>
        <w:t> </w:t>
      </w:r>
    </w:p>
    <w:p w14:paraId="321E0295">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黑体" w:hAnsi="黑体" w:eastAsia="黑体" w:cs="黑体"/>
          <w:kern w:val="0"/>
          <w:sz w:val="32"/>
          <w:szCs w:val="32"/>
          <w:shd w:val="clear" w:color="auto" w:fill="FFFFFF"/>
          <w:lang w:val="en-US" w:eastAsia="zh-CN" w:bidi="ar-SA"/>
        </w:rPr>
      </w:pPr>
      <w:r>
        <w:rPr>
          <w:rFonts w:hint="eastAsia" w:ascii="宋体" w:hAnsi="宋体" w:eastAsia="宋体" w:cs="宋体"/>
          <w:i w:val="0"/>
          <w:iCs w:val="0"/>
          <w:caps w:val="0"/>
          <w:color w:val="333333"/>
          <w:spacing w:val="0"/>
          <w:sz w:val="24"/>
          <w:szCs w:val="24"/>
          <w:shd w:val="clear" w:fill="FFFFFF"/>
        </w:rPr>
        <w:t>　　</w:t>
      </w:r>
      <w:r>
        <w:rPr>
          <w:rFonts w:hint="eastAsia" w:ascii="黑体" w:hAnsi="黑体" w:eastAsia="黑体" w:cs="黑体"/>
          <w:b/>
          <w:bCs/>
          <w:kern w:val="0"/>
          <w:sz w:val="32"/>
          <w:szCs w:val="32"/>
          <w:shd w:val="clear" w:color="auto" w:fill="FFFFFF"/>
          <w:lang w:val="en-US" w:eastAsia="zh-CN" w:bidi="ar-SA"/>
        </w:rPr>
        <w:t>五、存在的主要问题及改进情况</w:t>
      </w:r>
    </w:p>
    <w:p w14:paraId="44498A42">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我局政府信息公开工作整体保持有序推进，切实发挥了政府信息服务功能，有效保障了所发布信息的及时性、准确性与权威性。同时，工作中也存在一些薄弱环节：一方面，公开信息内容尚不能完全满足社会公众的需求。由于安全生产领域具有一定特殊性，部分详细信息难以全面公开；政务外网平台访问量有待提升，信息传播覆盖面仍需进一步拓展。另一方面，政府信息公开供给与公众信息获取需求之间仍存在一定差距，部分信息公开内容亦需进一步规范。2026年，我局将继续严格按照政府信息公开相关制度规定及县政府、县政务服务管理部门的工作要求，持续深入推进政府信息公开工作。重点包括：一是进一步完善风险预警机制，构建协调联动、信息共享的工作模式，确保各类风险信息能够及时、准确发布。二是建立健全应急管理信息发布体系，推进生产安全事故调查处理和责任追究情况的信息公开，落实安全生产“黑名单”公布制度。除依法需要保密的内容外，主动、及时向社会公开事故调查信息，通报事故原因，公布事故调查报告及相关责任追究结果。</w:t>
      </w:r>
    </w:p>
    <w:p w14:paraId="72757DF4">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b/>
          <w:bCs/>
          <w:kern w:val="0"/>
          <w:sz w:val="32"/>
          <w:szCs w:val="32"/>
          <w:shd w:val="clear" w:color="auto" w:fill="FFFFFF"/>
          <w:lang w:val="en-US" w:eastAsia="zh-CN" w:bidi="ar-SA"/>
        </w:rPr>
      </w:pPr>
      <w:r>
        <w:rPr>
          <w:rFonts w:hint="eastAsia" w:ascii="宋体" w:hAnsi="宋体" w:eastAsia="宋体" w:cs="宋体"/>
          <w:i w:val="0"/>
          <w:iCs w:val="0"/>
          <w:caps w:val="0"/>
          <w:color w:val="333333"/>
          <w:spacing w:val="0"/>
          <w:sz w:val="24"/>
          <w:szCs w:val="24"/>
          <w:shd w:val="clear" w:fill="FFFFFF"/>
        </w:rPr>
        <w:t>　　</w:t>
      </w:r>
      <w:r>
        <w:rPr>
          <w:rFonts w:hint="eastAsia" w:ascii="黑体" w:hAnsi="黑体" w:eastAsia="黑体" w:cs="黑体"/>
          <w:b/>
          <w:bCs/>
          <w:kern w:val="0"/>
          <w:sz w:val="32"/>
          <w:szCs w:val="32"/>
          <w:shd w:val="clear" w:color="auto" w:fill="FFFFFF"/>
          <w:lang w:val="en-US" w:eastAsia="zh-CN" w:bidi="ar-SA"/>
        </w:rPr>
        <w:t>六、其他需要报告的事项</w:t>
      </w:r>
    </w:p>
    <w:p w14:paraId="79FBBC26">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1.政府信息公开申请办理及收费与减免情况</w:t>
      </w:r>
    </w:p>
    <w:p w14:paraId="3C0793DB">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bookmarkStart w:id="0" w:name="_GoBack"/>
      <w:r>
        <w:rPr>
          <w:rFonts w:hint="eastAsia" w:ascii="仿宋_GB2312" w:hAnsi="仿宋_GB2312" w:eastAsia="仿宋_GB2312" w:cs="仿宋_GB2312"/>
          <w:kern w:val="0"/>
          <w:sz w:val="32"/>
          <w:szCs w:val="32"/>
          <w:shd w:val="clear" w:color="auto" w:fill="FFFFFF"/>
          <w:lang w:val="en-US" w:eastAsia="zh-CN" w:bidi="ar-SA"/>
        </w:rPr>
        <w:t>　　 2025年未收取信息处理费。</w:t>
      </w:r>
    </w:p>
    <w:bookmarkEnd w:id="0"/>
    <w:p w14:paraId="617E5A9A">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2.政府信息公开申请行政复议、提起行政诉讼的情况</w:t>
      </w:r>
    </w:p>
    <w:p w14:paraId="547A829C">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560" w:lineRule="exact"/>
        <w:ind w:left="0" w:right="0" w:firstLine="0"/>
        <w:jc w:val="both"/>
        <w:textAlignment w:val="auto"/>
        <w:rPr>
          <w:rFonts w:hint="eastAsia" w:ascii="仿宋_GB2312" w:hAnsi="仿宋_GB2312" w:eastAsia="仿宋_GB2312" w:cs="仿宋_GB2312"/>
          <w:kern w:val="0"/>
          <w:sz w:val="32"/>
          <w:szCs w:val="32"/>
          <w:shd w:val="clear" w:color="auto" w:fill="FFFFFF"/>
          <w:lang w:val="en-US" w:eastAsia="zh-CN" w:bidi="ar-SA"/>
        </w:rPr>
      </w:pPr>
      <w:r>
        <w:rPr>
          <w:rFonts w:hint="eastAsia" w:ascii="仿宋_GB2312" w:hAnsi="仿宋_GB2312" w:eastAsia="仿宋_GB2312" w:cs="仿宋_GB2312"/>
          <w:kern w:val="0"/>
          <w:sz w:val="32"/>
          <w:szCs w:val="32"/>
          <w:shd w:val="clear" w:color="auto" w:fill="FFFFFF"/>
          <w:lang w:val="en-US" w:eastAsia="zh-CN" w:bidi="ar-SA"/>
        </w:rPr>
        <w:t>　　一年以来，我局没有一起涉及政府信息公开的行政复议和诉讼的情况，也没有被群众投诉和媒体曝光，更没有因政府信息不公开、错误公开，而引发破坏社会稳定的群体性事件。</w:t>
      </w:r>
    </w:p>
    <w:p w14:paraId="7F635EC6">
      <w:pPr>
        <w:tabs>
          <w:tab w:val="left" w:pos="1453"/>
        </w:tabs>
        <w:bidi w:val="0"/>
        <w:jc w:val="left"/>
        <w:rPr>
          <w:lang w:val="en-US" w:eastAsia="zh-CN"/>
        </w:rPr>
      </w:pPr>
    </w:p>
    <w:p w14:paraId="215E9B7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华文中宋">
    <w:altName w:val="宋体"/>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AE5C5D"/>
    <w:rsid w:val="09502F56"/>
    <w:rsid w:val="0A2C7F9C"/>
    <w:rsid w:val="117F262B"/>
    <w:rsid w:val="14FB12F3"/>
    <w:rsid w:val="1A2F7CA7"/>
    <w:rsid w:val="1B6A60FA"/>
    <w:rsid w:val="387939C8"/>
    <w:rsid w:val="55BE4235"/>
    <w:rsid w:val="68AE5C5D"/>
    <w:rsid w:val="7FAF4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qFormat/>
    <w:uiPriority w:val="0"/>
    <w:pPr>
      <w:widowControl w:val="0"/>
      <w:spacing w:before="0" w:beforeAutospacing="1" w:after="0" w:afterAutospacing="1"/>
      <w:ind w:left="0" w:right="0"/>
      <w:jc w:val="left"/>
    </w:pPr>
    <w:rPr>
      <w:rFonts w:asciiTheme="minorHAnsi" w:hAnsiTheme="minorHAnsi" w:eastAsiaTheme="minorEastAsia" w:cstheme="minorBidi"/>
      <w:kern w:val="0"/>
      <w:sz w:val="24"/>
      <w:szCs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7</Pages>
  <Words>1083</Words>
  <Characters>1128</Characters>
  <Lines>0</Lines>
  <Paragraphs>0</Paragraphs>
  <TotalTime>57</TotalTime>
  <ScaleCrop>false</ScaleCrop>
  <LinksUpToDate>false</LinksUpToDate>
  <CharactersWithSpaces>1173</CharactersWithSpaces>
  <Application>WPS Office_12.1.0.24657_F1E327BC-269C-435d-A152-05C5408002CA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2026-01-12T03:51:00Z</dcterms:created>
  <dc:creator>WPS_1657592511</dc:creator>
  <cp:lastModifiedBy>WPS_1657592511</cp:lastModifiedBy>
  <cp:lastPrinted>2026-01-13T03:31:00Z</cp:lastPrinted>
  <dcterms:modified xsi:type="dcterms:W3CDTF">2026-01-14T09:23:44Z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2052-12.1.0.24657</vt:lpwstr>
  </property>
  <property fmtid="{D5CDD505-2E9C-101B-9397-08002B2CF9AE}" pid="3" name="ICV">
    <vt:lpwstr>5D6EF2127D134114AAB65066761A4046_11</vt:lpwstr>
  </property>
  <property fmtid="{D5CDD505-2E9C-101B-9397-08002B2CF9AE}" pid="4" name="KSOTemplateDocerSaveRecord">
    <vt:lpwstr>eyJoZGlkIjoiMTZjNmYwNGFlOWQ3ZTU4YzY1NDkyZTFiM2Y2ZTVlMmUiLCJ1c2VySWQiOiIxMzkxNzc2NzU2In0=</vt:lpwstr>
  </property>
</Properties>
</file>