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495DAE">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jc w:val="center"/>
        <w:textAlignment w:val="auto"/>
        <w:rPr>
          <w:rFonts w:hint="eastAsia" w:ascii="方正小标宋_GBK" w:hAnsi="方正小标宋_GBK" w:eastAsia="方正小标宋_GBK" w:cs="方正小标宋_GBK"/>
          <w:kern w:val="0"/>
          <w:sz w:val="32"/>
          <w:szCs w:val="32"/>
          <w:lang w:val="en-US" w:eastAsia="zh-CN" w:bidi="ar-SA"/>
        </w:rPr>
      </w:pPr>
      <w:r>
        <w:rPr>
          <w:rFonts w:hint="eastAsia" w:ascii="方正小标宋_GBK" w:hAnsi="方正小标宋_GBK" w:eastAsia="方正小标宋_GBK" w:cs="方正小标宋_GBK"/>
          <w:kern w:val="0"/>
          <w:sz w:val="44"/>
          <w:szCs w:val="44"/>
          <w:lang w:val="en-US" w:eastAsia="zh-CN" w:bidi="ar-SA"/>
        </w:rPr>
        <w:t>湘潭县白石镇人民政府2025年政府信息公开工作年度报告</w:t>
      </w:r>
    </w:p>
    <w:p w14:paraId="6272E0FC">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420"/>
        <w:jc w:val="both"/>
        <w:textAlignment w:val="auto"/>
        <w:rPr>
          <w:rFonts w:hint="eastAsia" w:ascii="方正仿宋_GBK" w:hAnsi="方正仿宋_GBK" w:eastAsia="方正仿宋_GBK" w:cs="方正仿宋_GBK"/>
          <w:kern w:val="0"/>
          <w:sz w:val="32"/>
          <w:szCs w:val="32"/>
          <w:lang w:val="en-US" w:eastAsia="zh-CN" w:bidi="ar-SA"/>
        </w:rPr>
      </w:pPr>
    </w:p>
    <w:p w14:paraId="2EDE35F5">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根据《中华人民共和国政府信息公开条例》（国务院令第711号）规定，以及《国务院办公厅政府信息与政务公开办公室关于印发〈中华人民共和国政府信息公开工作年度报告格式〉的通知》（国办公开办函〔2021〕30号）要求编制本报告。本报告所列数据的统计期限为2025年1月1日至2025年12月31日。</w:t>
      </w:r>
    </w:p>
    <w:p w14:paraId="64AD240E">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t>一、总体情况</w:t>
      </w:r>
    </w:p>
    <w:p w14:paraId="31ED1DCC">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2025年，在湘潭县委、县人民政府的坚强引领下，白石镇人民政府及所属各工作部门紧密锚定《中华人民共和国政府信息公开条例》核心要求，全面扎实推进政务公开各项工作。</w:t>
      </w:r>
    </w:p>
    <w:p w14:paraId="0BA87F0E">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3" w:firstLineChars="200"/>
        <w:jc w:val="both"/>
        <w:textAlignment w:val="auto"/>
        <w:rPr>
          <w:rFonts w:hint="eastAsia" w:ascii="楷体_GB2312" w:hAnsi="楷体_GB2312" w:eastAsia="楷体_GB2312" w:cs="楷体_GB2312"/>
          <w:b/>
          <w:bCs/>
          <w:kern w:val="0"/>
          <w:sz w:val="32"/>
          <w:szCs w:val="32"/>
          <w:lang w:val="en-US" w:eastAsia="zh-CN" w:bidi="ar-SA"/>
        </w:rPr>
      </w:pPr>
      <w:r>
        <w:rPr>
          <w:rFonts w:hint="eastAsia" w:ascii="楷体_GB2312" w:hAnsi="楷体_GB2312" w:eastAsia="楷体_GB2312" w:cs="楷体_GB2312"/>
          <w:b/>
          <w:bCs/>
          <w:kern w:val="0"/>
          <w:sz w:val="32"/>
          <w:szCs w:val="32"/>
          <w:lang w:val="en-US" w:eastAsia="zh-CN" w:bidi="ar-SA"/>
        </w:rPr>
        <w:t>（一）主动公开方面</w:t>
      </w:r>
    </w:p>
    <w:p w14:paraId="39EAAFA9">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2025年度，白石镇累计主动公开政府信息19条，具体分类如下：政务公开2条、工作动态9条、机构信息1条、领导信息1条、信息公开指南1条、财政信息5条。</w:t>
      </w:r>
    </w:p>
    <w:p w14:paraId="659E0F74">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3" w:firstLineChars="200"/>
        <w:jc w:val="both"/>
        <w:textAlignment w:val="auto"/>
        <w:rPr>
          <w:rFonts w:hint="eastAsia" w:ascii="楷体_GB2312" w:hAnsi="楷体_GB2312" w:eastAsia="楷体_GB2312" w:cs="楷体_GB2312"/>
          <w:b/>
          <w:bCs/>
          <w:kern w:val="0"/>
          <w:sz w:val="32"/>
          <w:szCs w:val="32"/>
          <w:lang w:val="en-US" w:eastAsia="zh-CN" w:bidi="ar-SA"/>
        </w:rPr>
      </w:pPr>
      <w:r>
        <w:rPr>
          <w:rFonts w:hint="eastAsia" w:ascii="楷体_GB2312" w:hAnsi="楷体_GB2312" w:eastAsia="楷体_GB2312" w:cs="楷体_GB2312"/>
          <w:b/>
          <w:bCs/>
          <w:kern w:val="0"/>
          <w:sz w:val="32"/>
          <w:szCs w:val="32"/>
          <w:lang w:val="en-US" w:eastAsia="zh-CN" w:bidi="ar-SA"/>
        </w:rPr>
        <w:t>（二）依申请公开方面</w:t>
      </w:r>
    </w:p>
    <w:p w14:paraId="5500420E">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2025年，白石镇人民政府未收到政府信息公开申请。全年无因政府信息公开工作引发的行政复议案件，亦未发生相关行政诉讼案件。</w:t>
      </w:r>
    </w:p>
    <w:p w14:paraId="26FB3360">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3" w:firstLineChars="200"/>
        <w:jc w:val="both"/>
        <w:textAlignment w:val="auto"/>
        <w:rPr>
          <w:rFonts w:hint="eastAsia" w:ascii="楷体_GB2312" w:hAnsi="楷体_GB2312" w:eastAsia="楷体_GB2312" w:cs="楷体_GB2312"/>
          <w:b/>
          <w:bCs/>
          <w:kern w:val="0"/>
          <w:sz w:val="32"/>
          <w:szCs w:val="32"/>
          <w:lang w:val="en-US" w:eastAsia="zh-CN" w:bidi="ar-SA"/>
        </w:rPr>
      </w:pPr>
      <w:r>
        <w:rPr>
          <w:rFonts w:hint="eastAsia" w:ascii="楷体_GB2312" w:hAnsi="楷体_GB2312" w:eastAsia="楷体_GB2312" w:cs="楷体_GB2312"/>
          <w:b/>
          <w:bCs/>
          <w:kern w:val="0"/>
          <w:sz w:val="32"/>
          <w:szCs w:val="32"/>
          <w:lang w:val="en-US" w:eastAsia="zh-CN" w:bidi="ar-SA"/>
        </w:rPr>
        <w:t>（三）政府信息管理方面</w:t>
      </w:r>
    </w:p>
    <w:p w14:paraId="3A62AA9A">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做好规章集中规范公开。严格按照《国务院办公厅政府信息与政务公开办公室关于做好规章集中公开并动态更新工作的通知》要求,严格落实政府信息发布“三审”制度和保密审查制度，确保“上网信息不涉密、涉密信息不上网”，并向社会提供格式统一、内容完整、权威规范的现行有效规章文本。</w:t>
      </w:r>
    </w:p>
    <w:p w14:paraId="77FFE594">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3" w:firstLineChars="200"/>
        <w:jc w:val="both"/>
        <w:textAlignment w:val="auto"/>
        <w:rPr>
          <w:rFonts w:hint="eastAsia" w:ascii="楷体_GB2312" w:hAnsi="楷体_GB2312" w:eastAsia="楷体_GB2312" w:cs="楷体_GB2312"/>
          <w:b/>
          <w:bCs/>
          <w:kern w:val="0"/>
          <w:sz w:val="32"/>
          <w:szCs w:val="32"/>
          <w:lang w:val="en-US" w:eastAsia="zh-CN" w:bidi="ar-SA"/>
        </w:rPr>
      </w:pPr>
      <w:r>
        <w:rPr>
          <w:rFonts w:hint="eastAsia" w:ascii="楷体_GB2312" w:hAnsi="楷体_GB2312" w:eastAsia="楷体_GB2312" w:cs="楷体_GB2312"/>
          <w:b/>
          <w:bCs/>
          <w:kern w:val="0"/>
          <w:sz w:val="32"/>
          <w:szCs w:val="32"/>
          <w:lang w:val="en-US" w:eastAsia="zh-CN" w:bidi="ar-SA"/>
        </w:rPr>
        <w:t>（四）政府信息公开平台建设方面</w:t>
      </w:r>
    </w:p>
    <w:p w14:paraId="4CC4FCB2">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积极协同湘潭县人民政府做好政府信息公开网站的日常维护工作，按时保质完成各项运维任务；定期组织相关人员参加政务公开业务培训，明确专人专职负责政务信息公开各项具体工作。及时修订完善政府信息公开指南，主动公开各部门涉及群众切身利益、社会广泛关注的重大事项办事指南，实时更新工作动态。</w:t>
      </w:r>
    </w:p>
    <w:p w14:paraId="0355ACDF">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3" w:firstLineChars="200"/>
        <w:jc w:val="both"/>
        <w:textAlignment w:val="auto"/>
        <w:rPr>
          <w:rFonts w:hint="eastAsia" w:ascii="楷体_GB2312" w:hAnsi="楷体_GB2312" w:eastAsia="楷体_GB2312" w:cs="楷体_GB2312"/>
          <w:b/>
          <w:bCs/>
          <w:kern w:val="0"/>
          <w:sz w:val="32"/>
          <w:szCs w:val="32"/>
          <w:lang w:val="en-US" w:eastAsia="zh-CN" w:bidi="ar-SA"/>
        </w:rPr>
      </w:pPr>
      <w:bookmarkStart w:id="0" w:name="_GoBack"/>
      <w:r>
        <w:rPr>
          <w:rFonts w:hint="eastAsia" w:ascii="楷体_GB2312" w:hAnsi="楷体_GB2312" w:eastAsia="楷体_GB2312" w:cs="楷体_GB2312"/>
          <w:b/>
          <w:bCs/>
          <w:kern w:val="0"/>
          <w:sz w:val="32"/>
          <w:szCs w:val="32"/>
          <w:lang w:val="en-US" w:eastAsia="zh-CN" w:bidi="ar-SA"/>
        </w:rPr>
        <w:t>（五）监督保障方面</w:t>
      </w:r>
    </w:p>
    <w:bookmarkEnd w:id="0"/>
    <w:p w14:paraId="47F0BBF8">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黑体" w:hAnsi="黑体" w:eastAsia="黑体" w:cs="黑体"/>
          <w:b w:val="0"/>
          <w:bCs/>
          <w:kern w:val="0"/>
          <w:sz w:val="32"/>
          <w:szCs w:val="32"/>
          <w:lang w:val="en-US" w:eastAsia="zh-CN" w:bidi="ar-SA"/>
        </w:rPr>
      </w:pPr>
      <w:r>
        <w:rPr>
          <w:rFonts w:hint="eastAsia" w:ascii="仿宋_GB2312" w:hAnsi="仿宋_GB2312" w:eastAsia="仿宋_GB2312" w:cs="仿宋_GB2312"/>
          <w:kern w:val="0"/>
          <w:sz w:val="32"/>
          <w:szCs w:val="32"/>
          <w:lang w:val="en-US" w:eastAsia="zh-CN" w:bidi="ar-SA"/>
        </w:rPr>
        <w:t>党政办公室负责政务信息公开工作，从事人员1人；严格执行信息发布审核流程，公开发布内容均需经业务站办所拟稿、拟公开信息部门分管领导初审、信息公开保密审查机构（党政综合办公室）负责人复审、分管党政综合办公室领导终审，经审核无误后，由党政办公室统一发布。健全完善政府信息公开监督管理制度，严格落实责任考核与责任追究机制，强化日常监督检查与保障措施。畅通监督反馈渠道，主动向社会公布咨询电话与监督投诉电话，自觉接受上级部门、新闻媒体及广大人民群众的监督检查，不断提升政务公开工作质量。</w:t>
      </w:r>
      <w:r>
        <w:rPr>
          <w:rFonts w:hint="eastAsia" w:ascii="仿宋_GB2312" w:hAnsi="仿宋_GB2312" w:eastAsia="仿宋_GB2312" w:cs="仿宋_GB2312"/>
          <w:kern w:val="0"/>
          <w:sz w:val="32"/>
          <w:szCs w:val="32"/>
          <w:lang w:val="en-US" w:eastAsia="zh-CN" w:bidi="ar-SA"/>
        </w:rPr>
        <w:br w:type="page"/>
      </w:r>
      <w:r>
        <w:rPr>
          <w:rFonts w:hint="eastAsia" w:ascii="黑体" w:hAnsi="黑体" w:eastAsia="黑体" w:cs="黑体"/>
          <w:b w:val="0"/>
          <w:bCs/>
          <w:kern w:val="0"/>
          <w:sz w:val="32"/>
          <w:szCs w:val="32"/>
          <w:lang w:val="en-US" w:eastAsia="zh-CN" w:bidi="ar-SA"/>
        </w:rPr>
        <w:t>二、主动公开政府信息情况</w:t>
      </w:r>
    </w:p>
    <w:tbl>
      <w:tblPr>
        <w:tblStyle w:val="3"/>
        <w:tblpPr w:leftFromText="180" w:rightFromText="180" w:vertAnchor="text" w:horzAnchor="page" w:tblpX="1630" w:tblpY="579"/>
        <w:tblOverlap w:val="never"/>
        <w:tblW w:w="90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13"/>
        <w:gridCol w:w="1881"/>
        <w:gridCol w:w="1979"/>
        <w:gridCol w:w="2091"/>
      </w:tblGrid>
      <w:tr w14:paraId="2F60A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6798F47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第二十条第（一）项</w:t>
            </w:r>
          </w:p>
        </w:tc>
      </w:tr>
      <w:tr w14:paraId="3A7C8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76D99746">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信息内容</w:t>
            </w:r>
          </w:p>
        </w:tc>
        <w:tc>
          <w:tcPr>
            <w:tcW w:w="1881" w:type="dxa"/>
            <w:noWrap/>
            <w:tcMar>
              <w:left w:w="108" w:type="dxa"/>
              <w:right w:w="108" w:type="dxa"/>
            </w:tcMar>
            <w:vAlign w:val="center"/>
          </w:tcPr>
          <w:p w14:paraId="01553F4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本年制发件数</w:t>
            </w:r>
          </w:p>
        </w:tc>
        <w:tc>
          <w:tcPr>
            <w:tcW w:w="1979" w:type="dxa"/>
            <w:noWrap w:val="0"/>
            <w:tcMar>
              <w:left w:w="108" w:type="dxa"/>
              <w:right w:w="108" w:type="dxa"/>
            </w:tcMar>
            <w:vAlign w:val="center"/>
          </w:tcPr>
          <w:p w14:paraId="569F620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本年废止件数</w:t>
            </w:r>
          </w:p>
        </w:tc>
        <w:tc>
          <w:tcPr>
            <w:tcW w:w="2091" w:type="dxa"/>
            <w:noWrap/>
            <w:tcMar>
              <w:left w:w="108" w:type="dxa"/>
              <w:right w:w="108" w:type="dxa"/>
            </w:tcMar>
            <w:vAlign w:val="center"/>
          </w:tcPr>
          <w:p w14:paraId="756403F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现行有效件数</w:t>
            </w:r>
          </w:p>
        </w:tc>
      </w:tr>
      <w:tr w14:paraId="7C5FE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39ACCB5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规章</w:t>
            </w:r>
          </w:p>
        </w:tc>
        <w:tc>
          <w:tcPr>
            <w:tcW w:w="1881" w:type="dxa"/>
            <w:noWrap/>
            <w:tcMar>
              <w:left w:w="108" w:type="dxa"/>
              <w:right w:w="108" w:type="dxa"/>
            </w:tcMar>
            <w:vAlign w:val="center"/>
          </w:tcPr>
          <w:p w14:paraId="72EA89F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1979" w:type="dxa"/>
            <w:noWrap w:val="0"/>
            <w:tcMar>
              <w:left w:w="108" w:type="dxa"/>
              <w:right w:w="108" w:type="dxa"/>
            </w:tcMar>
            <w:vAlign w:val="center"/>
          </w:tcPr>
          <w:p w14:paraId="24067DD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2091" w:type="dxa"/>
            <w:noWrap/>
            <w:tcMar>
              <w:left w:w="108" w:type="dxa"/>
              <w:right w:w="108" w:type="dxa"/>
            </w:tcMar>
            <w:vAlign w:val="center"/>
          </w:tcPr>
          <w:p w14:paraId="7871D95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r>
      <w:tr w14:paraId="5A236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63BE3BA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eastAsia="zh-CN" w:bidi="ar"/>
              </w:rPr>
              <w:t>行政</w:t>
            </w:r>
            <w:r>
              <w:rPr>
                <w:rFonts w:hint="eastAsia" w:ascii="宋体" w:hAnsi="Times New Roman" w:eastAsia="宋体" w:cs="宋体"/>
                <w:color w:val="000000"/>
                <w:kern w:val="0"/>
                <w:sz w:val="21"/>
                <w:szCs w:val="21"/>
                <w:lang w:val="en-US" w:bidi="ar"/>
              </w:rPr>
              <w:t>规范性文件</w:t>
            </w:r>
          </w:p>
        </w:tc>
        <w:tc>
          <w:tcPr>
            <w:tcW w:w="1881" w:type="dxa"/>
            <w:noWrap/>
            <w:tcMar>
              <w:left w:w="108" w:type="dxa"/>
              <w:right w:w="108" w:type="dxa"/>
            </w:tcMar>
            <w:vAlign w:val="center"/>
          </w:tcPr>
          <w:p w14:paraId="605B849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1979" w:type="dxa"/>
            <w:noWrap w:val="0"/>
            <w:tcMar>
              <w:left w:w="108" w:type="dxa"/>
              <w:right w:w="108" w:type="dxa"/>
            </w:tcMar>
            <w:vAlign w:val="center"/>
          </w:tcPr>
          <w:p w14:paraId="7EBD857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2091" w:type="dxa"/>
            <w:noWrap/>
            <w:tcMar>
              <w:left w:w="108" w:type="dxa"/>
              <w:right w:w="108" w:type="dxa"/>
            </w:tcMar>
            <w:vAlign w:val="center"/>
          </w:tcPr>
          <w:p w14:paraId="4331D98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r>
      <w:tr w14:paraId="1E39A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7E054F5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第二十条第（五）项</w:t>
            </w:r>
          </w:p>
        </w:tc>
      </w:tr>
      <w:tr w14:paraId="2AFCE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589AFE0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信息内容</w:t>
            </w:r>
          </w:p>
        </w:tc>
        <w:tc>
          <w:tcPr>
            <w:tcW w:w="5951" w:type="dxa"/>
            <w:gridSpan w:val="3"/>
            <w:noWrap/>
            <w:tcMar>
              <w:left w:w="108" w:type="dxa"/>
              <w:right w:w="108" w:type="dxa"/>
            </w:tcMar>
            <w:vAlign w:val="center"/>
          </w:tcPr>
          <w:p w14:paraId="1B5CDE0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default" w:ascii="宋体" w:hAnsi="Times New Roman" w:eastAsia="宋体" w:cs="宋体"/>
                <w:color w:val="000000"/>
                <w:kern w:val="0"/>
                <w:sz w:val="21"/>
                <w:szCs w:val="21"/>
                <w:lang w:val="en-US" w:eastAsia="zh-CN" w:bidi="ar"/>
              </w:rPr>
              <w:t>本年处理决定数量</w:t>
            </w:r>
          </w:p>
        </w:tc>
      </w:tr>
      <w:tr w14:paraId="021FB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48A8D1F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行政许可</w:t>
            </w:r>
          </w:p>
        </w:tc>
        <w:tc>
          <w:tcPr>
            <w:tcW w:w="5951" w:type="dxa"/>
            <w:gridSpan w:val="3"/>
            <w:noWrap/>
            <w:tcMar>
              <w:left w:w="108" w:type="dxa"/>
              <w:right w:w="108" w:type="dxa"/>
            </w:tcMar>
            <w:vAlign w:val="center"/>
          </w:tcPr>
          <w:p w14:paraId="70ABE8D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r>
      <w:tr w14:paraId="6F385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469F56F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第二十条第（六）项</w:t>
            </w:r>
          </w:p>
        </w:tc>
      </w:tr>
      <w:tr w14:paraId="1F70F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7446EA9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信息内容</w:t>
            </w:r>
          </w:p>
        </w:tc>
        <w:tc>
          <w:tcPr>
            <w:tcW w:w="5951" w:type="dxa"/>
            <w:gridSpan w:val="3"/>
            <w:noWrap/>
            <w:tcMar>
              <w:left w:w="108" w:type="dxa"/>
              <w:right w:w="108" w:type="dxa"/>
            </w:tcMar>
            <w:vAlign w:val="center"/>
          </w:tcPr>
          <w:p w14:paraId="2F4B254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default" w:ascii="宋体" w:hAnsi="Times New Roman" w:eastAsia="宋体" w:cs="宋体"/>
                <w:color w:val="000000"/>
                <w:kern w:val="0"/>
                <w:sz w:val="21"/>
                <w:szCs w:val="21"/>
                <w:lang w:val="en-US" w:eastAsia="zh-CN" w:bidi="ar"/>
              </w:rPr>
              <w:t>本年处理决定数量</w:t>
            </w:r>
          </w:p>
        </w:tc>
      </w:tr>
      <w:tr w14:paraId="778DE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4AC2205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行政处罚</w:t>
            </w:r>
          </w:p>
        </w:tc>
        <w:tc>
          <w:tcPr>
            <w:tcW w:w="5951" w:type="dxa"/>
            <w:gridSpan w:val="3"/>
            <w:noWrap/>
            <w:tcMar>
              <w:left w:w="108" w:type="dxa"/>
              <w:right w:w="108" w:type="dxa"/>
            </w:tcMar>
            <w:vAlign w:val="center"/>
          </w:tcPr>
          <w:p w14:paraId="375579F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5</w:t>
            </w:r>
          </w:p>
        </w:tc>
      </w:tr>
      <w:tr w14:paraId="21F05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62993B4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行政强制</w:t>
            </w:r>
          </w:p>
        </w:tc>
        <w:tc>
          <w:tcPr>
            <w:tcW w:w="5951" w:type="dxa"/>
            <w:gridSpan w:val="3"/>
            <w:noWrap/>
            <w:tcMar>
              <w:left w:w="108" w:type="dxa"/>
              <w:right w:w="108" w:type="dxa"/>
            </w:tcMar>
            <w:vAlign w:val="center"/>
          </w:tcPr>
          <w:p w14:paraId="0EA9A96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r>
      <w:tr w14:paraId="70BDB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9064" w:type="dxa"/>
            <w:gridSpan w:val="4"/>
            <w:shd w:val="clear" w:color="auto" w:fill="C6D9F1"/>
            <w:noWrap/>
            <w:tcMar>
              <w:left w:w="108" w:type="dxa"/>
              <w:right w:w="108" w:type="dxa"/>
            </w:tcMar>
            <w:vAlign w:val="center"/>
          </w:tcPr>
          <w:p w14:paraId="1EEC7AC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Times New Roman"/>
                <w:kern w:val="2"/>
                <w:sz w:val="21"/>
                <w:szCs w:val="21"/>
                <w:lang w:val="en-US"/>
              </w:rPr>
              <w:t>第二十条第（八）项</w:t>
            </w:r>
          </w:p>
        </w:tc>
      </w:tr>
      <w:tr w14:paraId="3192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4FA7C69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信息内容</w:t>
            </w:r>
          </w:p>
        </w:tc>
        <w:tc>
          <w:tcPr>
            <w:tcW w:w="5951" w:type="dxa"/>
            <w:gridSpan w:val="3"/>
            <w:noWrap/>
            <w:tcMar>
              <w:left w:w="108" w:type="dxa"/>
              <w:right w:w="108" w:type="dxa"/>
            </w:tcMar>
            <w:vAlign w:val="center"/>
          </w:tcPr>
          <w:p w14:paraId="39AB9D1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default" w:ascii="宋体" w:hAnsi="Times New Roman" w:eastAsia="宋体" w:cs="宋体"/>
                <w:color w:val="000000"/>
                <w:kern w:val="0"/>
                <w:sz w:val="21"/>
                <w:szCs w:val="21"/>
                <w:lang w:val="en-US" w:eastAsia="zh-CN" w:bidi="ar"/>
              </w:rPr>
              <w:t>本年收费金额（单位：万元）</w:t>
            </w:r>
          </w:p>
        </w:tc>
      </w:tr>
      <w:tr w14:paraId="57F0F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3113" w:type="dxa"/>
            <w:noWrap/>
            <w:tcMar>
              <w:left w:w="108" w:type="dxa"/>
              <w:right w:w="108" w:type="dxa"/>
            </w:tcMar>
            <w:vAlign w:val="center"/>
          </w:tcPr>
          <w:p w14:paraId="6889317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行政事业性收费</w:t>
            </w:r>
          </w:p>
        </w:tc>
        <w:tc>
          <w:tcPr>
            <w:tcW w:w="5951" w:type="dxa"/>
            <w:gridSpan w:val="3"/>
            <w:noWrap/>
            <w:tcMar>
              <w:left w:w="108" w:type="dxa"/>
              <w:right w:w="108" w:type="dxa"/>
            </w:tcMar>
            <w:vAlign w:val="center"/>
          </w:tcPr>
          <w:p w14:paraId="4AB434C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r>
    </w:tbl>
    <w:p w14:paraId="19675F38">
      <w:pPr>
        <w:widowControl/>
        <w:spacing w:before="0" w:beforeAutospacing="0" w:after="240" w:afterAutospacing="0"/>
        <w:ind w:left="0" w:right="0" w:firstLine="640" w:firstLineChars="200"/>
        <w:jc w:val="both"/>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br w:type="page"/>
      </w:r>
      <w:r>
        <w:rPr>
          <w:rFonts w:hint="eastAsia" w:ascii="黑体" w:hAnsi="黑体" w:eastAsia="黑体" w:cs="黑体"/>
          <w:b w:val="0"/>
          <w:bCs/>
          <w:kern w:val="0"/>
          <w:sz w:val="32"/>
          <w:szCs w:val="32"/>
          <w:lang w:val="en-US" w:eastAsia="zh-CN" w:bidi="ar-SA"/>
        </w:rPr>
        <w:t>三、</w:t>
      </w:r>
      <w:r>
        <w:rPr>
          <w:rFonts w:hint="eastAsia" w:ascii="黑体" w:hAnsi="黑体" w:eastAsia="黑体" w:cs="黑体"/>
          <w:b w:val="0"/>
          <w:bCs/>
          <w:i w:val="0"/>
          <w:iCs w:val="0"/>
          <w:caps w:val="0"/>
          <w:color w:val="333333"/>
          <w:spacing w:val="0"/>
          <w:kern w:val="0"/>
          <w:sz w:val="32"/>
          <w:szCs w:val="32"/>
          <w:shd w:val="clear" w:color="auto" w:fill="FFFFFF"/>
          <w:lang w:val="en-US" w:eastAsia="zh-CN" w:bidi="ar-SA"/>
        </w:rPr>
        <w:t>收到和处理政府信息公开申请情况</w:t>
      </w:r>
    </w:p>
    <w:tbl>
      <w:tblPr>
        <w:tblStyle w:val="3"/>
        <w:tblW w:w="9624"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25"/>
        <w:gridCol w:w="855"/>
        <w:gridCol w:w="2998"/>
        <w:gridCol w:w="555"/>
        <w:gridCol w:w="776"/>
        <w:gridCol w:w="720"/>
        <w:gridCol w:w="750"/>
        <w:gridCol w:w="660"/>
        <w:gridCol w:w="735"/>
        <w:gridCol w:w="750"/>
      </w:tblGrid>
      <w:tr w14:paraId="7F04A1F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0" w:hRule="atLeast"/>
          <w:jc w:val="center"/>
        </w:trPr>
        <w:tc>
          <w:tcPr>
            <w:tcW w:w="4678" w:type="dxa"/>
            <w:gridSpan w:val="3"/>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544DC2F">
            <w:pPr>
              <w:widowControl/>
              <w:spacing w:line="300" w:lineRule="exact"/>
              <w:jc w:val="center"/>
              <w:rPr>
                <w:rFonts w:hint="eastAsia" w:ascii="宋体" w:hAnsi="宋体" w:eastAsia="宋体" w:cs="宋体"/>
                <w:kern w:val="2"/>
                <w:sz w:val="21"/>
                <w:szCs w:val="21"/>
                <w:lang w:val="en-US"/>
              </w:rPr>
            </w:pPr>
            <w:r>
              <w:rPr>
                <w:rFonts w:hint="eastAsia" w:ascii="楷体" w:hAnsi="楷体" w:eastAsia="楷体" w:cs="楷体"/>
                <w:kern w:val="2"/>
                <w:sz w:val="24"/>
                <w:szCs w:val="24"/>
                <w:lang w:val="en-US"/>
              </w:rPr>
              <w:t>（本列数据的勾稽关系为：第一项加第二项之和，等于第三项加第四项之和）</w:t>
            </w:r>
          </w:p>
        </w:tc>
        <w:tc>
          <w:tcPr>
            <w:tcW w:w="4946" w:type="dxa"/>
            <w:gridSpan w:val="7"/>
            <w:tcBorders>
              <w:top w:val="single" w:color="auto" w:sz="8" w:space="0"/>
              <w:left w:val="nil"/>
              <w:bottom w:val="single" w:color="auto" w:sz="8" w:space="0"/>
              <w:right w:val="single" w:color="auto" w:sz="8" w:space="0"/>
            </w:tcBorders>
            <w:noWrap w:val="0"/>
            <w:tcMar>
              <w:left w:w="108" w:type="dxa"/>
              <w:right w:w="108" w:type="dxa"/>
            </w:tcMar>
            <w:vAlign w:val="center"/>
          </w:tcPr>
          <w:p w14:paraId="3F20C596">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申请人情况</w:t>
            </w:r>
          </w:p>
        </w:tc>
      </w:tr>
      <w:tr w14:paraId="2685E80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0"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499537B">
            <w:pPr>
              <w:jc w:val="both"/>
              <w:rPr>
                <w:rFonts w:hint="eastAsia" w:ascii="宋体" w:hAnsi="宋体" w:eastAsia="宋体" w:cs="宋体"/>
                <w:kern w:val="2"/>
                <w:sz w:val="21"/>
                <w:szCs w:val="21"/>
                <w:lang w:val="en-US"/>
              </w:rPr>
            </w:pPr>
          </w:p>
        </w:tc>
        <w:tc>
          <w:tcPr>
            <w:tcW w:w="555" w:type="dxa"/>
            <w:vMerge w:val="restart"/>
            <w:tcBorders>
              <w:top w:val="nil"/>
              <w:left w:val="nil"/>
              <w:bottom w:val="single" w:color="auto" w:sz="8" w:space="0"/>
              <w:right w:val="single" w:color="auto" w:sz="8" w:space="0"/>
            </w:tcBorders>
            <w:noWrap w:val="0"/>
            <w:tcMar>
              <w:left w:w="108" w:type="dxa"/>
              <w:right w:w="108" w:type="dxa"/>
            </w:tcMar>
            <w:vAlign w:val="center"/>
          </w:tcPr>
          <w:p w14:paraId="01FD60E3">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自然人</w:t>
            </w:r>
          </w:p>
        </w:tc>
        <w:tc>
          <w:tcPr>
            <w:tcW w:w="3641"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177A3309">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法人或其他组织</w:t>
            </w:r>
          </w:p>
        </w:tc>
        <w:tc>
          <w:tcPr>
            <w:tcW w:w="750"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4C415ECD">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总计</w:t>
            </w:r>
          </w:p>
        </w:tc>
      </w:tr>
      <w:tr w14:paraId="221975B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E8C79EB">
            <w:pPr>
              <w:jc w:val="both"/>
              <w:rPr>
                <w:rFonts w:hint="eastAsia" w:ascii="宋体" w:hAnsi="宋体" w:eastAsia="宋体" w:cs="宋体"/>
                <w:kern w:val="2"/>
                <w:sz w:val="21"/>
                <w:szCs w:val="21"/>
                <w:lang w:val="en-US"/>
              </w:rPr>
            </w:pPr>
          </w:p>
        </w:tc>
        <w:tc>
          <w:tcPr>
            <w:tcW w:w="555" w:type="dxa"/>
            <w:vMerge w:val="continue"/>
            <w:tcBorders>
              <w:top w:val="nil"/>
              <w:left w:val="nil"/>
              <w:bottom w:val="single" w:color="auto" w:sz="8" w:space="0"/>
              <w:right w:val="single" w:color="auto" w:sz="8" w:space="0"/>
            </w:tcBorders>
            <w:noWrap w:val="0"/>
            <w:tcMar>
              <w:left w:w="108" w:type="dxa"/>
              <w:right w:w="108" w:type="dxa"/>
            </w:tcMar>
            <w:vAlign w:val="center"/>
          </w:tcPr>
          <w:p w14:paraId="30785B61">
            <w:pPr>
              <w:jc w:val="both"/>
              <w:rPr>
                <w:rFonts w:hint="eastAsia" w:ascii="宋体" w:hAnsi="宋体" w:eastAsia="宋体" w:cs="宋体"/>
                <w:kern w:val="2"/>
                <w:sz w:val="21"/>
                <w:szCs w:val="21"/>
                <w:lang w:val="en-US"/>
              </w:rPr>
            </w:pP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91964AD">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商业企业</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CB24E5F">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科研机构</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4026FD7E">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社会公益组织</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35216822">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法律服务机构</w:t>
            </w:r>
          </w:p>
        </w:tc>
        <w:tc>
          <w:tcPr>
            <w:tcW w:w="73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512B872D">
            <w:pPr>
              <w:widowControl/>
              <w:spacing w:line="26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其他</w:t>
            </w:r>
          </w:p>
        </w:tc>
        <w:tc>
          <w:tcPr>
            <w:tcW w:w="750"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34D506AF">
            <w:pPr>
              <w:jc w:val="both"/>
              <w:rPr>
                <w:rFonts w:hint="eastAsia" w:ascii="宋体" w:hAnsi="宋体" w:eastAsia="宋体" w:cs="宋体"/>
                <w:kern w:val="2"/>
                <w:sz w:val="21"/>
                <w:szCs w:val="21"/>
                <w:lang w:val="en-US"/>
              </w:rPr>
            </w:pPr>
          </w:p>
        </w:tc>
      </w:tr>
      <w:tr w14:paraId="1F6A1C5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41FFA2E1">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一、本年新收政府信息公开申请数量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38A600C">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D4B4F8D">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58F9BB0">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D98432A">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6DD1198">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4AA8AEC">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04B7844">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0792CBF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44319279">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二、上年结转政府信息公开申请数量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25DC4782">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70FA3F0">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B75652C">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A8F4A54">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2AD0A84">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00C7D95">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B929073">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1B54EE2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exact"/>
          <w:jc w:val="center"/>
        </w:trPr>
        <w:tc>
          <w:tcPr>
            <w:tcW w:w="825"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432AFDF0">
            <w:pPr>
              <w:widowControl/>
              <w:spacing w:line="300" w:lineRule="exact"/>
              <w:jc w:val="center"/>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三、本年度办理结果</w:t>
            </w: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3906E3D2">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（一）予以公开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9DFFC55">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C4E1D13">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937F6E8">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A2E621B">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9A14BA0">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183B136">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6FF38187">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44AD13E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C991A61">
            <w:pPr>
              <w:jc w:val="both"/>
              <w:rPr>
                <w:rFonts w:hint="eastAsia" w:ascii="宋体" w:hAnsi="宋体" w:eastAsia="宋体" w:cs="宋体"/>
                <w:kern w:val="2"/>
                <w:sz w:val="21"/>
                <w:szCs w:val="21"/>
                <w:lang w:val="en-US"/>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7649B9F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（二）部分公开</w:t>
            </w:r>
            <w:r>
              <w:rPr>
                <w:rFonts w:hint="eastAsia" w:ascii="楷体" w:hAnsi="楷体" w:eastAsia="楷体" w:cs="楷体"/>
                <w:kern w:val="0"/>
                <w:sz w:val="21"/>
                <w:szCs w:val="21"/>
                <w:lang w:val="en-US" w:bidi="ar"/>
              </w:rPr>
              <w:t>（区分处理的，只计这一情形，不计其他情形）</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67949500">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6A23009">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B3AEB28">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1999E55">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54A4F61">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B99FA60">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4B4EB45">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165CF7A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C35FD64">
            <w:pPr>
              <w:jc w:val="both"/>
              <w:rPr>
                <w:rFonts w:hint="eastAsia" w:ascii="宋体" w:hAnsi="宋体" w:eastAsia="宋体" w:cs="宋体"/>
                <w:kern w:val="2"/>
                <w:sz w:val="21"/>
                <w:szCs w:val="21"/>
                <w:lang w:val="en-US"/>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50F254DE">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（三）不予公开</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89A6212">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1.属于国家秘密</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D8C3C83">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6B1EC7C">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B57DE5F">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7C8D700">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1DD991C1">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E9BD6F5">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15158149">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572F1DF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EBBB17B">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ABC247F">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70F3E47">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2.其他法律行政法规禁止公开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F53001A">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DFA9D9C">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0CB2B23">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41A14F3">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734C516">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EA15889">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E7F0CC5">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1B950E6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0B26915">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CA3FAE0">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1BE316C">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3.危及“三安全一稳定”</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4C5DA0B">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4DBD1D2">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4DC991B">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3C0971A">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4DEF269">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0147F91">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939AB54">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4648193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91E8D7E">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35EF4663">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4C93CA9C">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4.保护第三方合法权益</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310A90BD">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1034B67">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0D1D659">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D1F70CF">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25841D9">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3C89454">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70C07C7">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2A359E2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85AFDF0">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2D086682">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EC7DF7A">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5.属于三类内部事务信息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A2A899E">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0034BC6">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0010966">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FD21E80">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4CA5D25">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0D679F3">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CBB9CFF">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09B51E8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C8864DA">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5045F44A">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E8F2645">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6.属于四类过程性信息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2256846">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106CE40">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279352D">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5DB584C">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A45D261">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7A540BE">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289A664">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1E66831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9809E09">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4B21BDF8">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899AAE3">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7.属于行政执法案卷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02FEDDE">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6D023DED">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D06C8BD">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44376A8">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5D62214">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19A0D25">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AA307CB">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1E9A266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9C65AE9">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732249EF">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4430F3D7">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8.属于行政查询事项</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3B4F5412">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0E693F4">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A2C71AD">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C757F64">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0520CE50">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1B20BD34">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F6986DD">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7864DCF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5D02F835">
            <w:pPr>
              <w:jc w:val="both"/>
              <w:rPr>
                <w:rFonts w:hint="eastAsia" w:ascii="宋体" w:hAnsi="宋体" w:eastAsia="宋体" w:cs="宋体"/>
                <w:kern w:val="2"/>
                <w:sz w:val="21"/>
                <w:szCs w:val="21"/>
                <w:lang w:val="en-US"/>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5931B0F9">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（四）无法提供</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BB87F2B">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1.本机关不掌握相关政府信息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487163B">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F5444BE">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D56DAE5">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55AC8915">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33D3B0A8">
            <w:pPr>
              <w:widowControl/>
              <w:spacing w:line="300" w:lineRule="exact"/>
              <w:jc w:val="center"/>
              <w:rPr>
                <w:rFonts w:hint="eastAsia" w:ascii="宋体" w:hAnsi="宋体" w:eastAsia="宋体" w:cs="宋体"/>
                <w:kern w:val="2"/>
                <w:sz w:val="21"/>
                <w:szCs w:val="21"/>
                <w:lang w:val="en-US"/>
              </w:rPr>
            </w:pP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79CFD90">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C5EA2C9">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25EB5D0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C5B4885">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6D91C24D">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35EDFE1">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2.没有现成信息需要另行制作</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0C3AFBA">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3F4D03F">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37B4593">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1BD7D72">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5483567">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33B65CE">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BB01C5C">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074BB94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167AC28">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1D3EA2BF">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BC9F923">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3.补正后申请内容仍不明确</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22C1C77">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D4809AB">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74F9E7D9">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43D590C">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3351AC3">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C615655">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34467221">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107196C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09D46452">
            <w:pPr>
              <w:jc w:val="both"/>
              <w:rPr>
                <w:rFonts w:hint="eastAsia" w:ascii="宋体" w:hAnsi="宋体" w:eastAsia="宋体" w:cs="宋体"/>
                <w:kern w:val="2"/>
                <w:sz w:val="21"/>
                <w:szCs w:val="21"/>
                <w:lang w:val="en-US"/>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14:paraId="41FF4C0C">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（五）不予处理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2F07160A">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1.信访举报投诉类申请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514FC162">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2D7BB72">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02F89458">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C832514">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37B6B18">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9E9FEA5">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BC7A9B6">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0C8E32D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2BDA3DE">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05A011B3">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8054170">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2.重复申请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4406E189">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686F9BF">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288126F6">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5A3C80C">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3722F214">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42BF12FC">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134AEE4">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4687184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4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DC5D22C">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5AA70488">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5606684D">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3.要求提供公开出版物</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6F648F1E">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CACDA17">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D85BD7D">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282C4F7">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5D6F697B">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3B2BC9AC">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08E07A3">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1A511EA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8706B0A">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2D63A694">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0E827FF6">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4.无正当理由大量反复申请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8BF931D">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3DD901A5">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18C1AA07">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70AE651">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328D7BC9">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5D8089D">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DC04303">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08E8140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43F86A6">
            <w:pPr>
              <w:jc w:val="both"/>
              <w:rPr>
                <w:rFonts w:hint="eastAsia" w:ascii="宋体" w:hAnsi="宋体" w:eastAsia="宋体" w:cs="宋体"/>
                <w:kern w:val="2"/>
                <w:sz w:val="21"/>
                <w:szCs w:val="21"/>
                <w:lang w:val="en-US"/>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14:paraId="7BDA4338">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10B8D44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5.要求行政机关确认或重新出具已获取信息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60915C1F">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129BA29A">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A907B4E">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127A2CB">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5DC0F75">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1EF2074">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244B542">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0A5B884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0"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10DAF37">
            <w:pPr>
              <w:jc w:val="both"/>
              <w:rPr>
                <w:rFonts w:hint="eastAsia" w:ascii="宋体" w:hAnsi="宋体" w:eastAsia="宋体" w:cs="宋体"/>
                <w:kern w:val="2"/>
                <w:sz w:val="21"/>
                <w:szCs w:val="21"/>
                <w:lang w:val="en-US"/>
              </w:rPr>
            </w:pPr>
          </w:p>
        </w:tc>
        <w:tc>
          <w:tcPr>
            <w:tcW w:w="855" w:type="dxa"/>
            <w:vMerge w:val="restart"/>
            <w:tcBorders>
              <w:top w:val="nil"/>
              <w:left w:val="nil"/>
              <w:right w:val="single" w:color="auto" w:sz="8" w:space="0"/>
            </w:tcBorders>
            <w:noWrap w:val="0"/>
            <w:tcMar>
              <w:left w:w="108" w:type="dxa"/>
              <w:right w:w="108" w:type="dxa"/>
            </w:tcMar>
            <w:vAlign w:val="center"/>
          </w:tcPr>
          <w:p w14:paraId="48572BE1">
            <w:pPr>
              <w:jc w:val="both"/>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w:t>
            </w:r>
            <w:r>
              <w:rPr>
                <w:rFonts w:hint="eastAsia" w:ascii="宋体" w:hAnsi="宋体" w:eastAsia="宋体" w:cs="宋体"/>
                <w:kern w:val="0"/>
                <w:sz w:val="21"/>
                <w:szCs w:val="21"/>
                <w:lang w:val="en-US" w:eastAsia="zh-CN" w:bidi="ar"/>
              </w:rPr>
              <w:t>六</w:t>
            </w:r>
            <w:r>
              <w:rPr>
                <w:rFonts w:hint="eastAsia" w:ascii="宋体" w:hAnsi="宋体" w:eastAsia="宋体" w:cs="宋体"/>
                <w:kern w:val="0"/>
                <w:sz w:val="21"/>
                <w:szCs w:val="21"/>
                <w:lang w:val="en-US" w:bidi="ar"/>
              </w:rPr>
              <w:t>）</w:t>
            </w:r>
            <w:r>
              <w:rPr>
                <w:rFonts w:hint="eastAsia" w:ascii="宋体" w:hAnsi="宋体" w:eastAsia="宋体" w:cs="宋体"/>
                <w:kern w:val="0"/>
                <w:sz w:val="21"/>
                <w:szCs w:val="21"/>
                <w:lang w:val="en-US" w:eastAsia="zh-CN" w:bidi="ar"/>
              </w:rPr>
              <w:t>其他</w:t>
            </w:r>
            <w:r>
              <w:rPr>
                <w:rFonts w:hint="eastAsia" w:ascii="宋体" w:hAnsi="宋体" w:eastAsia="宋体" w:cs="宋体"/>
                <w:kern w:val="0"/>
                <w:sz w:val="21"/>
                <w:szCs w:val="21"/>
                <w:lang w:val="en-US" w:bidi="ar"/>
              </w:rPr>
              <w:t>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60FBA5E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val="en-US" w:bidi="ar"/>
              </w:rPr>
            </w:pPr>
            <w:r>
              <w:rPr>
                <w:rFonts w:hint="eastAsia" w:ascii="宋体" w:hAnsi="宋体" w:eastAsia="宋体" w:cs="宋体"/>
                <w:kern w:val="0"/>
                <w:sz w:val="21"/>
                <w:szCs w:val="21"/>
                <w:lang w:val="en-US" w:bidi="ar"/>
              </w:rPr>
              <w:t>1.申请人无正当理由逾期不补正、行政机关不再处理其政府信息公开申请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1C6CE774">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53F2738F">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6FBD6EE1">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ED492FA">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28F28A6A">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0404333A">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049E724">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24AB16F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AF55D08">
            <w:pPr>
              <w:jc w:val="both"/>
              <w:rPr>
                <w:rFonts w:hint="eastAsia" w:ascii="宋体" w:hAnsi="宋体" w:eastAsia="宋体" w:cs="宋体"/>
                <w:kern w:val="2"/>
                <w:sz w:val="21"/>
                <w:szCs w:val="21"/>
                <w:lang w:val="en-US"/>
              </w:rPr>
            </w:pPr>
          </w:p>
        </w:tc>
        <w:tc>
          <w:tcPr>
            <w:tcW w:w="855" w:type="dxa"/>
            <w:vMerge w:val="continue"/>
            <w:tcBorders>
              <w:left w:val="nil"/>
              <w:right w:val="single" w:color="auto" w:sz="8" w:space="0"/>
            </w:tcBorders>
            <w:noWrap w:val="0"/>
            <w:tcMar>
              <w:left w:w="108" w:type="dxa"/>
              <w:right w:w="108" w:type="dxa"/>
            </w:tcMar>
            <w:vAlign w:val="center"/>
          </w:tcPr>
          <w:p w14:paraId="6087242F">
            <w:pPr>
              <w:jc w:val="both"/>
              <w:rPr>
                <w:rFonts w:hint="eastAsia" w:ascii="宋体" w:hAnsi="宋体" w:eastAsia="宋体" w:cs="宋体"/>
                <w:kern w:val="0"/>
                <w:sz w:val="21"/>
                <w:szCs w:val="21"/>
                <w:lang w:val="en-US" w:bidi="ar"/>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751ABEA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val="en-US" w:bidi="ar"/>
              </w:rPr>
            </w:pPr>
            <w:r>
              <w:rPr>
                <w:rFonts w:hint="eastAsia" w:ascii="宋体" w:hAnsi="宋体" w:eastAsia="宋体" w:cs="宋体"/>
                <w:kern w:val="0"/>
                <w:sz w:val="21"/>
                <w:szCs w:val="21"/>
                <w:lang w:val="en-US" w:bidi="ar"/>
              </w:rPr>
              <w:t>2.申请人逾期未按收费通知要求缴纳费用、行政机关不再处理其政府信息公开申请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3964FC42">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276C2B30">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34F8C83E">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6219F06">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1237140F">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7D6F186B">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026AD076">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7A99164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68F780DF">
            <w:pPr>
              <w:jc w:val="both"/>
              <w:rPr>
                <w:rFonts w:hint="eastAsia" w:ascii="宋体" w:hAnsi="宋体" w:eastAsia="宋体" w:cs="宋体"/>
                <w:kern w:val="2"/>
                <w:sz w:val="21"/>
                <w:szCs w:val="21"/>
                <w:lang w:val="en-US"/>
              </w:rPr>
            </w:pPr>
          </w:p>
        </w:tc>
        <w:tc>
          <w:tcPr>
            <w:tcW w:w="855" w:type="dxa"/>
            <w:vMerge w:val="continue"/>
            <w:tcBorders>
              <w:left w:val="nil"/>
              <w:bottom w:val="single" w:color="auto" w:sz="8" w:space="0"/>
              <w:right w:val="single" w:color="auto" w:sz="8" w:space="0"/>
            </w:tcBorders>
            <w:noWrap w:val="0"/>
            <w:tcMar>
              <w:left w:w="108" w:type="dxa"/>
              <w:right w:w="108" w:type="dxa"/>
            </w:tcMar>
            <w:vAlign w:val="center"/>
          </w:tcPr>
          <w:p w14:paraId="108ABD10">
            <w:pPr>
              <w:jc w:val="both"/>
              <w:rPr>
                <w:rFonts w:hint="eastAsia" w:ascii="宋体" w:hAnsi="宋体" w:eastAsia="宋体" w:cs="宋体"/>
                <w:kern w:val="2"/>
                <w:sz w:val="21"/>
                <w:szCs w:val="21"/>
                <w:lang w:val="en-US"/>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14:paraId="35CC716A">
            <w:pPr>
              <w:widowControl/>
              <w:spacing w:line="300" w:lineRule="exact"/>
              <w:jc w:val="left"/>
              <w:rPr>
                <w:rFonts w:hint="eastAsia" w:ascii="宋体" w:hAnsi="宋体" w:eastAsia="宋体" w:cs="宋体"/>
                <w:kern w:val="0"/>
                <w:sz w:val="21"/>
                <w:szCs w:val="21"/>
                <w:lang w:val="en-US" w:bidi="ar"/>
              </w:rPr>
            </w:pPr>
            <w:r>
              <w:rPr>
                <w:rFonts w:hint="eastAsia" w:ascii="宋体" w:hAnsi="宋体" w:eastAsia="宋体" w:cs="宋体"/>
                <w:kern w:val="0"/>
                <w:sz w:val="21"/>
                <w:szCs w:val="21"/>
                <w:lang w:val="en-US" w:bidi="ar"/>
              </w:rPr>
              <w:t>3.其他</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32BDAE22">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00FEDEB">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E2887BB">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18E6B317">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71CF9F0C">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5C68CBBF">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697DD384">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6C39A7B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4"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7AEE2418">
            <w:pPr>
              <w:jc w:val="both"/>
              <w:rPr>
                <w:rFonts w:hint="eastAsia" w:ascii="宋体" w:hAnsi="宋体" w:eastAsia="宋体" w:cs="宋体"/>
                <w:kern w:val="2"/>
                <w:sz w:val="21"/>
                <w:szCs w:val="21"/>
                <w:lang w:val="en-US"/>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14:paraId="139D50D1">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（七）总计</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7C048F41">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430916D7">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072AB6B1">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FBB3D4B">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487393A">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2E5DA0A5">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460A4870">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r w14:paraId="07BD668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4"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14:paraId="5F2FBE0B">
            <w:pPr>
              <w:widowControl/>
              <w:spacing w:line="300" w:lineRule="exact"/>
              <w:jc w:val="left"/>
              <w:rPr>
                <w:rFonts w:hint="eastAsia" w:ascii="宋体" w:hAnsi="宋体" w:eastAsia="宋体" w:cs="宋体"/>
                <w:kern w:val="2"/>
                <w:sz w:val="21"/>
                <w:szCs w:val="21"/>
                <w:lang w:val="en-US"/>
              </w:rPr>
            </w:pPr>
            <w:r>
              <w:rPr>
                <w:rFonts w:hint="eastAsia" w:ascii="宋体" w:hAnsi="宋体" w:eastAsia="宋体" w:cs="宋体"/>
                <w:kern w:val="0"/>
                <w:sz w:val="21"/>
                <w:szCs w:val="21"/>
                <w:lang w:val="en-US" w:bidi="ar"/>
              </w:rPr>
              <w:t>四、结转下年度继续办理</w:t>
            </w:r>
          </w:p>
        </w:tc>
        <w:tc>
          <w:tcPr>
            <w:tcW w:w="555" w:type="dxa"/>
            <w:tcBorders>
              <w:top w:val="nil"/>
              <w:left w:val="nil"/>
              <w:bottom w:val="single" w:color="auto" w:sz="8" w:space="0"/>
              <w:right w:val="single" w:color="auto" w:sz="8" w:space="0"/>
            </w:tcBorders>
            <w:noWrap w:val="0"/>
            <w:tcMar>
              <w:left w:w="108" w:type="dxa"/>
              <w:right w:w="108" w:type="dxa"/>
            </w:tcMar>
            <w:vAlign w:val="center"/>
          </w:tcPr>
          <w:p w14:paraId="01960A29">
            <w:pPr>
              <w:widowControl/>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14:paraId="77261ABC">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4901910A">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23569A11">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6DE2BB46">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14:paraId="6BE66DBD">
            <w:pPr>
              <w:widowControl/>
              <w:spacing w:line="300" w:lineRule="exact"/>
              <w:jc w:val="center"/>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14:paraId="736A9D2A">
            <w:pPr>
              <w:spacing w:line="300" w:lineRule="exact"/>
              <w:jc w:val="center"/>
              <w:rPr>
                <w:rFonts w:hint="default"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0</w:t>
            </w:r>
          </w:p>
        </w:tc>
      </w:tr>
    </w:tbl>
    <w:p w14:paraId="493AD641">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黑体" w:hAnsi="黑体" w:eastAsia="黑体" w:cs="黑体"/>
          <w:b w:val="0"/>
          <w:bCs/>
          <w:i w:val="0"/>
          <w:iCs w:val="0"/>
          <w:caps w:val="0"/>
          <w:color w:val="333333"/>
          <w:spacing w:val="0"/>
          <w:kern w:val="0"/>
          <w:sz w:val="32"/>
          <w:szCs w:val="32"/>
          <w:shd w:val="clear" w:color="auto" w:fill="FFFFFF"/>
          <w:lang w:val="en-US" w:eastAsia="zh-CN" w:bidi="ar-SA"/>
        </w:rPr>
      </w:pPr>
    </w:p>
    <w:p w14:paraId="6020D159">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黑体" w:hAnsi="黑体" w:eastAsia="黑体" w:cs="黑体"/>
          <w:b w:val="0"/>
          <w:bCs/>
          <w:i w:val="0"/>
          <w:iCs w:val="0"/>
          <w:caps w:val="0"/>
          <w:color w:val="333333"/>
          <w:spacing w:val="0"/>
          <w:kern w:val="0"/>
          <w:sz w:val="32"/>
          <w:szCs w:val="32"/>
          <w:shd w:val="clear" w:color="auto" w:fill="FFFFFF"/>
          <w:lang w:val="en-US" w:eastAsia="zh-CN" w:bidi="ar-SA"/>
        </w:rPr>
      </w:pPr>
    </w:p>
    <w:p w14:paraId="1E2A4B23">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黑体" w:hAnsi="黑体" w:eastAsia="黑体" w:cs="黑体"/>
          <w:b w:val="0"/>
          <w:bCs/>
          <w:i w:val="0"/>
          <w:iCs w:val="0"/>
          <w:caps w:val="0"/>
          <w:color w:val="333333"/>
          <w:spacing w:val="0"/>
          <w:kern w:val="0"/>
          <w:sz w:val="32"/>
          <w:szCs w:val="32"/>
          <w:shd w:val="clear" w:color="auto" w:fill="FFFFFF"/>
          <w:lang w:val="en-US" w:eastAsia="zh-CN" w:bidi="ar-SA"/>
        </w:rPr>
      </w:pPr>
      <w:r>
        <w:rPr>
          <w:rFonts w:hint="eastAsia" w:ascii="黑体" w:hAnsi="黑体" w:eastAsia="黑体" w:cs="黑体"/>
          <w:b w:val="0"/>
          <w:bCs/>
          <w:i w:val="0"/>
          <w:iCs w:val="0"/>
          <w:caps w:val="0"/>
          <w:color w:val="333333"/>
          <w:spacing w:val="0"/>
          <w:kern w:val="0"/>
          <w:sz w:val="32"/>
          <w:szCs w:val="32"/>
          <w:shd w:val="clear" w:color="auto" w:fill="FFFFFF"/>
          <w:lang w:val="en-US" w:eastAsia="zh-CN" w:bidi="ar-SA"/>
        </w:rPr>
        <w:t>四、政府信息公开行政复议、行政诉讼情况</w:t>
      </w:r>
    </w:p>
    <w:tbl>
      <w:tblPr>
        <w:tblStyle w:val="3"/>
        <w:tblpPr w:leftFromText="180" w:rightFromText="180" w:vertAnchor="text" w:horzAnchor="page" w:tblpX="1080" w:tblpY="438"/>
        <w:tblOverlap w:val="never"/>
        <w:tblW w:w="10083"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58"/>
        <w:gridCol w:w="658"/>
        <w:gridCol w:w="658"/>
        <w:gridCol w:w="658"/>
        <w:gridCol w:w="661"/>
        <w:gridCol w:w="691"/>
        <w:gridCol w:w="639"/>
        <w:gridCol w:w="690"/>
        <w:gridCol w:w="690"/>
        <w:gridCol w:w="645"/>
        <w:gridCol w:w="720"/>
        <w:gridCol w:w="690"/>
        <w:gridCol w:w="675"/>
        <w:gridCol w:w="690"/>
        <w:gridCol w:w="660"/>
      </w:tblGrid>
      <w:tr w14:paraId="5AE6EC1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2" w:hRule="atLeast"/>
        </w:trPr>
        <w:tc>
          <w:tcPr>
            <w:tcW w:w="32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6DB7FDA">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行政复议</w:t>
            </w:r>
          </w:p>
        </w:tc>
        <w:tc>
          <w:tcPr>
            <w:tcW w:w="6790"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14:paraId="56EB129F">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行政诉讼</w:t>
            </w:r>
          </w:p>
        </w:tc>
      </w:tr>
      <w:tr w14:paraId="0C23F9C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trPr>
        <w:tc>
          <w:tcPr>
            <w:tcW w:w="658"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35E24281">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结果维持</w:t>
            </w:r>
          </w:p>
        </w:tc>
        <w:tc>
          <w:tcPr>
            <w:tcW w:w="658" w:type="dxa"/>
            <w:vMerge w:val="restart"/>
            <w:tcBorders>
              <w:top w:val="nil"/>
              <w:left w:val="nil"/>
              <w:bottom w:val="single" w:color="auto" w:sz="8" w:space="0"/>
              <w:right w:val="single" w:color="auto" w:sz="8" w:space="0"/>
            </w:tcBorders>
            <w:noWrap w:val="0"/>
            <w:tcMar>
              <w:left w:w="108" w:type="dxa"/>
              <w:right w:w="108" w:type="dxa"/>
            </w:tcMar>
            <w:vAlign w:val="center"/>
          </w:tcPr>
          <w:p w14:paraId="4611F9E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结果纠正</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6339236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其他结果</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02FBB4B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尚未审结</w:t>
            </w:r>
          </w:p>
        </w:tc>
        <w:tc>
          <w:tcPr>
            <w:tcW w:w="661"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14:paraId="1EE82A9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总计</w:t>
            </w:r>
          </w:p>
        </w:tc>
        <w:tc>
          <w:tcPr>
            <w:tcW w:w="335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09187A4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未经复议直接起诉</w:t>
            </w:r>
          </w:p>
        </w:tc>
        <w:tc>
          <w:tcPr>
            <w:tcW w:w="343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14:paraId="3D68A59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复议后起诉</w:t>
            </w:r>
          </w:p>
        </w:tc>
      </w:tr>
      <w:tr w14:paraId="7ED89A5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trPr>
        <w:tc>
          <w:tcPr>
            <w:tcW w:w="658"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E10A4E3">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kern w:val="2"/>
                <w:sz w:val="21"/>
                <w:szCs w:val="21"/>
                <w:lang w:val="en-US"/>
              </w:rPr>
            </w:pPr>
          </w:p>
        </w:tc>
        <w:tc>
          <w:tcPr>
            <w:tcW w:w="658" w:type="dxa"/>
            <w:vMerge w:val="continue"/>
            <w:tcBorders>
              <w:top w:val="nil"/>
              <w:left w:val="nil"/>
              <w:bottom w:val="single" w:color="auto" w:sz="8" w:space="0"/>
              <w:right w:val="single" w:color="auto" w:sz="8" w:space="0"/>
            </w:tcBorders>
            <w:noWrap w:val="0"/>
            <w:tcMar>
              <w:left w:w="108" w:type="dxa"/>
              <w:right w:w="108" w:type="dxa"/>
            </w:tcMar>
            <w:vAlign w:val="center"/>
          </w:tcPr>
          <w:p w14:paraId="13A0D34F">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kern w:val="2"/>
                <w:sz w:val="21"/>
                <w:szCs w:val="21"/>
                <w:lang w:val="en-US"/>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32248F61">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kern w:val="2"/>
                <w:sz w:val="21"/>
                <w:szCs w:val="21"/>
                <w:lang w:val="en-US"/>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773A5C53">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kern w:val="2"/>
                <w:sz w:val="21"/>
                <w:szCs w:val="21"/>
                <w:lang w:val="en-US"/>
              </w:rPr>
            </w:pPr>
          </w:p>
        </w:tc>
        <w:tc>
          <w:tcPr>
            <w:tcW w:w="661"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14:paraId="3415A0AD">
            <w:pPr>
              <w:keepNext w:val="0"/>
              <w:keepLines w:val="0"/>
              <w:pageBreakBefore w:val="0"/>
              <w:widowControl/>
              <w:kinsoku/>
              <w:wordWrap/>
              <w:overflowPunct/>
              <w:topLinePunct w:val="0"/>
              <w:autoSpaceDE/>
              <w:autoSpaceDN/>
              <w:bidi w:val="0"/>
              <w:adjustRightInd/>
              <w:snapToGrid/>
              <w:spacing w:line="300" w:lineRule="exact"/>
              <w:jc w:val="both"/>
              <w:textAlignment w:val="auto"/>
              <w:rPr>
                <w:rFonts w:hint="default" w:ascii="Times New Roman" w:hAnsi="Times New Roman" w:eastAsia="宋体" w:cs="Times New Roman"/>
                <w:kern w:val="2"/>
                <w:sz w:val="21"/>
                <w:szCs w:val="21"/>
                <w:lang w:val="en-US"/>
              </w:rPr>
            </w:pPr>
          </w:p>
        </w:tc>
        <w:tc>
          <w:tcPr>
            <w:tcW w:w="691" w:type="dxa"/>
            <w:tcBorders>
              <w:top w:val="nil"/>
              <w:left w:val="nil"/>
              <w:bottom w:val="single" w:color="auto" w:sz="8" w:space="0"/>
              <w:right w:val="single" w:color="auto" w:sz="8" w:space="0"/>
            </w:tcBorders>
            <w:noWrap w:val="0"/>
            <w:tcMar>
              <w:left w:w="108" w:type="dxa"/>
              <w:right w:w="108" w:type="dxa"/>
            </w:tcMar>
            <w:vAlign w:val="center"/>
          </w:tcPr>
          <w:p w14:paraId="3EF3A55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结果维持</w:t>
            </w:r>
          </w:p>
        </w:tc>
        <w:tc>
          <w:tcPr>
            <w:tcW w:w="639" w:type="dxa"/>
            <w:tcBorders>
              <w:top w:val="nil"/>
              <w:left w:val="nil"/>
              <w:bottom w:val="single" w:color="auto" w:sz="8" w:space="0"/>
              <w:right w:val="single" w:color="auto" w:sz="8" w:space="0"/>
            </w:tcBorders>
            <w:noWrap w:val="0"/>
            <w:tcMar>
              <w:left w:w="108" w:type="dxa"/>
              <w:right w:w="108" w:type="dxa"/>
            </w:tcMar>
            <w:vAlign w:val="center"/>
          </w:tcPr>
          <w:p w14:paraId="23B0FFC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结果纠正</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618DB37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66C89AF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尚未审结</w:t>
            </w:r>
          </w:p>
        </w:tc>
        <w:tc>
          <w:tcPr>
            <w:tcW w:w="64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0998540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总计</w:t>
            </w:r>
          </w:p>
        </w:tc>
        <w:tc>
          <w:tcPr>
            <w:tcW w:w="72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0DA44F2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结果维持</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2CDBCE7C">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结果纠正</w:t>
            </w:r>
          </w:p>
        </w:tc>
        <w:tc>
          <w:tcPr>
            <w:tcW w:w="675" w:type="dxa"/>
            <w:tcBorders>
              <w:top w:val="single" w:color="auto" w:sz="8" w:space="0"/>
              <w:left w:val="nil"/>
              <w:bottom w:val="single" w:color="auto" w:sz="8" w:space="0"/>
              <w:right w:val="single" w:color="auto" w:sz="8" w:space="0"/>
            </w:tcBorders>
            <w:noWrap w:val="0"/>
            <w:tcMar>
              <w:left w:w="108" w:type="dxa"/>
              <w:right w:w="108" w:type="dxa"/>
            </w:tcMar>
            <w:vAlign w:val="center"/>
          </w:tcPr>
          <w:p w14:paraId="36044F3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1F10F7F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kern w:val="0"/>
                <w:sz w:val="21"/>
                <w:szCs w:val="21"/>
                <w:lang w:val="en-US" w:bidi="ar"/>
              </w:rPr>
              <w:t>尚未审结</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14:paraId="62CDDF3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hAnsi="Times New Roman" w:eastAsia="宋体" w:cs="Times New Roman"/>
                <w:kern w:val="2"/>
                <w:sz w:val="21"/>
                <w:szCs w:val="21"/>
                <w:lang w:val="en-US"/>
              </w:rPr>
            </w:pPr>
            <w:r>
              <w:rPr>
                <w:rFonts w:hint="eastAsia" w:ascii="宋体" w:hAnsi="Times New Roman" w:eastAsia="宋体" w:cs="宋体"/>
                <w:color w:val="000000"/>
                <w:kern w:val="0"/>
                <w:sz w:val="21"/>
                <w:szCs w:val="21"/>
                <w:lang w:val="en-US" w:bidi="ar"/>
              </w:rPr>
              <w:t>总计</w:t>
            </w:r>
          </w:p>
        </w:tc>
      </w:tr>
      <w:tr w14:paraId="75D3BA3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trPr>
        <w:tc>
          <w:tcPr>
            <w:tcW w:w="658" w:type="dxa"/>
            <w:tcBorders>
              <w:top w:val="nil"/>
              <w:left w:val="single" w:color="auto" w:sz="8" w:space="0"/>
              <w:bottom w:val="single" w:color="auto" w:sz="8" w:space="0"/>
              <w:right w:val="single" w:color="auto" w:sz="8" w:space="0"/>
            </w:tcBorders>
            <w:noWrap w:val="0"/>
            <w:tcMar>
              <w:left w:w="108" w:type="dxa"/>
              <w:right w:w="108" w:type="dxa"/>
            </w:tcMar>
            <w:vAlign w:val="center"/>
          </w:tcPr>
          <w:p w14:paraId="153A32A2">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524CAA91">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2858C5BF">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14:paraId="182068DF">
            <w:pPr>
              <w:keepNext w:val="0"/>
              <w:keepLines w:val="0"/>
              <w:pageBreakBefore w:val="0"/>
              <w:widowControl/>
              <w:kinsoku/>
              <w:wordWrap/>
              <w:overflowPunct/>
              <w:topLinePunct w:val="0"/>
              <w:autoSpaceDE/>
              <w:autoSpaceDN/>
              <w:bidi w:val="0"/>
              <w:adjustRightInd/>
              <w:snapToGrid/>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61" w:type="dxa"/>
            <w:tcBorders>
              <w:top w:val="nil"/>
              <w:left w:val="nil"/>
              <w:bottom w:val="single" w:color="auto" w:sz="8" w:space="0"/>
              <w:right w:val="single" w:color="auto" w:sz="8" w:space="0"/>
            </w:tcBorders>
            <w:noWrap w:val="0"/>
            <w:tcMar>
              <w:left w:w="108" w:type="dxa"/>
              <w:right w:w="108" w:type="dxa"/>
            </w:tcMar>
            <w:vAlign w:val="center"/>
          </w:tcPr>
          <w:p w14:paraId="25A34E66">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91" w:type="dxa"/>
            <w:tcBorders>
              <w:top w:val="nil"/>
              <w:left w:val="nil"/>
              <w:bottom w:val="single" w:color="auto" w:sz="8" w:space="0"/>
              <w:right w:val="single" w:color="auto" w:sz="8" w:space="0"/>
            </w:tcBorders>
            <w:noWrap w:val="0"/>
            <w:tcMar>
              <w:left w:w="108" w:type="dxa"/>
              <w:right w:w="108" w:type="dxa"/>
            </w:tcMar>
            <w:vAlign w:val="center"/>
          </w:tcPr>
          <w:p w14:paraId="1358EC1C">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39" w:type="dxa"/>
            <w:tcBorders>
              <w:top w:val="nil"/>
              <w:left w:val="nil"/>
              <w:bottom w:val="single" w:color="auto" w:sz="8" w:space="0"/>
              <w:right w:val="single" w:color="auto" w:sz="8" w:space="0"/>
            </w:tcBorders>
            <w:noWrap w:val="0"/>
            <w:tcMar>
              <w:left w:w="108" w:type="dxa"/>
              <w:right w:w="108" w:type="dxa"/>
            </w:tcMar>
            <w:vAlign w:val="center"/>
          </w:tcPr>
          <w:p w14:paraId="7651277B">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4AB177A0">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690D145B">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45" w:type="dxa"/>
            <w:tcBorders>
              <w:top w:val="nil"/>
              <w:left w:val="nil"/>
              <w:bottom w:val="single" w:color="auto" w:sz="8" w:space="0"/>
              <w:right w:val="single" w:color="auto" w:sz="8" w:space="0"/>
            </w:tcBorders>
            <w:noWrap w:val="0"/>
            <w:tcMar>
              <w:left w:w="108" w:type="dxa"/>
              <w:right w:w="108" w:type="dxa"/>
            </w:tcMar>
            <w:vAlign w:val="center"/>
          </w:tcPr>
          <w:p w14:paraId="0754C07A">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14:paraId="59A5D4F3">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3E997334">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75" w:type="dxa"/>
            <w:tcBorders>
              <w:top w:val="nil"/>
              <w:left w:val="nil"/>
              <w:bottom w:val="single" w:color="auto" w:sz="8" w:space="0"/>
              <w:right w:val="single" w:color="auto" w:sz="8" w:space="0"/>
            </w:tcBorders>
            <w:noWrap w:val="0"/>
            <w:tcMar>
              <w:left w:w="108" w:type="dxa"/>
              <w:right w:w="108" w:type="dxa"/>
            </w:tcMar>
            <w:vAlign w:val="center"/>
          </w:tcPr>
          <w:p w14:paraId="45D91025">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14:paraId="0CEF6370">
            <w:pPr>
              <w:keepNext w:val="0"/>
              <w:keepLines w:val="0"/>
              <w:pageBreakBefore w:val="0"/>
              <w:widowControl/>
              <w:kinsoku/>
              <w:wordWrap/>
              <w:overflowPunct/>
              <w:topLinePunct w:val="0"/>
              <w:autoSpaceDE/>
              <w:autoSpaceDN/>
              <w:bidi w:val="0"/>
              <w:adjustRightInd/>
              <w:snapToGrid/>
              <w:jc w:val="center"/>
              <w:textAlignment w:val="auto"/>
              <w:rPr>
                <w:rFonts w:hint="eastAsia"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14:paraId="1F1C6514">
            <w:pPr>
              <w:keepNext w:val="0"/>
              <w:keepLines w:val="0"/>
              <w:pageBreakBefore w:val="0"/>
              <w:kinsoku/>
              <w:wordWrap/>
              <w:overflowPunct/>
              <w:topLinePunct w:val="0"/>
              <w:autoSpaceDE/>
              <w:autoSpaceDN/>
              <w:bidi w:val="0"/>
              <w:adjustRightInd/>
              <w:snapToGrid/>
              <w:jc w:val="center"/>
              <w:textAlignment w:val="auto"/>
              <w:rPr>
                <w:rFonts w:hint="default" w:ascii="宋体" w:hAnsi="Times New Roman" w:eastAsia="宋体" w:cs="Times New Roman"/>
                <w:kern w:val="2"/>
                <w:sz w:val="21"/>
                <w:szCs w:val="21"/>
                <w:lang w:val="en-US" w:eastAsia="zh-CN"/>
              </w:rPr>
            </w:pPr>
            <w:r>
              <w:rPr>
                <w:rFonts w:hint="eastAsia" w:ascii="宋体" w:eastAsia="宋体" w:cs="Times New Roman"/>
                <w:kern w:val="2"/>
                <w:sz w:val="21"/>
                <w:szCs w:val="21"/>
                <w:lang w:val="en-US" w:eastAsia="zh-CN"/>
              </w:rPr>
              <w:t>0</w:t>
            </w:r>
          </w:p>
        </w:tc>
      </w:tr>
    </w:tbl>
    <w:p w14:paraId="6272A6BE">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黑体" w:hAnsi="黑体" w:eastAsia="黑体" w:cs="黑体"/>
          <w:b w:val="0"/>
          <w:bCs/>
          <w:kern w:val="0"/>
          <w:sz w:val="32"/>
          <w:szCs w:val="32"/>
          <w:lang w:val="en-US" w:eastAsia="zh-CN" w:bidi="ar-SA"/>
        </w:rPr>
      </w:pPr>
    </w:p>
    <w:p w14:paraId="7A9CD8D0">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宋体" w:hAnsi="Times New Roman" w:eastAsia="宋体" w:cs="宋体"/>
          <w:kern w:val="0"/>
          <w:sz w:val="24"/>
          <w:szCs w:val="24"/>
          <w:lang w:val="en-US" w:eastAsia="zh-CN" w:bidi="ar-SA"/>
        </w:rPr>
      </w:pPr>
      <w:r>
        <w:rPr>
          <w:rFonts w:hint="eastAsia" w:ascii="黑体" w:hAnsi="黑体" w:eastAsia="黑体" w:cs="黑体"/>
          <w:b w:val="0"/>
          <w:bCs/>
          <w:kern w:val="0"/>
          <w:sz w:val="32"/>
          <w:szCs w:val="32"/>
          <w:lang w:val="en-US" w:eastAsia="zh-CN" w:bidi="ar-SA"/>
        </w:rPr>
        <w:t>五、存在的主要问题及改进情况</w:t>
      </w:r>
    </w:p>
    <w:p w14:paraId="112D1162">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我镇虽落实上级部署推进信息公开，但仍存在工作人员业务水平不高的短板。</w:t>
      </w:r>
    </w:p>
    <w:p w14:paraId="49CB27EA">
      <w:pPr>
        <w:keepNext w:val="0"/>
        <w:keepLines w:val="0"/>
        <w:pageBreakBefore w:val="0"/>
        <w:widowControl/>
        <w:kinsoku/>
        <w:wordWrap/>
        <w:overflowPunct/>
        <w:topLinePunct w:val="0"/>
        <w:autoSpaceDE/>
        <w:autoSpaceDN/>
        <w:bidi w:val="0"/>
        <w:adjustRightInd/>
        <w:snapToGrid/>
        <w:spacing w:before="0" w:beforeAutospacing="0" w:after="0" w:afterAutospacing="0" w:line="576" w:lineRule="exact"/>
        <w:ind w:left="0" w:right="0"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改进情况：是明确配备1名专职信息公开工作人员，明确岗位职责，稳定工作队伍，保障工作连续性。二是建立常态化业务培训机制，定期组织学习信息公开相关法律法规、政策文件和操作流程，提升工作人员的政策理解能力和业务操作水平。同时，完善配套工作机制，制定审核管理办法，建立“科室拟稿—分管领导审核—主要领导审批”三级审核机制，强化流程管控。</w:t>
      </w:r>
    </w:p>
    <w:p w14:paraId="6CBA609C">
      <w:pPr>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b w:val="0"/>
          <w:bCs/>
          <w:kern w:val="0"/>
          <w:sz w:val="32"/>
          <w:szCs w:val="32"/>
          <w:lang w:val="en-US" w:eastAsia="zh-CN" w:bidi="ar-SA"/>
        </w:rPr>
      </w:pPr>
      <w:r>
        <w:rPr>
          <w:rFonts w:hint="eastAsia" w:ascii="黑体" w:hAnsi="黑体" w:eastAsia="黑体" w:cs="黑体"/>
          <w:b w:val="0"/>
          <w:bCs/>
          <w:kern w:val="0"/>
          <w:sz w:val="32"/>
          <w:szCs w:val="32"/>
          <w:lang w:val="en-US" w:eastAsia="zh-CN" w:bidi="ar-SA"/>
        </w:rPr>
        <w:t>六、其他需要报告的事项</w:t>
      </w:r>
    </w:p>
    <w:p w14:paraId="31D3F80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0"/>
        <w:jc w:val="both"/>
        <w:rPr>
          <w:rFonts w:hint="eastAsia" w:ascii="宋体" w:hAnsi="宋体" w:eastAsia="宋体" w:cs="宋体"/>
          <w:i w:val="0"/>
          <w:iCs w:val="0"/>
          <w:caps w:val="0"/>
          <w:color w:val="333333"/>
          <w:spacing w:val="0"/>
          <w:sz w:val="19"/>
          <w:szCs w:val="19"/>
        </w:rPr>
      </w:pPr>
      <w:r>
        <w:rPr>
          <w:rFonts w:hint="eastAsia" w:ascii="宋体" w:hAnsi="宋体" w:eastAsia="宋体" w:cs="宋体"/>
          <w:i w:val="0"/>
          <w:iCs w:val="0"/>
          <w:caps w:val="0"/>
          <w:color w:val="333333"/>
          <w:spacing w:val="0"/>
          <w:sz w:val="19"/>
          <w:szCs w:val="19"/>
          <w:shd w:val="clear" w:fill="FFFFFF"/>
        </w:rPr>
        <w:t>　</w:t>
      </w:r>
      <w:r>
        <w:rPr>
          <w:rFonts w:hint="eastAsia" w:ascii="CESI宋体-GB2312" w:hAnsi="CESI宋体-GB2312" w:eastAsia="方正仿宋_GBK" w:cs="方正仿宋_GBK"/>
          <w:color w:val="000000"/>
          <w:kern w:val="0"/>
          <w:sz w:val="32"/>
          <w:szCs w:val="32"/>
          <w:lang w:val="en-US" w:eastAsia="zh-CN" w:bidi="ar-SA"/>
        </w:rPr>
        <w:t>　</w:t>
      </w:r>
      <w:r>
        <w:rPr>
          <w:rFonts w:hint="eastAsia" w:ascii="仿宋_GB2312" w:hAnsi="仿宋_GB2312" w:eastAsia="仿宋_GB2312" w:cs="仿宋_GB2312"/>
          <w:color w:val="000000"/>
          <w:kern w:val="0"/>
          <w:sz w:val="32"/>
          <w:szCs w:val="32"/>
          <w:lang w:val="en-US" w:eastAsia="zh-CN" w:bidi="ar-SA"/>
        </w:rPr>
        <w:t>信息处理费收费情况：本年度未收取信息处理费。</w:t>
      </w:r>
    </w:p>
    <w:p w14:paraId="25858A4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98DECA6-CE91-48E6-9EED-ABAAC791EAB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2000000000000000000"/>
    <w:charset w:val="86"/>
    <w:family w:val="script"/>
    <w:pitch w:val="default"/>
    <w:sig w:usb0="A00002BF" w:usb1="38CF7CFA" w:usb2="00082016" w:usb3="00000000" w:csb0="00040001" w:csb1="00000000"/>
    <w:embedRegular r:id="rId2" w:fontKey="{C2541528-42CA-4607-8A01-18B25C4EE8F9}"/>
  </w:font>
  <w:font w:name="CESI宋体-GB2312">
    <w:altName w:val="宋体"/>
    <w:panose1 w:val="02000500000000000000"/>
    <w:charset w:val="86"/>
    <w:family w:val="auto"/>
    <w:pitch w:val="default"/>
    <w:sig w:usb0="00000000" w:usb1="00000000" w:usb2="00000010" w:usb3="00000000" w:csb0="0004000F" w:csb1="00000000"/>
    <w:embedRegular r:id="rId3" w:fontKey="{3BB15719-F154-44FA-B1F0-09CAA55AFB27}"/>
  </w:font>
  <w:font w:name="楷体">
    <w:panose1 w:val="02010609060101010101"/>
    <w:charset w:val="86"/>
    <w:family w:val="modern"/>
    <w:pitch w:val="default"/>
    <w:sig w:usb0="800002BF" w:usb1="38CF7CFA" w:usb2="00000016" w:usb3="00000000" w:csb0="00040001" w:csb1="00000000"/>
    <w:embedRegular r:id="rId4" w:fontKey="{BBD3F267-66FE-41BF-B887-A8DDCE4F379F}"/>
  </w:font>
  <w:font w:name="仿宋_GB2312">
    <w:panose1 w:val="02010609030101010101"/>
    <w:charset w:val="86"/>
    <w:family w:val="auto"/>
    <w:pitch w:val="default"/>
    <w:sig w:usb0="00000001" w:usb1="080E0000" w:usb2="00000000" w:usb3="00000000" w:csb0="00040000" w:csb1="00000000"/>
    <w:embedRegular r:id="rId5" w:fontKey="{B31F1357-3641-4EEB-A63D-157E6E40CD9D}"/>
  </w:font>
  <w:font w:name="楷体_GB2312">
    <w:panose1 w:val="02010609030101010101"/>
    <w:charset w:val="86"/>
    <w:family w:val="auto"/>
    <w:pitch w:val="default"/>
    <w:sig w:usb0="00000001" w:usb1="080E0000" w:usb2="00000000" w:usb3="00000000" w:csb0="00040000" w:csb1="00000000"/>
    <w:embedRegular r:id="rId6" w:fontKey="{7AB9C533-076F-4C23-9E35-C073DB17A2F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477D53"/>
    <w:rsid w:val="2DDF2C81"/>
    <w:rsid w:val="35DA4BB7"/>
    <w:rsid w:val="3E1E7E4E"/>
    <w:rsid w:val="45DA7E08"/>
    <w:rsid w:val="5B477D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pPr>
      <w:widowControl w:val="0"/>
    </w:pPr>
    <w:rPr>
      <w:rFonts w:hint="eastAsia" w:ascii="Times New Roman" w:hAnsi="Times New Roman" w:eastAsia="Times New Roman" w:cs="Times New Roman"/>
      <w:color w:val="000000"/>
      <w:sz w:val="24"/>
      <w:lang w:val="zh-CN"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2060</Words>
  <Characters>2106</Characters>
  <Lines>0</Lines>
  <Paragraphs>0</Paragraphs>
  <TotalTime>46</TotalTime>
  <ScaleCrop>false</ScaleCrop>
  <LinksUpToDate>false</LinksUpToDate>
  <CharactersWithSpaces>2108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2026-01-12T08:04:00Z</dcterms:created>
  <dc:creator>小豹</dc:creator>
  <cp:lastModifiedBy>小豹</cp:lastModifiedBy>
  <dcterms:modified xsi:type="dcterms:W3CDTF">2026-01-13T02:01:41Z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122F9368067140838D5B428B69F9724C_13</vt:lpwstr>
  </property>
  <property fmtid="{D5CDD505-2E9C-101B-9397-08002B2CF9AE}" pid="4" name="KSOTemplateDocerSaveRecord">
    <vt:lpwstr>eyJoZGlkIjoiODlmMjYxMTg4MTQ4MTg4ZjFkNTgxZmU2NmU0NThkYTgiLCJ1c2VySWQiOiI2OTE0MDEwOTQifQ==</vt:lpwstr>
  </property>
</Properties>
</file>