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E86E7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32"/>
          <w:szCs w:val="32"/>
          <w:lang w:val="en-US" w:eastAsia="zh-CN" w:bidi="ar-SA"/>
        </w:rPr>
      </w:pPr>
      <w:bookmarkStart w:id="0" w:name="OLE_LINK1"/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 w:bidi="ar-SA"/>
        </w:rPr>
        <w:t>湘潭县民政局2025年政府信息公开工作年度报告</w:t>
      </w:r>
    </w:p>
    <w:p w14:paraId="0787FF3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42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-SA"/>
        </w:rPr>
      </w:pPr>
    </w:p>
    <w:p w14:paraId="1E3B49E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jc w:val="both"/>
        <w:textAlignment w:val="auto"/>
        <w:rPr>
          <w:rFonts w:hint="eastAsia" w:ascii="CESI宋体-GB2312" w:hAnsi="CESI宋体-GB2312" w:eastAsia="方正仿宋_GBK" w:cs="方正仿宋_GBK"/>
          <w:kern w:val="0"/>
          <w:sz w:val="32"/>
          <w:szCs w:val="32"/>
          <w:lang w:val="en-US" w:eastAsia="zh-CN" w:bidi="ar-SA"/>
        </w:rPr>
      </w:pPr>
      <w:r>
        <w:rPr>
          <w:rFonts w:hint="eastAsia" w:ascii="CESI宋体-GB2312" w:hAnsi="CESI宋体-GB2312" w:eastAsia="方正仿宋_GBK" w:cs="方正仿宋_GBK"/>
          <w:kern w:val="0"/>
          <w:sz w:val="32"/>
          <w:szCs w:val="32"/>
          <w:lang w:val="en-US" w:eastAsia="zh-CN" w:bidi="ar-SA"/>
        </w:rPr>
        <w:t>根据《中华人民共和国政府信息公开条例》（国务院令第711号）规定，以及《国务院办公厅政府信息与政务公开办公室关于印发〈中华人民共和国政府信息公开工作年度报告格式〉的通知》（国办公开办函〔2021〕30号）要求编制本报告。本报告所列数据的统计期限为2025年1月1日至2025年12月31日。</w:t>
      </w:r>
    </w:p>
    <w:p w14:paraId="531A963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一、总体情况</w:t>
      </w:r>
    </w:p>
    <w:p w14:paraId="3CAD280C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CESI宋体-GB2312" w:hAnsi="CESI宋体-GB2312" w:eastAsia="方正仿宋_GBK" w:cs="方正仿宋_GBK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CESI宋体-GB2312" w:hAnsi="CESI宋体-GB2312" w:eastAsia="方正仿宋_GBK" w:cs="方正仿宋_GBK"/>
          <w:color w:val="000000"/>
          <w:kern w:val="0"/>
          <w:sz w:val="32"/>
          <w:szCs w:val="32"/>
          <w:lang w:val="en-US" w:eastAsia="zh-CN" w:bidi="ar-SA"/>
        </w:rPr>
        <w:t>2025年湘潭县民政局政府信息公开工作在县委、县政府的正确领导下，在县政务公开和政务服务工作领导小组办公室的具体指导下，县民政局紧紧围绕中心工作，以深化改革为动力，以服务民生、改善民生、保障民生为重点，努力建设服务型民政，不断提升政务公开标准化、规范化水平，政务公开工作取得了新的成效。</w:t>
      </w:r>
    </w:p>
    <w:p w14:paraId="735FC2A2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bidi="ar-SA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 w:bidi="ar-SA"/>
        </w:rPr>
        <w:t>（一）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bidi="ar-SA"/>
        </w:rPr>
        <w:t>主动公开方面</w:t>
      </w:r>
    </w:p>
    <w:p w14:paraId="7754659E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CESI宋体-GB2312" w:hAnsi="CESI宋体-GB2312" w:eastAsia="方正仿宋_GBK" w:cs="方正仿宋_GBK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CESI宋体-GB2312" w:hAnsi="CESI宋体-GB2312" w:eastAsia="方正仿宋_GBK" w:cs="方正仿宋_GBK"/>
          <w:color w:val="000000"/>
          <w:kern w:val="0"/>
          <w:sz w:val="32"/>
          <w:szCs w:val="32"/>
          <w:lang w:val="en-US" w:eastAsia="zh-CN" w:bidi="ar-SA"/>
        </w:rPr>
        <w:t>2025年通过政务网站主动公开政府信息90条，其中工作动态12条、政务公开28条、财政信息3条、行政执法信息44条、机构信息2条、领导信息1条。</w:t>
      </w:r>
    </w:p>
    <w:p w14:paraId="2519CF43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bidi="ar-SA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 w:bidi="ar-SA"/>
        </w:rPr>
        <w:t>（二）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bidi="ar-SA"/>
        </w:rPr>
        <w:t>依申请公开方面</w:t>
      </w:r>
    </w:p>
    <w:p w14:paraId="35826FE3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CESI宋体-GB2312" w:hAnsi="CESI宋体-GB2312" w:eastAsia="方正仿宋_GBK" w:cs="方正仿宋_GBK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CESI宋体-GB2312" w:hAnsi="CESI宋体-GB2312" w:eastAsia="方正仿宋_GBK" w:cs="方正仿宋_GBK"/>
          <w:color w:val="000000"/>
          <w:kern w:val="0"/>
          <w:sz w:val="32"/>
          <w:szCs w:val="32"/>
          <w:lang w:val="en-US" w:eastAsia="zh-CN" w:bidi="ar-SA"/>
        </w:rPr>
        <w:t>2025年我局没有收到政府信息公开申请，全年没有一件因政府信息公开工作被申请行政复议、提起行政诉讼。</w:t>
      </w:r>
    </w:p>
    <w:p w14:paraId="5709B7A5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bidi="ar-SA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 w:bidi="ar-SA"/>
        </w:rPr>
        <w:t>（三）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bidi="ar-SA"/>
        </w:rPr>
        <w:t>政府信息管理方面</w:t>
      </w:r>
    </w:p>
    <w:p w14:paraId="7DF374FF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CESI宋体-GB2312" w:hAnsi="CESI宋体-GB2312" w:eastAsia="方正仿宋_GBK" w:cs="方正仿宋_GBK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CESI宋体-GB2312" w:hAnsi="CESI宋体-GB2312" w:eastAsia="方正仿宋_GBK" w:cs="方正仿宋_GBK"/>
          <w:color w:val="000000"/>
          <w:kern w:val="0"/>
          <w:sz w:val="32"/>
          <w:szCs w:val="32"/>
          <w:lang w:val="en-US" w:eastAsia="zh-CN" w:bidi="ar-SA"/>
        </w:rPr>
        <w:t>一是信息发布严格落实“三级审核”制度，坚持分级分类审核、先审后发，严把政治观、法律观、政策关、保密关、舆情关；二是常态化开展涉及个人隐私的信息排查工作，对可能涉及个人隐私的行政处罚等信息，严把审核关；三是网站各栏目按要求及时更新。</w:t>
      </w:r>
    </w:p>
    <w:p w14:paraId="4B1BCD06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bidi="ar-SA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 w:bidi="ar-SA"/>
        </w:rPr>
        <w:t>（四）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bidi="ar-SA"/>
        </w:rPr>
        <w:t>政府信息公开平台建设方面</w:t>
      </w:r>
    </w:p>
    <w:p w14:paraId="36E87F01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CESI宋体-GB2312" w:hAnsi="CESI宋体-GB2312" w:eastAsia="方正仿宋_GBK" w:cs="方正仿宋_GBK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CESI宋体-GB2312" w:hAnsi="CESI宋体-GB2312" w:eastAsia="方正仿宋_GBK" w:cs="方正仿宋_GBK"/>
          <w:color w:val="000000"/>
          <w:kern w:val="0"/>
          <w:sz w:val="32"/>
          <w:szCs w:val="32"/>
          <w:lang w:val="en-US" w:eastAsia="zh-CN" w:bidi="ar-SA"/>
        </w:rPr>
        <w:t>安排专人负责、积极配合湘潭县人民政府网站的建设工作，提供各类公开信息，确保信息上传及时、准确无误。</w:t>
      </w:r>
    </w:p>
    <w:p w14:paraId="253A7DC3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bidi="ar-SA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 w:bidi="ar-SA"/>
        </w:rPr>
        <w:t>（五）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bidi="ar-SA"/>
        </w:rPr>
        <w:t>监督保障方面</w:t>
      </w:r>
    </w:p>
    <w:p w14:paraId="3279914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CESI宋体-GB2312" w:hAnsi="CESI宋体-GB2312" w:eastAsia="方正仿宋_GBK" w:cs="方正仿宋_GBK"/>
          <w:color w:val="000000"/>
          <w:kern w:val="0"/>
          <w:sz w:val="32"/>
          <w:szCs w:val="32"/>
          <w:lang w:val="en-US" w:eastAsia="zh-CN" w:bidi="ar-SA"/>
        </w:rPr>
        <w:t>局办公室安排专人负责局政务信息公开工作。对公开发布的信息严格按照业务股室拟稿、分管领导审核、信息公开保密审查、局主要负责人审核无误后，由局办公室发布。依托网站监测平台对发布内容及时进行监测，发现错误第一时间进行修改。</w:t>
      </w:r>
      <w:r>
        <w:rPr>
          <w:rFonts w:hint="eastAsia" w:ascii="CESI宋体-GB2312" w:hAnsi="CESI宋体-GB2312" w:eastAsia="方正仿宋_GBK" w:cs="方正仿宋_GBK"/>
          <w:color w:val="000000"/>
          <w:kern w:val="0"/>
          <w:sz w:val="32"/>
          <w:szCs w:val="32"/>
          <w:lang w:val="en-US" w:eastAsia="zh-CN" w:bidi="ar-SA"/>
        </w:rPr>
        <w:br w:type="page"/>
      </w:r>
      <w:bookmarkEnd w:id="0"/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二、主动公开政府信息情况</w:t>
      </w:r>
    </w:p>
    <w:tbl>
      <w:tblPr>
        <w:tblStyle w:val="4"/>
        <w:tblpPr w:leftFromText="180" w:rightFromText="180" w:vertAnchor="text" w:horzAnchor="page" w:tblpX="1630" w:tblpY="579"/>
        <w:tblOverlap w:val="never"/>
        <w:tblW w:w="90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979"/>
        <w:gridCol w:w="2091"/>
      </w:tblGrid>
      <w:tr w14:paraId="6CE4D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9064" w:type="dxa"/>
            <w:gridSpan w:val="4"/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303DEF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val="en-US" w:bidi="ar"/>
              </w:rPr>
              <w:t>第二十条第（一）项</w:t>
            </w:r>
          </w:p>
        </w:tc>
      </w:tr>
      <w:tr w14:paraId="70ED8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690607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val="en-US" w:bidi="ar"/>
              </w:rPr>
              <w:t>信息内容</w:t>
            </w:r>
          </w:p>
        </w:tc>
        <w:tc>
          <w:tcPr>
            <w:tcW w:w="1881" w:type="dxa"/>
            <w:noWrap/>
            <w:tcMar>
              <w:left w:w="108" w:type="dxa"/>
              <w:right w:w="108" w:type="dxa"/>
            </w:tcMar>
            <w:vAlign w:val="center"/>
          </w:tcPr>
          <w:p w14:paraId="67B7AF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  <w:t>本年制发件数</w:t>
            </w:r>
          </w:p>
        </w:tc>
        <w:tc>
          <w:tcPr>
            <w:tcW w:w="1979" w:type="dxa"/>
            <w:noWrap w:val="0"/>
            <w:tcMar>
              <w:left w:w="108" w:type="dxa"/>
              <w:right w:w="108" w:type="dxa"/>
            </w:tcMar>
            <w:vAlign w:val="center"/>
          </w:tcPr>
          <w:p w14:paraId="047621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  <w:t>本年废止件数</w:t>
            </w:r>
          </w:p>
        </w:tc>
        <w:tc>
          <w:tcPr>
            <w:tcW w:w="2091" w:type="dxa"/>
            <w:noWrap/>
            <w:tcMar>
              <w:left w:w="108" w:type="dxa"/>
              <w:right w:w="108" w:type="dxa"/>
            </w:tcMar>
            <w:vAlign w:val="center"/>
          </w:tcPr>
          <w:p w14:paraId="1D1A3C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  <w:t>现行有效件数</w:t>
            </w:r>
          </w:p>
        </w:tc>
      </w:tr>
      <w:tr w14:paraId="40F0E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567662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val="en-US" w:bidi="ar"/>
              </w:rPr>
              <w:t>规章</w:t>
            </w:r>
          </w:p>
        </w:tc>
        <w:tc>
          <w:tcPr>
            <w:tcW w:w="1881" w:type="dxa"/>
            <w:noWrap/>
            <w:tcMar>
              <w:left w:w="108" w:type="dxa"/>
              <w:right w:w="108" w:type="dxa"/>
            </w:tcMar>
            <w:vAlign w:val="center"/>
          </w:tcPr>
          <w:p w14:paraId="27787B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 w:cs="Times New Roman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noWrap w:val="0"/>
            <w:tcMar>
              <w:left w:w="108" w:type="dxa"/>
              <w:right w:w="108" w:type="dxa"/>
            </w:tcMar>
            <w:vAlign w:val="center"/>
          </w:tcPr>
          <w:p w14:paraId="47F902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 w:cs="Times New Roman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noWrap/>
            <w:tcMar>
              <w:left w:w="108" w:type="dxa"/>
              <w:right w:w="108" w:type="dxa"/>
            </w:tcMar>
            <w:vAlign w:val="center"/>
          </w:tcPr>
          <w:p w14:paraId="6B6792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 w:cs="Times New Roman"/>
                <w:kern w:val="2"/>
                <w:sz w:val="21"/>
                <w:szCs w:val="21"/>
                <w:lang w:val="en-US" w:eastAsia="zh-CN"/>
              </w:rPr>
              <w:t>0</w:t>
            </w:r>
          </w:p>
        </w:tc>
      </w:tr>
      <w:tr w14:paraId="6AA8F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38E55D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行政</w:t>
            </w: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val="en-US" w:bidi="ar"/>
              </w:rPr>
              <w:t>规范性文件</w:t>
            </w:r>
          </w:p>
        </w:tc>
        <w:tc>
          <w:tcPr>
            <w:tcW w:w="1881" w:type="dxa"/>
            <w:noWrap/>
            <w:tcMar>
              <w:left w:w="108" w:type="dxa"/>
              <w:right w:w="108" w:type="dxa"/>
            </w:tcMar>
            <w:vAlign w:val="center"/>
          </w:tcPr>
          <w:p w14:paraId="5FF834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 w:cs="Times New Roman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noWrap w:val="0"/>
            <w:tcMar>
              <w:left w:w="108" w:type="dxa"/>
              <w:right w:w="108" w:type="dxa"/>
            </w:tcMar>
            <w:vAlign w:val="center"/>
          </w:tcPr>
          <w:p w14:paraId="2EBACE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 w:cs="Times New Roman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noWrap/>
            <w:tcMar>
              <w:left w:w="108" w:type="dxa"/>
              <w:right w:w="108" w:type="dxa"/>
            </w:tcMar>
            <w:vAlign w:val="center"/>
          </w:tcPr>
          <w:p w14:paraId="6E75D8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 w:cs="Times New Roman"/>
                <w:kern w:val="2"/>
                <w:sz w:val="21"/>
                <w:szCs w:val="21"/>
                <w:lang w:val="en-US" w:eastAsia="zh-CN"/>
              </w:rPr>
              <w:t>0</w:t>
            </w:r>
          </w:p>
        </w:tc>
      </w:tr>
      <w:tr w14:paraId="0F592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9064" w:type="dxa"/>
            <w:gridSpan w:val="4"/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0E2AE9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  <w:t>第二十条第（五）项</w:t>
            </w:r>
          </w:p>
        </w:tc>
      </w:tr>
      <w:tr w14:paraId="7E988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5ED79E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val="en-US" w:bidi="ar"/>
              </w:rPr>
              <w:t>信息内容</w:t>
            </w:r>
          </w:p>
        </w:tc>
        <w:tc>
          <w:tcPr>
            <w:tcW w:w="5951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14:paraId="5146E5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宋体" w:hAnsi="Times New Roman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 w14:paraId="667C8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456ED6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val="en-US" w:bidi="ar"/>
              </w:rPr>
              <w:t>行政许可</w:t>
            </w:r>
          </w:p>
        </w:tc>
        <w:tc>
          <w:tcPr>
            <w:tcW w:w="5951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14:paraId="7B3A6B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 w:cs="Times New Roman"/>
                <w:kern w:val="2"/>
                <w:sz w:val="21"/>
                <w:szCs w:val="21"/>
                <w:lang w:val="en-US" w:eastAsia="zh-CN"/>
              </w:rPr>
              <w:t>44</w:t>
            </w:r>
            <w:bookmarkStart w:id="1" w:name="_GoBack"/>
            <w:bookmarkEnd w:id="1"/>
          </w:p>
        </w:tc>
      </w:tr>
      <w:tr w14:paraId="33ACE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9064" w:type="dxa"/>
            <w:gridSpan w:val="4"/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7EA55A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  <w:t>第二十条第（六）项</w:t>
            </w:r>
          </w:p>
        </w:tc>
      </w:tr>
      <w:tr w14:paraId="6100F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0B08DA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val="en-US" w:bidi="ar"/>
              </w:rPr>
              <w:t>信息内容</w:t>
            </w:r>
          </w:p>
        </w:tc>
        <w:tc>
          <w:tcPr>
            <w:tcW w:w="5951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14:paraId="049DD5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宋体" w:hAnsi="Times New Roman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 w14:paraId="11ADB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623655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val="en-US" w:bidi="ar"/>
              </w:rPr>
              <w:t>行政处罚</w:t>
            </w:r>
          </w:p>
        </w:tc>
        <w:tc>
          <w:tcPr>
            <w:tcW w:w="5951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14:paraId="20C492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 w:cs="Times New Roman"/>
                <w:kern w:val="2"/>
                <w:sz w:val="21"/>
                <w:szCs w:val="21"/>
                <w:lang w:val="en-US" w:eastAsia="zh-CN"/>
              </w:rPr>
              <w:t>1</w:t>
            </w:r>
          </w:p>
        </w:tc>
      </w:tr>
      <w:tr w14:paraId="161F7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79286F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val="en-US" w:bidi="ar"/>
              </w:rPr>
              <w:t>行政强制</w:t>
            </w:r>
          </w:p>
        </w:tc>
        <w:tc>
          <w:tcPr>
            <w:tcW w:w="5951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14:paraId="57E3B5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 w:cs="Times New Roman"/>
                <w:kern w:val="2"/>
                <w:sz w:val="21"/>
                <w:szCs w:val="21"/>
                <w:lang w:val="en-US" w:eastAsia="zh-CN"/>
              </w:rPr>
              <w:t>0</w:t>
            </w:r>
          </w:p>
        </w:tc>
      </w:tr>
      <w:tr w14:paraId="26F90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9064" w:type="dxa"/>
            <w:gridSpan w:val="4"/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3E80B9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  <w:t>第二十条第（八）项</w:t>
            </w:r>
          </w:p>
        </w:tc>
      </w:tr>
      <w:tr w14:paraId="027A7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0200F3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val="en-US" w:bidi="ar"/>
              </w:rPr>
              <w:t>信息内容</w:t>
            </w:r>
          </w:p>
        </w:tc>
        <w:tc>
          <w:tcPr>
            <w:tcW w:w="5951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14:paraId="15C514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宋体" w:hAnsi="Times New Roman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本年收费金额（单位：万元）</w:t>
            </w:r>
          </w:p>
        </w:tc>
      </w:tr>
      <w:tr w14:paraId="24312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392B48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val="en-US" w:bidi="ar"/>
              </w:rPr>
              <w:t>行政事业性收费</w:t>
            </w:r>
          </w:p>
        </w:tc>
        <w:tc>
          <w:tcPr>
            <w:tcW w:w="5951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14:paraId="142DBF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 w:cs="Times New Roman"/>
                <w:kern w:val="2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5D74A5D7">
      <w:pPr>
        <w:ind w:firstLine="480" w:firstLineChars="200"/>
      </w:pPr>
    </w:p>
    <w:p w14:paraId="7F2A8937">
      <w:pPr>
        <w:ind w:firstLine="480" w:firstLineChars="200"/>
      </w:pPr>
    </w:p>
    <w:p w14:paraId="0FC1406B">
      <w:pPr>
        <w:ind w:firstLine="480" w:firstLineChars="200"/>
      </w:pPr>
    </w:p>
    <w:p w14:paraId="1869D8A4">
      <w:pPr>
        <w:ind w:firstLine="480" w:firstLineChars="200"/>
      </w:pPr>
    </w:p>
    <w:p w14:paraId="67665612">
      <w:pPr>
        <w:ind w:firstLine="480" w:firstLineChars="200"/>
      </w:pPr>
    </w:p>
    <w:p w14:paraId="37F36C78">
      <w:pPr>
        <w:ind w:firstLine="480" w:firstLineChars="200"/>
      </w:pPr>
    </w:p>
    <w:p w14:paraId="55747EA0">
      <w:pPr>
        <w:ind w:firstLine="480" w:firstLineChars="200"/>
      </w:pPr>
    </w:p>
    <w:p w14:paraId="4810DBAE">
      <w:pPr>
        <w:ind w:firstLine="480" w:firstLineChars="200"/>
      </w:pPr>
    </w:p>
    <w:p w14:paraId="153E16CE">
      <w:pPr>
        <w:ind w:firstLine="480" w:firstLineChars="200"/>
      </w:pPr>
    </w:p>
    <w:p w14:paraId="76E163D7">
      <w:pPr>
        <w:ind w:firstLine="480" w:firstLineChars="200"/>
      </w:pPr>
    </w:p>
    <w:p w14:paraId="1A60DC3D">
      <w:pPr>
        <w:ind w:firstLine="480" w:firstLineChars="200"/>
      </w:pPr>
    </w:p>
    <w:p w14:paraId="55A3E5A8">
      <w:pPr>
        <w:ind w:firstLine="480" w:firstLineChars="200"/>
      </w:pPr>
    </w:p>
    <w:p w14:paraId="52DC68D5">
      <w:pPr>
        <w:ind w:firstLine="480" w:firstLineChars="200"/>
      </w:pPr>
    </w:p>
    <w:p w14:paraId="358A0F5B">
      <w:pPr>
        <w:ind w:firstLine="480" w:firstLineChars="200"/>
      </w:pPr>
    </w:p>
    <w:p w14:paraId="27314D37">
      <w:pPr>
        <w:widowControl/>
        <w:spacing w:before="0" w:beforeAutospacing="0" w:after="240" w:afterAutospacing="0"/>
        <w:ind w:left="0" w:right="0" w:firstLine="640" w:firstLineChars="200"/>
        <w:jc w:val="both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三、</w:t>
      </w: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收到和处理政府信息公开申请情况</w:t>
      </w:r>
    </w:p>
    <w:tbl>
      <w:tblPr>
        <w:tblStyle w:val="4"/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 w14:paraId="3194B0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7D68BB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楷体" w:hAnsi="楷体" w:eastAsia="楷体" w:cs="楷体"/>
                <w:kern w:val="2"/>
                <w:sz w:val="24"/>
                <w:szCs w:val="24"/>
                <w:lang w:val="en-US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069A40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申请人情况</w:t>
            </w:r>
          </w:p>
        </w:tc>
      </w:tr>
      <w:tr w14:paraId="4AD4A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B93FEA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147DB2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A1E16EA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BDF04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总计</w:t>
            </w:r>
          </w:p>
        </w:tc>
      </w:tr>
      <w:tr w14:paraId="7353A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7EABCED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87D08DF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FFC8AA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9A5C31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科研机构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0EACAF0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4ED7D9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9F11433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40972FA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</w:tr>
      <w:tr w14:paraId="5309DB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5060CB5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083B0D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55008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E295D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29D1C0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FE90BA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7DB84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084CC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</w:tr>
      <w:tr w14:paraId="0C78ED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38B6A3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D4DE0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C96369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F57925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57052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8A3B5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BA59E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FFD53D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</w:tr>
      <w:tr w14:paraId="319CEE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exac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2FF45E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57293C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7FA2A9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9A079A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66CC0D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B6075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B2FBC2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52A8E4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BC9D2E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</w:tr>
      <w:tr w14:paraId="7D8696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273C214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A69ED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val="en-US" w:bidi="ar"/>
              </w:rPr>
              <w:t>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CF0208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87416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F4A34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348EC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3E683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42312C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2F490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</w:tr>
      <w:tr w14:paraId="4F627A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FA3E3F5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6B8853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7D82BA4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F4A76F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94EF5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46B31E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1F48F5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24BB7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07158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56AE6B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</w:tr>
      <w:tr w14:paraId="363ECC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FC375A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A7A0B0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45B58E8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BE3579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BBDDB6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28145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437BF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D0E646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EC7BD8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EEB5AA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</w:tr>
      <w:tr w14:paraId="5E1094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2BFF07A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D394C4D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467C181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95E7EA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C2A5AB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651AFE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B15B4E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1D3A9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434B6B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5FAE5D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</w:tr>
      <w:tr w14:paraId="3450E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F399480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6ED3EA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1917CA5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4A0BC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8DFFC4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C360DC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F4EC7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91871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93FD4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F08BF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</w:tr>
      <w:tr w14:paraId="6A3145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6829E1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FE6142D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C7123E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C19E8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9122A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81382B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DBE951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BB42F1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071B8B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F7F67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</w:tr>
      <w:tr w14:paraId="58AE0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7091ECB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AF0A6E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621AF3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A0866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6746E4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47B69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5505CF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FB2444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A8B577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107552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</w:tr>
      <w:tr w14:paraId="1A781E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2B547F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6333D8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11F45B2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451DA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1FF97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1FB6F2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17CDF2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A32333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833EAD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EB904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</w:tr>
      <w:tr w14:paraId="5458A7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971CDE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328AA46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1ECAD58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FA863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D39AD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AFA67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273CF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6B2D2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FB2BA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545794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</w:tr>
      <w:tr w14:paraId="7457CF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C0277D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22E1E11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B523EFF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8E5CC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7BFA6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DF49F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9AB7ED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882737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12517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C648FA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</w:tr>
      <w:tr w14:paraId="1DDF50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12C4F2D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C3DE67E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F4ADF0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2C730E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0625F2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3BDDA3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791781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F06961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5DDEF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58799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</w:tr>
      <w:tr w14:paraId="535F12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0F6012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62E0F97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EED39BC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B54523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AD7F4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F4126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66990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C79AAC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15EB32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91F9B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</w:tr>
      <w:tr w14:paraId="3DD8C9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B5AAF5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D28E93C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780FAF4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DA9F7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D22E0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7F70B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7D0341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6C53FB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5B77C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93E65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</w:tr>
      <w:tr w14:paraId="7B0D0A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928DF63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0ECD865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D14ECB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2A5AB6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C5B1D2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851EC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53700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AF558D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51835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1302B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</w:tr>
      <w:tr w14:paraId="68B9D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DB25FAB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47C3864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5776A59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99B14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27FA0D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59FD6E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8D130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8D874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F9561B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466C5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</w:tr>
      <w:tr w14:paraId="5FEDB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09A1A31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496B149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185899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EFCB1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ED4821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7FDE47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7C1357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BF65E4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637BB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7BAD12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</w:tr>
      <w:tr w14:paraId="5ECA9E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15C1055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AB7190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72E67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7CEB2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1AEC85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B0C5AA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D518E9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E1B42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C03C0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122CD5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</w:tr>
      <w:tr w14:paraId="0DB5C5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BF9992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EE5DA12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六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E75E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D9E3C9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56D0A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BC9FF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23EB2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9EC2E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1661F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A99BB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</w:tr>
      <w:tr w14:paraId="1889D3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1367B2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continue"/>
            <w:tcBorders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026F53">
            <w:pPr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1C6E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7A86FE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74B9B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54198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3364A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C228DD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7F365A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740BCA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</w:tr>
      <w:tr w14:paraId="430438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81F442A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09F0551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D1A2F68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8D03A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478E46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0D46B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A78A0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60E370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6D1CCD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55373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</w:tr>
      <w:tr w14:paraId="186F69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8809D2F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620528E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B66482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82356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CCB7D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C6A10E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6B6E66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AA584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10EA50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</w:tr>
      <w:tr w14:paraId="7B10AE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C79855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55C57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81952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08BFB4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F7448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B9276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FD8B15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B6619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2A6C8625">
      <w:pPr>
        <w:ind w:firstLine="480" w:firstLineChars="200"/>
      </w:pPr>
    </w:p>
    <w:p w14:paraId="50AC1C1C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</w:pPr>
    </w:p>
    <w:p w14:paraId="365B39D6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四、</w:t>
      </w: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政府信息公开行政复议、行政诉讼情况</w:t>
      </w:r>
    </w:p>
    <w:tbl>
      <w:tblPr>
        <w:tblStyle w:val="4"/>
        <w:tblpPr w:leftFromText="180" w:rightFromText="180" w:vertAnchor="text" w:horzAnchor="page" w:tblpX="1080" w:tblpY="438"/>
        <w:tblOverlap w:val="never"/>
        <w:tblW w:w="1008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 w14:paraId="34B5EB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32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605A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val="en-US" w:bidi="ar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BE2E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val="en-US" w:bidi="ar"/>
              </w:rPr>
              <w:t>行政诉讼</w:t>
            </w:r>
          </w:p>
        </w:tc>
      </w:tr>
      <w:tr w14:paraId="5B2027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6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D08D0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val="en-US" w:bidi="ar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E889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val="en-US" w:bidi="ar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5D03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val="en-US" w:bidi="ar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5656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val="en-US" w:bidi="ar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CC3D0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val="en-US" w:bidi="ar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43F68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val="en-US" w:bidi="ar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FA3A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val="en-US" w:bidi="ar"/>
              </w:rPr>
              <w:t>复议后起诉</w:t>
            </w:r>
          </w:p>
        </w:tc>
      </w:tr>
      <w:tr w14:paraId="326753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6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F86A4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eastAsia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44FC6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eastAsia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3958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eastAsia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61CE3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eastAsia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5CBF8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eastAsia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740D1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val="en-US" w:bidi="ar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4065D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val="en-US" w:bidi="ar"/>
              </w:rPr>
              <w:t>结果纠正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42FBA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val="en-US"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8139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val="en-US" w:bidi="ar"/>
              </w:rPr>
              <w:t>尚未审结</w:t>
            </w:r>
          </w:p>
        </w:tc>
        <w:tc>
          <w:tcPr>
            <w:tcW w:w="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82AC8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val="en-US" w:bidi="ar"/>
              </w:rPr>
              <w:t>总计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3E25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val="en-US" w:bidi="ar"/>
              </w:rPr>
              <w:t>结果维持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5BAFF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val="en-US" w:bidi="ar"/>
              </w:rPr>
              <w:t>结果纠正</w:t>
            </w:r>
          </w:p>
        </w:tc>
        <w:tc>
          <w:tcPr>
            <w:tcW w:w="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1A8BF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val="en-US"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EF96D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val="en-US" w:bidi="ar"/>
              </w:rPr>
              <w:t>尚未审结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E38B3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val="en-US" w:bidi="ar"/>
              </w:rPr>
              <w:t>总计</w:t>
            </w:r>
          </w:p>
        </w:tc>
      </w:tr>
      <w:tr w14:paraId="082F21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6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1DA87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4875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799E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CA57D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9FF6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A70F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6076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257C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AE5F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DBABF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E3261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5B2ED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CCB1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66FFA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15AD2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kern w:val="2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3082782C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 w14:paraId="4397B6BC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宋体" w:cs="宋体"/>
          <w:b w:val="0"/>
          <w:bCs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五、存在的主要问题及改进情况</w:t>
      </w:r>
    </w:p>
    <w:p w14:paraId="7B78D523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CESI宋体-GB2312" w:hAnsi="CESI宋体-GB2312" w:eastAsia="方正仿宋_GBK" w:cs="方正仿宋_GBK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CESI宋体-GB2312" w:hAnsi="CESI宋体-GB2312" w:eastAsia="方正仿宋_GBK" w:cs="方正仿宋_GBK"/>
          <w:color w:val="000000"/>
          <w:kern w:val="0"/>
          <w:sz w:val="32"/>
          <w:szCs w:val="32"/>
          <w:lang w:val="en-US" w:eastAsia="zh-CN" w:bidi="ar-SA"/>
        </w:rPr>
        <w:t>2025年，我局政务公开水平虽取得一定进步，但依然存在一些不足，如部分栏目信息公开及时性不足，信息公开数量较少等。下一步，我局将继续主动作为，强化栏目信息公开意识，定期检查栏目更新状态，同步部门工作动态。同时，认真贯彻相关文件要求，加强工作人员业务学习，提升工作人员的信息公开工作水平。</w:t>
      </w:r>
    </w:p>
    <w:p w14:paraId="601FAA21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其他需要报告的事项</w:t>
      </w:r>
    </w:p>
    <w:p w14:paraId="73299534">
      <w:pPr>
        <w:pStyle w:val="6"/>
        <w:ind w:firstLine="640" w:firstLineChars="200"/>
        <w:rPr>
          <w:rFonts w:hint="eastAsia" w:ascii="CESI宋体-GB2312" w:hAnsi="CESI宋体-GB2312" w:eastAsia="方正仿宋_GBK" w:cs="方正仿宋_GBK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CESI宋体-GB2312" w:hAnsi="CESI宋体-GB2312" w:eastAsia="方正仿宋_GBK" w:cs="方正仿宋_GBK"/>
          <w:color w:val="000000"/>
          <w:kern w:val="0"/>
          <w:sz w:val="32"/>
          <w:szCs w:val="32"/>
          <w:lang w:val="en-US" w:eastAsia="zh-CN" w:bidi="ar-SA"/>
        </w:rPr>
        <w:t>2025年未收取信息处理费，无其他需要报告的事项。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ESI宋体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113976"/>
    <w:multiLevelType w:val="singleLevel"/>
    <w:tmpl w:val="4B113976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8D46E5"/>
    <w:rsid w:val="0157162E"/>
    <w:rsid w:val="0A9476D0"/>
    <w:rsid w:val="3A8D46E5"/>
    <w:rsid w:val="73EF3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99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99"/>
    <w:pPr>
      <w:widowControl w:val="0"/>
    </w:pPr>
    <w:rPr>
      <w:rFonts w:hint="eastAsia" w:ascii="Times New Roman" w:hAnsi="Times New Roman" w:eastAsia="Times New Roman" w:cs="Times New Roman"/>
      <w:color w:val="000000"/>
      <w:sz w:val="24"/>
      <w:lang w:val="zh-CN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3">
    <w:name w:val="Normal (Web)"/>
    <w:next w:val="2"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  <w:style w:type="paragraph" w:customStyle="1" w:styleId="6">
    <w:name w:val="EndnoteText"/>
    <w:qFormat/>
    <w:uiPriority w:val="0"/>
    <w:pPr>
      <w:widowControl w:val="0"/>
      <w:snapToGrid w:val="0"/>
      <w:jc w:val="left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2026-01-12T06:42:00Z</dcterms:created>
  <dc:creator>WPS</dc:creator>
  <cp:lastModifiedBy>WPS</cp:lastModifiedBy>
  <dcterms:modified xsi:type="dcterms:W3CDTF">2026-01-13T00:23:30Z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DC3FE960DB944A7D9DADD31C6A482DD6_11</vt:lpwstr>
  </property>
</Properties>
</file>