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3F13D">
      <w:pPr>
        <w:keepNext w:val="0"/>
        <w:keepLines w:val="0"/>
        <w:pageBreakBefore w:val="0"/>
        <w:widowControl w:val="0"/>
        <w:shd w:val="clear" w:color="auto" w:fill="auto"/>
        <w:tabs>
          <w:tab w:val="left" w:pos="1703"/>
        </w:tabs>
        <w:kinsoku/>
        <w:wordWrap/>
        <w:overflowPunct/>
        <w:topLinePunct w:val="0"/>
        <w:autoSpaceDE/>
        <w:autoSpaceDN/>
        <w:bidi w:val="0"/>
        <w:adjustRightInd/>
        <w:snapToGrid/>
        <w:spacing w:before="0" w:after="0" w:line="1240" w:lineRule="exact"/>
        <w:ind w:left="0" w:right="0" w:firstLine="0" w:firstLineChars="0"/>
        <w:jc w:val="both"/>
        <w:textAlignment w:val="auto"/>
        <w:rPr>
          <w:rFonts w:hint="eastAsia" w:ascii="仿宋_GB2312" w:hAnsi="仿宋_GB2312" w:eastAsia="仿宋_GB2312" w:cs="Times New Roman"/>
          <w:b w:val="0"/>
          <w:bCs/>
          <w:color w:val="000000"/>
          <w:spacing w:val="0"/>
          <w:w w:val="200"/>
          <w:kern w:val="1"/>
          <w:position w:val="0"/>
          <w:sz w:val="44"/>
          <w:szCs w:val="44"/>
          <w:shd w:val="clear" w:color="auto" w:fill="auto"/>
          <w:lang w:eastAsia="zh-CN" w:bidi="ar-SA"/>
        </w:rPr>
      </w:pPr>
    </w:p>
    <w:p w14:paraId="3E7653FC">
      <w:pPr>
        <w:keepNext w:val="0"/>
        <w:keepLines w:val="0"/>
        <w:pageBreakBefore w:val="0"/>
        <w:widowControl w:val="0"/>
        <w:shd w:val="clear" w:color="auto" w:fill="auto"/>
        <w:kinsoku/>
        <w:wordWrap/>
        <w:overflowPunct/>
        <w:topLinePunct w:val="0"/>
        <w:autoSpaceDE w:val="0"/>
        <w:autoSpaceDN w:val="0"/>
        <w:bidi w:val="0"/>
        <w:adjustRightInd w:val="0"/>
        <w:snapToGrid w:val="0"/>
        <w:spacing w:before="0" w:after="0" w:line="340" w:lineRule="exact"/>
        <w:ind w:left="0" w:right="0" w:firstLine="0" w:firstLineChars="0"/>
        <w:jc w:val="both"/>
        <w:textAlignment w:val="auto"/>
        <w:rPr>
          <w:rFonts w:ascii="宋体" w:hAnsi="宋体" w:eastAsia="宋体" w:cs="宋体"/>
          <w:color w:val="000000"/>
          <w:spacing w:val="0"/>
          <w:w w:val="100"/>
          <w:kern w:val="2"/>
          <w:position w:val="0"/>
          <w:sz w:val="24"/>
          <w:szCs w:val="24"/>
          <w:shd w:val="clear" w:color="auto" w:fill="auto"/>
          <w:lang w:val="en-US" w:eastAsia="zh-CN" w:bidi="ar-SA"/>
        </w:rPr>
      </w:pPr>
    </w:p>
    <w:p w14:paraId="5384F471">
      <w:pPr>
        <w:keepNext w:val="0"/>
        <w:keepLines w:val="0"/>
        <w:widowControl w:val="0"/>
        <w:shd w:val="clear" w:color="auto" w:fill="auto"/>
        <w:bidi w:val="0"/>
        <w:spacing w:before="0" w:after="468" w:afterLines="150" w:line="500" w:lineRule="exact"/>
        <w:ind w:left="0" w:right="0" w:firstLine="0" w:firstLineChars="0"/>
        <w:jc w:val="center"/>
        <w:rPr>
          <w:rFonts w:ascii="仿宋" w:hAnsi="仿宋" w:eastAsia="仿宋" w:cs="仿宋"/>
          <w:color w:val="000000"/>
          <w:spacing w:val="0"/>
          <w:w w:val="100"/>
          <w:kern w:val="1"/>
          <w:position w:val="0"/>
          <w:sz w:val="32"/>
          <w:szCs w:val="32"/>
          <w:shd w:val="clear" w:color="auto" w:fill="auto"/>
          <w:lang w:eastAsia="zh-CN" w:bidi="ar-SA"/>
        </w:rPr>
      </w:pPr>
      <w:r>
        <w:rPr>
          <w:rFonts w:ascii="仿宋_GB2312" w:hAnsi="仿宋_GB2312" w:eastAsia="仿宋_GB2312" w:cs="Times New Roman"/>
          <w:b/>
          <w:color w:val="000000"/>
          <w:spacing w:val="0"/>
          <w:w w:val="100"/>
          <w:kern w:val="1"/>
          <w:position w:val="0"/>
          <w:sz w:val="44"/>
          <w:szCs w:val="44"/>
          <w:shd w:val="clear" w:color="auto" w:fill="auto"/>
          <w:lang w:eastAsia="zh-CN" w:bidi="ar-SA"/>
        </w:rPr>
        <w:t xml:space="preserve">                  </w:t>
      </w:r>
      <w:r>
        <w:rPr>
          <w:rFonts w:hint="eastAsia" w:ascii="仿宋_GB2312" w:hAnsi="仿宋_GB2312" w:eastAsia="仿宋_GB2312" w:cs="Times New Roman"/>
          <w:b/>
          <w:color w:val="000000"/>
          <w:spacing w:val="0"/>
          <w:w w:val="100"/>
          <w:kern w:val="1"/>
          <w:position w:val="0"/>
          <w:sz w:val="44"/>
          <w:szCs w:val="44"/>
          <w:shd w:val="clear" w:color="auto" w:fill="auto"/>
          <w:lang w:eastAsia="zh-CN" w:bidi="ar-SA"/>
        </w:rPr>
        <w:t xml:space="preserve"> </w:t>
      </w:r>
      <w:r>
        <w:rPr>
          <w:rFonts w:ascii="仿宋" w:hAnsi="仿宋" w:eastAsia="仿宋" w:cs="仿宋"/>
          <w:color w:val="000000"/>
          <w:spacing w:val="0"/>
          <w:w w:val="100"/>
          <w:kern w:val="1"/>
          <w:position w:val="0"/>
          <w:sz w:val="32"/>
          <w:szCs w:val="32"/>
          <w:shd w:val="clear" w:color="auto" w:fill="auto"/>
          <w:lang w:eastAsia="zh-CN" w:bidi="ar-SA"/>
        </w:rPr>
        <w:t>潭环审</w:t>
      </w:r>
      <w:r>
        <w:rPr>
          <w:rFonts w:hint="eastAsia" w:ascii="仿宋" w:hAnsi="仿宋" w:eastAsia="仿宋" w:cs="仿宋"/>
          <w:color w:val="000000"/>
          <w:spacing w:val="0"/>
          <w:w w:val="100"/>
          <w:kern w:val="1"/>
          <w:position w:val="0"/>
          <w:sz w:val="32"/>
          <w:szCs w:val="32"/>
          <w:shd w:val="clear" w:color="auto" w:fill="auto"/>
          <w:lang w:eastAsia="zh-CN" w:bidi="ar-SA"/>
        </w:rPr>
        <w:t>(湘潭县)</w:t>
      </w:r>
      <w:r>
        <w:rPr>
          <w:rFonts w:hint="eastAsia" w:ascii="仿宋" w:hAnsi="仿宋" w:eastAsia="仿宋" w:cs="宋体"/>
          <w:color w:val="000000"/>
          <w:spacing w:val="0"/>
          <w:w w:val="100"/>
          <w:kern w:val="2"/>
          <w:position w:val="0"/>
          <w:sz w:val="32"/>
          <w:szCs w:val="32"/>
          <w:shd w:val="clear" w:color="auto" w:fill="auto"/>
          <w:lang w:eastAsia="zh-CN" w:bidi="ar-SA"/>
        </w:rPr>
        <w:t>〔</w:t>
      </w:r>
      <w:r>
        <w:rPr>
          <w:rFonts w:ascii="仿宋" w:hAnsi="仿宋" w:eastAsia="仿宋" w:cs="宋体"/>
          <w:color w:val="000000"/>
          <w:spacing w:val="0"/>
          <w:w w:val="100"/>
          <w:kern w:val="2"/>
          <w:position w:val="0"/>
          <w:sz w:val="32"/>
          <w:szCs w:val="32"/>
          <w:shd w:val="clear" w:color="auto" w:fill="auto"/>
          <w:lang w:eastAsia="zh-CN" w:bidi="ar-SA"/>
        </w:rPr>
        <w:t>20</w:t>
      </w:r>
      <w:r>
        <w:rPr>
          <w:rFonts w:hint="eastAsia" w:ascii="仿宋" w:hAnsi="仿宋" w:eastAsia="仿宋" w:cs="宋体"/>
          <w:color w:val="000000"/>
          <w:spacing w:val="0"/>
          <w:w w:val="100"/>
          <w:kern w:val="2"/>
          <w:position w:val="0"/>
          <w:sz w:val="32"/>
          <w:szCs w:val="32"/>
          <w:shd w:val="clear" w:color="auto" w:fill="auto"/>
          <w:lang w:eastAsia="zh-CN" w:bidi="ar-SA"/>
        </w:rPr>
        <w:t>2</w:t>
      </w:r>
      <w:r>
        <w:rPr>
          <w:rFonts w:hint="eastAsia" w:ascii="仿宋" w:hAnsi="仿宋" w:eastAsia="仿宋" w:cs="宋体"/>
          <w:color w:val="000000"/>
          <w:spacing w:val="0"/>
          <w:w w:val="100"/>
          <w:kern w:val="2"/>
          <w:position w:val="0"/>
          <w:sz w:val="32"/>
          <w:szCs w:val="32"/>
          <w:shd w:val="clear" w:color="auto" w:fill="auto"/>
          <w:lang w:val="en-US" w:eastAsia="zh-CN" w:bidi="ar-SA"/>
        </w:rPr>
        <w:t>6</w:t>
      </w:r>
      <w:r>
        <w:rPr>
          <w:rFonts w:hint="eastAsia" w:ascii="仿宋" w:hAnsi="仿宋" w:eastAsia="仿宋" w:cs="宋体"/>
          <w:color w:val="000000"/>
          <w:spacing w:val="0"/>
          <w:w w:val="100"/>
          <w:kern w:val="2"/>
          <w:position w:val="0"/>
          <w:sz w:val="32"/>
          <w:szCs w:val="32"/>
          <w:shd w:val="clear" w:color="auto" w:fill="auto"/>
          <w:lang w:eastAsia="zh-CN" w:bidi="ar-SA"/>
        </w:rPr>
        <w:t>〕</w:t>
      </w:r>
      <w:r>
        <w:rPr>
          <w:rFonts w:hint="eastAsia" w:ascii="仿宋" w:hAnsi="仿宋" w:eastAsia="仿宋" w:cs="宋体"/>
          <w:color w:val="000000"/>
          <w:spacing w:val="0"/>
          <w:w w:val="100"/>
          <w:kern w:val="2"/>
          <w:position w:val="0"/>
          <w:sz w:val="32"/>
          <w:szCs w:val="32"/>
          <w:shd w:val="clear" w:color="auto" w:fill="auto"/>
          <w:lang w:val="en-US" w:eastAsia="zh-CN" w:bidi="ar-SA"/>
        </w:rPr>
        <w:t>1</w:t>
      </w:r>
      <w:r>
        <w:rPr>
          <w:rFonts w:ascii="仿宋" w:hAnsi="仿宋" w:eastAsia="仿宋" w:cs="仿宋"/>
          <w:color w:val="000000"/>
          <w:spacing w:val="0"/>
          <w:w w:val="100"/>
          <w:kern w:val="1"/>
          <w:position w:val="0"/>
          <w:sz w:val="32"/>
          <w:szCs w:val="32"/>
          <w:shd w:val="clear" w:color="auto" w:fill="auto"/>
          <w:lang w:eastAsia="zh-CN" w:bidi="ar-SA"/>
        </w:rPr>
        <w:t xml:space="preserve">号 </w:t>
      </w:r>
    </w:p>
    <w:p w14:paraId="73F16B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sz w:val="28"/>
          <w:szCs w:val="28"/>
        </w:rPr>
      </w:pPr>
    </w:p>
    <w:p w14:paraId="7F1115E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b/>
          <w:bCs/>
          <w:sz w:val="44"/>
          <w:szCs w:val="44"/>
        </w:rPr>
      </w:pPr>
      <w:r>
        <w:rPr>
          <w:rFonts w:hint="eastAsia" w:ascii="宋体" w:hAnsi="宋体"/>
          <w:b/>
          <w:bCs/>
          <w:sz w:val="44"/>
          <w:szCs w:val="44"/>
        </w:rPr>
        <w:t xml:space="preserve"> 关于《</w:t>
      </w:r>
      <w:bookmarkStart w:id="0" w:name="OLE_LINK2"/>
      <w:bookmarkStart w:id="1" w:name="OLE_LINK3"/>
      <w:bookmarkStart w:id="2" w:name="OLE_LINK1"/>
      <w:r>
        <w:rPr>
          <w:rFonts w:hint="eastAsia" w:ascii="宋体" w:hAnsi="宋体"/>
          <w:b/>
          <w:bCs/>
          <w:sz w:val="44"/>
          <w:szCs w:val="44"/>
        </w:rPr>
        <w:t>湖南升昇智能设备有限公司</w:t>
      </w:r>
      <w:bookmarkEnd w:id="0"/>
      <w:bookmarkEnd w:id="1"/>
      <w:bookmarkEnd w:id="2"/>
      <w:bookmarkStart w:id="3" w:name="OLE_LINK5"/>
      <w:bookmarkStart w:id="4" w:name="OLE_LINK6"/>
    </w:p>
    <w:p w14:paraId="20BF691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b/>
          <w:bCs/>
          <w:sz w:val="44"/>
          <w:szCs w:val="44"/>
        </w:rPr>
      </w:pPr>
      <w:r>
        <w:rPr>
          <w:rFonts w:hint="eastAsia" w:ascii="宋体" w:hAnsi="宋体"/>
          <w:b/>
          <w:bCs/>
          <w:sz w:val="44"/>
          <w:szCs w:val="44"/>
        </w:rPr>
        <w:t>年产</w:t>
      </w:r>
      <w:bookmarkEnd w:id="3"/>
      <w:bookmarkEnd w:id="4"/>
      <w:bookmarkStart w:id="5" w:name="OLE_LINK8"/>
      <w:bookmarkStart w:id="6" w:name="OLE_LINK7"/>
      <w:r>
        <w:rPr>
          <w:rFonts w:hint="eastAsia" w:ascii="宋体" w:hAnsi="宋体"/>
          <w:b/>
          <w:bCs/>
          <w:sz w:val="44"/>
          <w:szCs w:val="44"/>
        </w:rPr>
        <w:t>70台自动硅料清洗设备、40套CDS供液系统等自动化设备建设项目</w:t>
      </w:r>
      <w:bookmarkEnd w:id="5"/>
      <w:bookmarkEnd w:id="6"/>
      <w:r>
        <w:rPr>
          <w:rFonts w:hint="eastAsia" w:ascii="宋体" w:hAnsi="宋体"/>
          <w:b/>
          <w:bCs/>
          <w:sz w:val="44"/>
          <w:szCs w:val="44"/>
        </w:rPr>
        <w:t>环境影响报告表》的审批意见</w:t>
      </w:r>
    </w:p>
    <w:p w14:paraId="67B8F18D">
      <w:pPr>
        <w:keepNext w:val="0"/>
        <w:keepLines w:val="0"/>
        <w:pageBreakBefore w:val="0"/>
        <w:widowControl w:val="0"/>
        <w:kinsoku/>
        <w:wordWrap/>
        <w:overflowPunct/>
        <w:topLinePunct w:val="0"/>
        <w:autoSpaceDE/>
        <w:autoSpaceDN/>
        <w:bidi w:val="0"/>
        <w:adjustRightInd/>
        <w:snapToGrid/>
        <w:spacing w:line="460" w:lineRule="exact"/>
        <w:textAlignment w:val="auto"/>
        <w:rPr>
          <w:sz w:val="44"/>
        </w:rPr>
      </w:pPr>
      <w:r>
        <w:rPr>
          <w:sz w:val="44"/>
        </w:rPr>
        <w:t xml:space="preserve"> </w:t>
      </w:r>
    </w:p>
    <w:p w14:paraId="48C64D82">
      <w:pPr>
        <w:pStyle w:val="7"/>
        <w:keepNext w:val="0"/>
        <w:keepLines w:val="0"/>
        <w:pageBreakBefore w:val="0"/>
        <w:widowControl w:val="0"/>
        <w:kinsoku/>
        <w:wordWrap/>
        <w:overflowPunct/>
        <w:topLinePunct w:val="0"/>
        <w:autoSpaceDE/>
        <w:autoSpaceDN/>
        <w:bidi w:val="0"/>
        <w:adjustRightInd/>
        <w:snapToGrid/>
        <w:spacing w:before="127" w:line="460" w:lineRule="exact"/>
        <w:textAlignment w:val="auto"/>
        <w:rPr>
          <w:rFonts w:hint="eastAsia" w:ascii="仿宋" w:hAnsi="仿宋" w:eastAsia="仿宋" w:cs="仿宋"/>
          <w:color w:val="000000" w:themeColor="text1"/>
          <w:szCs w:val="32"/>
        </w:rPr>
      </w:pPr>
      <w:r>
        <w:rPr>
          <w:rFonts w:hint="eastAsia" w:ascii="仿宋" w:hAnsi="仿宋" w:eastAsia="仿宋" w:cs="仿宋"/>
          <w:color w:val="000000" w:themeColor="text1"/>
          <w:szCs w:val="32"/>
        </w:rPr>
        <w:t>湖南升昇智能设备有限公司：</w:t>
      </w:r>
    </w:p>
    <w:p w14:paraId="714C7D2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你公司由湖南睿鼎建设服务有限公司编制的《</w:t>
      </w:r>
      <w:bookmarkStart w:id="7" w:name="OLE_LINK9"/>
      <w:bookmarkStart w:id="8" w:name="OLE_LINK10"/>
      <w:r>
        <w:rPr>
          <w:rFonts w:hint="eastAsia" w:ascii="仿宋" w:hAnsi="仿宋" w:eastAsia="仿宋" w:cs="仿宋"/>
          <w:color w:val="000000" w:themeColor="text1"/>
          <w:sz w:val="32"/>
          <w:szCs w:val="32"/>
        </w:rPr>
        <w:t>湖南升昇智能设备有限公司</w:t>
      </w:r>
      <w:bookmarkEnd w:id="7"/>
      <w:bookmarkEnd w:id="8"/>
      <w:r>
        <w:rPr>
          <w:rFonts w:hint="eastAsia" w:ascii="仿宋" w:hAnsi="仿宋" w:eastAsia="仿宋" w:cs="仿宋"/>
          <w:color w:val="000000" w:themeColor="text1"/>
          <w:sz w:val="32"/>
          <w:szCs w:val="32"/>
        </w:rPr>
        <w:t>年产70台自动硅料清洗设备、40套CDS供液系统等自动化设备建设项目环境影响报告表》(以下简称报告表)及相关材料收悉。经研究，批复如下：</w:t>
      </w:r>
    </w:p>
    <w:p w14:paraId="0DEDC42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一、湖南升昇智能设备有限公司（原名湖南升昇精密制造有限公司）位于湘潭天易经开区柏屹智能装备配件园12栋A</w:t>
      </w:r>
      <w:r>
        <w:rPr>
          <w:rFonts w:hint="eastAsia" w:ascii="仿宋" w:hAnsi="仿宋" w:eastAsia="仿宋" w:cs="仿宋"/>
          <w:color w:val="000000" w:themeColor="text1"/>
          <w:sz w:val="32"/>
          <w:szCs w:val="32"/>
          <w:vertAlign w:val="superscript"/>
        </w:rPr>
        <w:t>#</w:t>
      </w:r>
      <w:r>
        <w:rPr>
          <w:rFonts w:hint="eastAsia" w:ascii="仿宋" w:hAnsi="仿宋" w:eastAsia="仿宋" w:cs="仿宋"/>
          <w:color w:val="000000" w:themeColor="text1"/>
          <w:sz w:val="32"/>
          <w:szCs w:val="32"/>
        </w:rPr>
        <w:t>厂房，项目“年产30台自动硅料清洗设备、20套CDS供液系统等自动化设备搬迁项目”于2024年1月取得环评批复（潭环审（湘潭县）〔2024〕8号），2025年4月完成该项目竣工环境保护自主验收。现公司拟投资1200万元，</w:t>
      </w:r>
      <w:r>
        <w:rPr>
          <w:rFonts w:hint="eastAsia" w:ascii="仿宋" w:hAnsi="仿宋" w:eastAsia="仿宋" w:cs="仿宋"/>
          <w:color w:val="000000" w:themeColor="text1"/>
          <w:kern w:val="2"/>
          <w:sz w:val="32"/>
          <w:szCs w:val="32"/>
          <w:lang w:val="en-US" w:eastAsia="zh-CN" w:bidi="ar-SA"/>
        </w:rPr>
        <w:t>将现有项目整体搬迁至湘潭天易经开区柏屹自主创新园2.2期16栋、17栋A</w:t>
      </w:r>
      <w:r>
        <w:rPr>
          <w:rFonts w:hint="eastAsia" w:ascii="仿宋" w:hAnsi="仿宋" w:eastAsia="仿宋" w:cs="仿宋"/>
          <w:color w:val="000000" w:themeColor="text1"/>
          <w:kern w:val="2"/>
          <w:sz w:val="32"/>
          <w:szCs w:val="32"/>
          <w:vertAlign w:val="superscript"/>
          <w:lang w:val="en-US" w:eastAsia="zh-CN" w:bidi="ar-SA"/>
        </w:rPr>
        <w:t>#</w:t>
      </w:r>
      <w:r>
        <w:rPr>
          <w:rFonts w:hint="eastAsia" w:ascii="仿宋" w:hAnsi="仿宋" w:eastAsia="仿宋" w:cs="仿宋"/>
          <w:color w:val="000000" w:themeColor="text1"/>
          <w:kern w:val="2"/>
          <w:sz w:val="32"/>
          <w:szCs w:val="32"/>
          <w:lang w:val="en-US" w:eastAsia="zh-CN" w:bidi="ar-SA"/>
        </w:rPr>
        <w:t>已建标准厂房，搬迁后全厂产能为年产70台自动硅料清洗设备、40套CDS供液系统等自动化设备,现有项目不再进行生产。项目总占地面积40615.74m</w:t>
      </w:r>
      <w:r>
        <w:rPr>
          <w:rFonts w:hint="eastAsia" w:ascii="仿宋" w:hAnsi="仿宋" w:eastAsia="仿宋" w:cs="仿宋"/>
          <w:color w:val="000000" w:themeColor="text1"/>
          <w:kern w:val="2"/>
          <w:sz w:val="32"/>
          <w:szCs w:val="32"/>
          <w:vertAlign w:val="superscript"/>
          <w:lang w:val="en-US" w:eastAsia="zh-CN" w:bidi="ar-SA"/>
        </w:rPr>
        <w:t>2</w:t>
      </w:r>
      <w:r>
        <w:rPr>
          <w:rFonts w:hint="eastAsia" w:ascii="仿宋" w:hAnsi="仿宋" w:eastAsia="仿宋" w:cs="仿宋"/>
          <w:color w:val="000000" w:themeColor="text1"/>
          <w:sz w:val="32"/>
          <w:szCs w:val="32"/>
        </w:rPr>
        <w:t>，主要建设内容包括：16栋厂房作为办公区、宿舍；17栋A</w:t>
      </w:r>
      <w:r>
        <w:rPr>
          <w:rFonts w:hint="eastAsia" w:ascii="仿宋" w:hAnsi="仿宋" w:eastAsia="仿宋" w:cs="仿宋"/>
          <w:color w:val="000000" w:themeColor="text1"/>
          <w:sz w:val="32"/>
          <w:szCs w:val="32"/>
          <w:vertAlign w:val="superscript"/>
        </w:rPr>
        <w:t>#</w:t>
      </w:r>
      <w:r>
        <w:rPr>
          <w:rFonts w:hint="eastAsia" w:ascii="仿宋" w:hAnsi="仿宋" w:eastAsia="仿宋" w:cs="仿宋"/>
          <w:color w:val="000000" w:themeColor="text1"/>
          <w:sz w:val="32"/>
          <w:szCs w:val="32"/>
        </w:rPr>
        <w:t xml:space="preserve">作为生产车间、仓库及配套环保工程。主要产品方案包括:自动硅料清洗设备70台/a、CDS供液系统40台/a; 主要原辅材料及能源消耗为：PP板140t/a、PVC板20t/a、PP焊条6t/a、硅胶板2t/a、PP水管250t/a、不锈钢板材等配件35t/a、润滑油0.004t/a、水843.7t/a、电3万kW·h/a等；主要生产设备包括：CNC雕刻机5台、拼板机1台、下料机1台、胶焊枪20台、热熔器1台等；主要生产工艺流程包括：雕刻、开料、拼板、热熔拼接、装配、成品等。                </w:t>
      </w:r>
    </w:p>
    <w:p w14:paraId="37E4BCE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项目符合国家相关产业政策，与区域生态环境分区管控要求及园区产业定位相符。根据湘潭天易经开区意见及环评结论，经现场勘察，从环境保护的角度分析，同意该项目按报告表中所列内容进行建设。</w:t>
      </w:r>
    </w:p>
    <w:p w14:paraId="4DA3883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二、项目在运营期间，建设单位必须落实报告表中提出的各项环保要求，落实环保“三同时”措施，确保各项污染物稳定达标排放，并须着重做好以下工作：</w:t>
      </w:r>
    </w:p>
    <w:p w14:paraId="123522B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废气污染防治工作。厂区内必须使用天然气、液化气或电等清洁能源。加强车间内通排风系统，对雕刻、开料工序产生的粉尘及时进行清扫，确保厂界粉尘达到《大气污染物综合排放标准》（GB16297-1996）表2中无组织排放监控浓度限值；拼板、热熔拼接工序产生的废气经集气罩收集，采取活性炭吸附处理后，通过1根不低于15米高排气筒高空排放，有组织废气排放浓度确保达到《合成树脂工业污染物排放标准》（GB31572-2015）（2024年修改单）表4中大气污染物排放限值，臭气浓度达到《恶臭污染物排放标准》（GB14554-93）表2中恶臭污染物排放标准值，厂界无组织排放达到《合成树脂工业污染物排放标准》（GB31572-2015）（2024年修改单）表9中企业边界大气污染物浓度限值要求。厂区内VOCs无组织排放达到《挥发性有机物无组织排放控制标准》(GB37822-2019)附录A厂区内VOCs无组织排放监控要求。厂界臭气浓度达到《恶臭污染物排放标准》（GB14554-93）表1中二级新改扩建限值要求。</w:t>
      </w:r>
    </w:p>
    <w:p w14:paraId="6E13C32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废水污染防治工作。按照“雨污分流”的原则建设厂区内排水管网。项目无生产性废水产生；生活污水经隔油、化粪池处理后，确保达到《污水综合排放标准》(GB8978-1996)表4中三级标准和湘潭县第一污水处理厂进水水质接纳标准后排入城市污水管网。</w:t>
      </w:r>
    </w:p>
    <w:p w14:paraId="0544E6B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3、噪声污染防治工作。优化厂区内设备布局，选用低噪声设备，并采取隔音、降噪和减震等措施，确保厂界噪声达到《工业企业厂界环境噪声排放标准》（GB12348-2008）中3类标准要求。</w:t>
      </w:r>
    </w:p>
    <w:p w14:paraId="58F3A4D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4、固体废物污染防治工作。废边角料、废弃包装材料等一般固废经分类收集后，外售回收单位进行综合利用；废润滑油、废润滑油桶、废活性炭、含油废抹布手套等危险废物，须按照《危险废物储存污染物控制标准》（GB18597-2023）相关规定要求进行收集贮存后，交由资质单位进行处理并报县分局备案，危废暂存间须按相关要求设置并建立相关台账，规范设立标识标牌等;生活垃圾分类收集交由环卫部门妥善处理。</w:t>
      </w:r>
    </w:p>
    <w:p w14:paraId="6AA32C1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5、</w:t>
      </w:r>
      <w:bookmarkStart w:id="9" w:name="OLE_LINK4"/>
      <w:bookmarkEnd w:id="9"/>
      <w:r>
        <w:rPr>
          <w:rFonts w:hint="eastAsia" w:ascii="仿宋" w:hAnsi="仿宋" w:eastAsia="仿宋" w:cs="仿宋"/>
          <w:color w:val="000000" w:themeColor="text1"/>
          <w:sz w:val="32"/>
          <w:szCs w:val="32"/>
        </w:rPr>
        <w:t>环境风险防范工作。严格履行建设单位环保主体责任，提高清洁生产水平，加强生产和环保管理，安排环保专员负责环保设施运转维护。建立健全污染事故应急处理和定期监测制度，严防各类环境风险事故的发生。</w:t>
      </w:r>
    </w:p>
    <w:p w14:paraId="2422E1C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三、根据湘潭市生态环境局总量部门核定，项目搬迁投产后，主要污染物年排放总量：VOC</w:t>
      </w:r>
      <w:r>
        <w:rPr>
          <w:rFonts w:hint="eastAsia" w:ascii="仿宋" w:hAnsi="仿宋" w:eastAsia="仿宋" w:cs="仿宋"/>
          <w:color w:val="000000" w:themeColor="text1"/>
          <w:sz w:val="32"/>
          <w:szCs w:val="32"/>
          <w:vertAlign w:val="subscript"/>
        </w:rPr>
        <w:t>S</w:t>
      </w:r>
      <w:r>
        <w:rPr>
          <w:rFonts w:hint="eastAsia" w:ascii="仿宋" w:hAnsi="仿宋" w:eastAsia="仿宋" w:cs="仿宋"/>
          <w:color w:val="000000" w:themeColor="text1"/>
          <w:sz w:val="32"/>
          <w:szCs w:val="32"/>
        </w:rPr>
        <w:t>≤0.08316t/a。</w:t>
      </w:r>
      <w:r>
        <w:rPr>
          <w:rFonts w:hint="eastAsia" w:ascii="仿宋" w:hAnsi="仿宋" w:eastAsia="仿宋" w:cs="仿宋"/>
          <w:color w:val="000000" w:themeColor="text1"/>
        </w:rPr>
        <w:br w:type="textWrapping"/>
      </w:r>
      <w:r>
        <w:rPr>
          <w:rFonts w:hint="eastAsia" w:ascii="仿宋" w:hAnsi="仿宋" w:eastAsia="仿宋" w:cs="仿宋"/>
          <w:color w:val="000000" w:themeColor="text1"/>
          <w:sz w:val="32"/>
          <w:szCs w:val="32"/>
        </w:rPr>
        <w:t xml:space="preserve">    四、项目启动生产设施或实际排污之前，须取得排污许可手续，并按照规定依法开展竣工环境保护验收工作。</w:t>
      </w:r>
    </w:p>
    <w:p w14:paraId="21218E5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五、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w:t>
      </w:r>
      <w:bookmarkStart w:id="10" w:name="_GoBack"/>
      <w:bookmarkEnd w:id="10"/>
      <w:r>
        <w:rPr>
          <w:rFonts w:hint="eastAsia" w:ascii="仿宋" w:hAnsi="仿宋" w:eastAsia="仿宋" w:cs="仿宋"/>
          <w:color w:val="000000" w:themeColor="text1"/>
          <w:sz w:val="32"/>
          <w:szCs w:val="32"/>
        </w:rPr>
        <w:t>报原审批部门重新审核。</w:t>
      </w:r>
    </w:p>
    <w:p w14:paraId="5C636FA8">
      <w:pPr>
        <w:pStyle w:val="16"/>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themeColor="text1"/>
          <w:sz w:val="32"/>
          <w:szCs w:val="32"/>
        </w:rPr>
      </w:pPr>
    </w:p>
    <w:p w14:paraId="08514617">
      <w:pPr>
        <w:keepNext w:val="0"/>
        <w:keepLines w:val="0"/>
        <w:pageBreakBefore w:val="0"/>
        <w:widowControl w:val="0"/>
        <w:kinsoku/>
        <w:wordWrap/>
        <w:overflowPunct/>
        <w:topLinePunct w:val="0"/>
        <w:autoSpaceDE/>
        <w:autoSpaceDN/>
        <w:bidi w:val="0"/>
        <w:adjustRightInd/>
        <w:snapToGrid/>
        <w:spacing w:before="191" w:line="460" w:lineRule="exact"/>
        <w:ind w:firstLine="48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 xml:space="preserve">                                  (盖 章)</w:t>
      </w:r>
    </w:p>
    <w:p w14:paraId="1AF2698F">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 xml:space="preserve">                              2026年1月</w:t>
      </w:r>
      <w:r>
        <w:rPr>
          <w:rFonts w:hint="eastAsia" w:ascii="仿宋" w:hAnsi="仿宋" w:eastAsia="仿宋" w:cs="仿宋"/>
          <w:color w:val="000000" w:themeColor="text1"/>
          <w:sz w:val="32"/>
          <w:szCs w:val="32"/>
          <w:lang w:val="en-US" w:eastAsia="zh-CN"/>
        </w:rPr>
        <w:t>7</w:t>
      </w:r>
      <w:r>
        <w:rPr>
          <w:rFonts w:hint="eastAsia" w:ascii="仿宋" w:hAnsi="仿宋" w:eastAsia="仿宋" w:cs="仿宋"/>
          <w:color w:val="000000" w:themeColor="text1"/>
          <w:sz w:val="32"/>
          <w:szCs w:val="32"/>
        </w:rPr>
        <w:t>日</w:t>
      </w:r>
    </w:p>
    <w:sectPr>
      <w:pgSz w:w="11907" w:h="16839"/>
      <w:pgMar w:top="1644" w:right="1474" w:bottom="1247" w:left="1531" w:header="851" w:footer="1020"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evenAndOddHeaders w:val="1"/>
  <w:displayHorizontalDrawingGridEvery w:val="1"/>
  <w:displayVerticalDrawingGridEvery w:val="1"/>
  <w:noPunctuationKerning w:val="1"/>
  <w:characterSpacingControl w:val="doNotCompress"/>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0EAA"/>
    <w:rsid w:val="00004991"/>
    <w:rsid w:val="00007BAC"/>
    <w:rsid w:val="000D4794"/>
    <w:rsid w:val="00113CD7"/>
    <w:rsid w:val="0011726D"/>
    <w:rsid w:val="001445BC"/>
    <w:rsid w:val="00254FB1"/>
    <w:rsid w:val="002845FC"/>
    <w:rsid w:val="00301BAD"/>
    <w:rsid w:val="003055E9"/>
    <w:rsid w:val="003903E2"/>
    <w:rsid w:val="003A2257"/>
    <w:rsid w:val="003F6753"/>
    <w:rsid w:val="004E78A1"/>
    <w:rsid w:val="005326A9"/>
    <w:rsid w:val="006578BE"/>
    <w:rsid w:val="006A6EAE"/>
    <w:rsid w:val="006C7961"/>
    <w:rsid w:val="007A4DE8"/>
    <w:rsid w:val="008B7C4F"/>
    <w:rsid w:val="00905031"/>
    <w:rsid w:val="009063BB"/>
    <w:rsid w:val="009D0793"/>
    <w:rsid w:val="00A00CD6"/>
    <w:rsid w:val="00A16B82"/>
    <w:rsid w:val="00A20E26"/>
    <w:rsid w:val="00AE5725"/>
    <w:rsid w:val="00B01DD0"/>
    <w:rsid w:val="00B82D75"/>
    <w:rsid w:val="00D314EB"/>
    <w:rsid w:val="00D863D0"/>
    <w:rsid w:val="00EB3419"/>
    <w:rsid w:val="00EC06C8"/>
    <w:rsid w:val="00F30EAA"/>
    <w:rsid w:val="00F412BE"/>
    <w:rsid w:val="00FD1855"/>
    <w:rsid w:val="00FD70EE"/>
    <w:rsid w:val="00FF5FB7"/>
    <w:rsid w:val="33B3483A"/>
    <w:rsid w:val="378A6689"/>
    <w:rsid w:val="79305ECD"/>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left="0" w:leftChars="0" w:firstLine="0" w:firstLineChars="0"/>
    </w:pPr>
    <w:rPr>
      <w:rFonts w:ascii="Verdana" w:hAnsi="Verdana" w:eastAsia="宋体"/>
      <w:sz w:val="24"/>
    </w:rPr>
  </w:style>
  <w:style w:type="paragraph" w:styleId="3">
    <w:name w:val="Body Text Indent"/>
    <w:basedOn w:val="1"/>
    <w:next w:val="4"/>
    <w:uiPriority w:val="0"/>
    <w:pPr>
      <w:spacing w:line="336" w:lineRule="auto"/>
      <w:ind w:firstLine="539"/>
    </w:pPr>
    <w:rPr>
      <w:spacing w:val="6"/>
    </w:rPr>
  </w:style>
  <w:style w:type="paragraph" w:customStyle="1" w:styleId="4">
    <w:name w:val="样式 正文文本缩进 + 行距: 1.5 倍行距"/>
    <w:basedOn w:val="5"/>
    <w:qFormat/>
    <w:uiPriority w:val="0"/>
    <w:pPr>
      <w:tabs>
        <w:tab w:val="left" w:pos="3600"/>
      </w:tabs>
      <w:spacing w:after="120" w:line="360" w:lineRule="auto"/>
      <w:ind w:left="90" w:leftChars="32" w:firstLine="560" w:firstLineChars="200"/>
    </w:pPr>
    <w:rPr>
      <w:rFonts w:cs="宋体"/>
    </w:rPr>
  </w:style>
  <w:style w:type="paragraph" w:customStyle="1" w:styleId="5">
    <w:name w:val="Body Text Indent"/>
    <w:basedOn w:val="1"/>
    <w:next w:val="4"/>
    <w:qFormat/>
    <w:uiPriority w:val="0"/>
    <w:pPr>
      <w:spacing w:after="120" w:afterLines="0"/>
      <w:ind w:left="420" w:leftChars="200"/>
    </w:pPr>
    <w:rPr>
      <w:rFonts w:ascii="Times New Roman" w:hAnsi="Times New Roman" w:eastAsia="宋体"/>
      <w:sz w:val="24"/>
    </w:rPr>
  </w:style>
  <w:style w:type="paragraph" w:styleId="6">
    <w:name w:val="annotation text"/>
    <w:basedOn w:val="1"/>
    <w:uiPriority w:val="0"/>
    <w:pPr>
      <w:jc w:val="left"/>
    </w:pPr>
  </w:style>
  <w:style w:type="paragraph" w:styleId="7">
    <w:name w:val="Body Text"/>
    <w:basedOn w:val="1"/>
    <w:qFormat/>
    <w:uiPriority w:val="0"/>
    <w:rPr>
      <w:sz w:val="32"/>
    </w:rPr>
  </w:style>
  <w:style w:type="paragraph" w:styleId="8">
    <w:name w:val="Balloon Text"/>
    <w:basedOn w:val="1"/>
    <w:link w:val="17"/>
    <w:qFormat/>
    <w:uiPriority w:val="0"/>
    <w:rPr>
      <w:sz w:val="18"/>
      <w:szCs w:val="18"/>
    </w:rPr>
  </w:style>
  <w:style w:type="paragraph" w:styleId="9">
    <w:name w:val="footer"/>
    <w:basedOn w:val="1"/>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000000"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paragraph" w:styleId="12">
    <w:name w:val="Body Text First Indent"/>
    <w:basedOn w:val="7"/>
    <w:uiPriority w:val="0"/>
    <w:pPr>
      <w:spacing w:after="120"/>
      <w:ind w:firstLine="420" w:firstLineChars="100"/>
    </w:pPr>
    <w:rPr>
      <w:b/>
      <w:bCs/>
    </w:rPr>
  </w:style>
  <w:style w:type="character" w:styleId="15">
    <w:name w:val="page number"/>
    <w:qFormat/>
    <w:uiPriority w:val="0"/>
  </w:style>
  <w:style w:type="paragraph" w:customStyle="1" w:styleId="16">
    <w:name w:val="Default"/>
    <w:uiPriority w:val="0"/>
    <w:pPr>
      <w:widowControl w:val="0"/>
    </w:pPr>
    <w:rPr>
      <w:rFonts w:ascii="宋体" w:hAnsi="宋体" w:eastAsia="宋体" w:cs="Times New Roman"/>
      <w:color w:val="000000"/>
      <w:sz w:val="24"/>
      <w:szCs w:val="24"/>
      <w:lang w:val="en-US" w:eastAsia="zh-CN" w:bidi="ar-SA"/>
    </w:rPr>
  </w:style>
  <w:style w:type="character" w:customStyle="1" w:styleId="17">
    <w:name w:val="批注框文本 Char"/>
    <w:link w:val="8"/>
    <w:qFormat/>
    <w:uiPriority w:val="0"/>
    <w:rPr>
      <w:kern w:val="2"/>
      <w:sz w:val="18"/>
      <w:szCs w:val="18"/>
    </w:rPr>
  </w:style>
  <w:style w:type="character" w:customStyle="1" w:styleId="18">
    <w:name w:val="15"/>
    <w:qFormat/>
    <w:uiPriority w:val="0"/>
    <w:rPr>
      <w:rFonts w:ascii="Times New Roman" w:hAnsi="Times New Roman"/>
      <w:b/>
      <w:bCs/>
      <w:sz w:val="28"/>
      <w:szCs w:val="28"/>
    </w:rPr>
  </w:style>
  <w:style w:type="character" w:customStyle="1" w:styleId="19">
    <w:name w:val="tpc_content1"/>
    <w:uiPriority w:val="0"/>
    <w:rPr>
      <w:sz w:val="18"/>
      <w:szCs w:val="18"/>
    </w:rPr>
  </w:style>
  <w:style w:type="paragraph" w:customStyle="1" w:styleId="20">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sz w:val="24"/>
    </w:rPr>
  </w:style>
  <w:style w:type="paragraph" w:customStyle="1" w:styleId="21">
    <w:name w:val="表格文字"/>
    <w:basedOn w:val="1"/>
    <w:qFormat/>
    <w:uiPriority w:val="0"/>
    <w:pPr>
      <w:snapToGrid w:val="0"/>
      <w:jc w:val="center"/>
    </w:pPr>
    <w:rPr>
      <w:color w:val="000000"/>
      <w:spacing w:val="6"/>
      <w:kern w:val="0"/>
    </w:rPr>
  </w:style>
  <w:style w:type="paragraph" w:customStyle="1" w:styleId="22">
    <w:name w:val="april正文"/>
    <w:basedOn w:val="23"/>
    <w:qFormat/>
    <w:uiPriority w:val="0"/>
    <w:pPr>
      <w:ind w:firstLine="504"/>
    </w:pPr>
    <w:rPr>
      <w:color w:val="FF0000"/>
      <w:spacing w:val="6"/>
      <w:kern w:val="0"/>
    </w:rPr>
  </w:style>
  <w:style w:type="paragraph" w:customStyle="1" w:styleId="23">
    <w:name w:val="报告书正文"/>
    <w:basedOn w:val="3"/>
    <w:uiPriority w:val="0"/>
    <w:pPr>
      <w:spacing w:line="300" w:lineRule="auto"/>
      <w:ind w:firstLine="200"/>
    </w:pPr>
    <w:rPr>
      <w:spacing w:val="0"/>
    </w:rPr>
  </w:style>
  <w:style w:type="paragraph" w:customStyle="1" w:styleId="24">
    <w:name w:val="p15"/>
    <w:basedOn w:val="1"/>
    <w:qFormat/>
    <w:uiPriority w:val="0"/>
    <w:pPr>
      <w:widowControl/>
    </w:pPr>
    <w:rPr>
      <w:kern w:val="0"/>
      <w:szCs w:val="21"/>
    </w:rPr>
  </w:style>
  <w:style w:type="paragraph" w:customStyle="1" w:styleId="25">
    <w:name w:val="默认段落字体 Para Char Char Char Char Char Char Char"/>
    <w:basedOn w:val="1"/>
    <w:qFormat/>
    <w:uiPriority w:val="0"/>
    <w:rPr>
      <w:rFonts w:ascii="Calibri" w:hAnsi="Calibri"/>
      <w:szCs w:val="22"/>
    </w:rPr>
  </w:style>
  <w:style w:type="paragraph" w:customStyle="1" w:styleId="26">
    <w:name w:val="Char Char1 Char Char Char Char Char Char Char Char Char Char Char Char Char Char Char Char Char Char Char Char1 Char1"/>
    <w:basedOn w:val="1"/>
    <w:uiPriority w:val="0"/>
    <w:pPr>
      <w:spacing w:line="360" w:lineRule="auto"/>
      <w:ind w:firstLine="200" w:firstLineChars="200"/>
    </w:pPr>
    <w:rPr>
      <w:rFonts w:ascii="宋体" w:hAnsi="宋体"/>
      <w:sz w:val="24"/>
    </w:rPr>
  </w:style>
  <w:style w:type="paragraph" w:customStyle="1" w:styleId="27">
    <w:name w:val="p0"/>
    <w:basedOn w:val="1"/>
    <w:qFormat/>
    <w:uiPriority w:val="0"/>
    <w:pPr>
      <w:widowControl/>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1821</Words>
  <Characters>2045</Characters>
  <Lines>15</Lines>
  <Paragraphs>4</Paragraphs>
  <TotalTime>14</TotalTime>
  <ScaleCrop>false</ScaleCrop>
  <LinksUpToDate>false</LinksUpToDate>
  <CharactersWithSpaces>2153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2024-01-24T01:19:00Z</dcterms:created>
  <dc:creator>Tang</dc:creator>
  <cp:lastModifiedBy>Tang</cp:lastModifiedBy>
  <cp:lastPrinted>2026-01-07T01:34:49Z</cp:lastPrinted>
  <dcterms:modified xsi:type="dcterms:W3CDTF">2026-01-07T01:40:26Z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eyJoZGlkIjoiNmQxNDU1MGViZjAxZDMxYzUyZmM1YTc3NmYxMDY2NjgiLCJ1c2VySWQiOiIxMjk3NjkzMjgwIn0=</vt:lpwstr>
  </property>
  <property fmtid="{D5CDD505-2E9C-101B-9397-08002B2CF9AE}" pid="3" name="KSOProductBuildVer">
    <vt:lpwstr>2052-12.1.0.24034</vt:lpwstr>
  </property>
  <property fmtid="{D5CDD505-2E9C-101B-9397-08002B2CF9AE}" pid="4" name="ICV">
    <vt:lpwstr>1E3DDB8B37F84C96899484DCDF85EB14_12</vt:lpwstr>
  </property>
</Properties>
</file>