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4750D">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_GBK" w:cs="Times New Roman"/>
          <w:bCs/>
          <w:spacing w:val="-11"/>
          <w:sz w:val="44"/>
          <w:szCs w:val="44"/>
        </w:rPr>
      </w:pPr>
      <w:r>
        <w:rPr>
          <w:rFonts w:hint="default" w:ascii="Times New Roman" w:hAnsi="Times New Roman" w:eastAsia="方正小标宋_GBK" w:cs="Times New Roman"/>
          <w:b w:val="0"/>
          <w:bCs/>
          <w:spacing w:val="-11"/>
          <w:sz w:val="44"/>
          <w:szCs w:val="44"/>
        </w:rPr>
        <w:t>关于</w:t>
      </w:r>
      <w:r>
        <w:rPr>
          <w:rFonts w:hint="default" w:ascii="Times New Roman" w:hAnsi="Times New Roman" w:eastAsia="方正小标宋_GBK" w:cs="Times New Roman"/>
          <w:b w:val="0"/>
          <w:bCs/>
          <w:spacing w:val="-11"/>
          <w:sz w:val="44"/>
          <w:szCs w:val="44"/>
          <w:lang w:val="en-US" w:eastAsia="zh-CN"/>
        </w:rPr>
        <w:t>2025年</w:t>
      </w:r>
      <w:r>
        <w:rPr>
          <w:rFonts w:hint="default" w:ascii="Times New Roman" w:hAnsi="Times New Roman" w:eastAsia="方正小标宋_GBK" w:cs="Times New Roman"/>
          <w:b w:val="0"/>
          <w:bCs/>
          <w:spacing w:val="-11"/>
          <w:sz w:val="44"/>
          <w:szCs w:val="44"/>
        </w:rPr>
        <w:t>湘潭县预算调整</w:t>
      </w:r>
      <w:r>
        <w:rPr>
          <w:rFonts w:hint="eastAsia" w:ascii="Times New Roman" w:hAnsi="Times New Roman" w:eastAsia="方正小标宋_GBK" w:cs="Times New Roman"/>
          <w:b w:val="0"/>
          <w:bCs/>
          <w:spacing w:val="-11"/>
          <w:sz w:val="44"/>
          <w:szCs w:val="44"/>
          <w:lang w:eastAsia="zh-CN"/>
        </w:rPr>
        <w:t>方案（</w:t>
      </w:r>
      <w:r>
        <w:rPr>
          <w:rFonts w:hint="default" w:ascii="Times New Roman" w:hAnsi="Times New Roman" w:eastAsia="方正小标宋_GBK" w:cs="Times New Roman"/>
          <w:b w:val="0"/>
          <w:bCs/>
          <w:spacing w:val="-11"/>
          <w:sz w:val="44"/>
          <w:szCs w:val="44"/>
        </w:rPr>
        <w:t>草案</w:t>
      </w:r>
      <w:r>
        <w:rPr>
          <w:rFonts w:hint="eastAsia" w:ascii="Times New Roman" w:hAnsi="Times New Roman" w:eastAsia="方正小标宋_GBK" w:cs="Times New Roman"/>
          <w:b w:val="0"/>
          <w:bCs/>
          <w:spacing w:val="-11"/>
          <w:sz w:val="44"/>
          <w:szCs w:val="44"/>
          <w:lang w:eastAsia="zh-CN"/>
        </w:rPr>
        <w:t>）</w:t>
      </w:r>
      <w:r>
        <w:rPr>
          <w:rFonts w:hint="default" w:ascii="Times New Roman" w:hAnsi="Times New Roman" w:eastAsia="方正小标宋_GBK" w:cs="Times New Roman"/>
          <w:b w:val="0"/>
          <w:bCs/>
          <w:spacing w:val="-11"/>
          <w:sz w:val="44"/>
          <w:szCs w:val="44"/>
        </w:rPr>
        <w:t>的报告</w:t>
      </w:r>
    </w:p>
    <w:p w14:paraId="6C1A5C6C">
      <w:pPr>
        <w:keepNext w:val="0"/>
        <w:keepLines w:val="0"/>
        <w:pageBreakBefore w:val="0"/>
        <w:kinsoku/>
        <w:wordWrap/>
        <w:overflowPunct/>
        <w:topLinePunct w:val="0"/>
        <w:autoSpaceDE/>
        <w:autoSpaceDN/>
        <w:bidi w:val="0"/>
        <w:spacing w:line="560" w:lineRule="exact"/>
        <w:jc w:val="center"/>
        <w:textAlignment w:val="auto"/>
        <w:rPr>
          <w:rFonts w:hint="eastAsia" w:ascii="楷体_GB2312" w:hAnsi="楷体_GB2312" w:eastAsia="楷体_GB2312" w:cs="楷体_GB2312"/>
          <w:bCs/>
          <w:spacing w:val="-17"/>
          <w:sz w:val="32"/>
          <w:szCs w:val="32"/>
        </w:rPr>
      </w:pPr>
      <w:r>
        <w:rPr>
          <w:rFonts w:hint="eastAsia" w:ascii="楷体_GB2312" w:hAnsi="楷体_GB2312" w:eastAsia="楷体_GB2312" w:cs="楷体_GB2312"/>
          <w:bCs/>
          <w:spacing w:val="-17"/>
          <w:sz w:val="32"/>
          <w:szCs w:val="32"/>
          <w:lang w:val="en-US" w:eastAsia="zh-CN"/>
        </w:rPr>
        <w:t>——</w:t>
      </w:r>
      <w:r>
        <w:rPr>
          <w:rFonts w:hint="eastAsia" w:ascii="楷体_GB2312" w:hAnsi="楷体_GB2312" w:eastAsia="楷体_GB2312" w:cs="楷体_GB2312"/>
          <w:bCs/>
          <w:spacing w:val="-17"/>
          <w:sz w:val="32"/>
          <w:szCs w:val="32"/>
        </w:rPr>
        <w:t>202</w:t>
      </w:r>
      <w:r>
        <w:rPr>
          <w:rFonts w:hint="eastAsia" w:ascii="楷体_GB2312" w:hAnsi="楷体_GB2312" w:eastAsia="楷体_GB2312" w:cs="楷体_GB2312"/>
          <w:bCs/>
          <w:spacing w:val="-17"/>
          <w:sz w:val="32"/>
          <w:szCs w:val="32"/>
          <w:lang w:val="en-US" w:eastAsia="zh-CN"/>
        </w:rPr>
        <w:t>5</w:t>
      </w:r>
      <w:r>
        <w:rPr>
          <w:rFonts w:hint="eastAsia" w:ascii="楷体_GB2312" w:hAnsi="楷体_GB2312" w:eastAsia="楷体_GB2312" w:cs="楷体_GB2312"/>
          <w:bCs/>
          <w:spacing w:val="-17"/>
          <w:sz w:val="32"/>
          <w:szCs w:val="32"/>
        </w:rPr>
        <w:t>年12月</w:t>
      </w:r>
      <w:r>
        <w:rPr>
          <w:rFonts w:hint="eastAsia" w:ascii="楷体_GB2312" w:hAnsi="楷体_GB2312" w:eastAsia="楷体_GB2312" w:cs="楷体_GB2312"/>
          <w:bCs/>
          <w:spacing w:val="-17"/>
          <w:sz w:val="32"/>
          <w:szCs w:val="32"/>
          <w:lang w:val="en-US" w:eastAsia="zh-CN"/>
        </w:rPr>
        <w:t>12</w:t>
      </w:r>
      <w:r>
        <w:rPr>
          <w:rFonts w:hint="eastAsia" w:ascii="楷体_GB2312" w:hAnsi="楷体_GB2312" w:eastAsia="楷体_GB2312" w:cs="楷体_GB2312"/>
          <w:bCs/>
          <w:spacing w:val="-17"/>
          <w:sz w:val="32"/>
          <w:szCs w:val="32"/>
        </w:rPr>
        <w:t>日在湘潭县</w:t>
      </w:r>
      <w:r>
        <w:rPr>
          <w:rFonts w:hint="eastAsia" w:ascii="楷体_GB2312" w:hAnsi="楷体_GB2312" w:eastAsia="楷体_GB2312" w:cs="楷体_GB2312"/>
          <w:bCs/>
          <w:spacing w:val="-17"/>
          <w:sz w:val="32"/>
          <w:szCs w:val="32"/>
          <w:lang w:val="en-US" w:eastAsia="zh-CN"/>
        </w:rPr>
        <w:t>第十七</w:t>
      </w:r>
      <w:r>
        <w:rPr>
          <w:rFonts w:hint="eastAsia" w:ascii="楷体_GB2312" w:hAnsi="楷体_GB2312" w:eastAsia="楷体_GB2312" w:cs="楷体_GB2312"/>
          <w:bCs/>
          <w:spacing w:val="-17"/>
          <w:sz w:val="32"/>
          <w:szCs w:val="32"/>
        </w:rPr>
        <w:t>届人大常委会第</w:t>
      </w:r>
      <w:r>
        <w:rPr>
          <w:rFonts w:hint="eastAsia" w:ascii="楷体_GB2312" w:hAnsi="楷体_GB2312" w:eastAsia="楷体_GB2312" w:cs="楷体_GB2312"/>
          <w:bCs/>
          <w:spacing w:val="-17"/>
          <w:sz w:val="32"/>
          <w:szCs w:val="32"/>
          <w:lang w:val="en-US" w:eastAsia="zh-CN"/>
        </w:rPr>
        <w:t>三十一</w:t>
      </w:r>
      <w:r>
        <w:rPr>
          <w:rFonts w:hint="eastAsia" w:ascii="楷体_GB2312" w:hAnsi="楷体_GB2312" w:eastAsia="楷体_GB2312" w:cs="楷体_GB2312"/>
          <w:bCs/>
          <w:spacing w:val="-17"/>
          <w:sz w:val="32"/>
          <w:szCs w:val="32"/>
        </w:rPr>
        <w:t>次会议上</w:t>
      </w:r>
    </w:p>
    <w:p w14:paraId="0BCFA793">
      <w:pPr>
        <w:pStyle w:val="2"/>
        <w:rPr>
          <w:rFonts w:hint="default"/>
        </w:rPr>
      </w:pPr>
    </w:p>
    <w:p w14:paraId="4547D3FE">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仿宋_GB2312" w:cs="Times New Roman"/>
          <w:b/>
          <w:bCs w:val="0"/>
          <w:sz w:val="32"/>
          <w:szCs w:val="32"/>
        </w:rPr>
      </w:pPr>
      <w:r>
        <w:rPr>
          <w:rFonts w:hint="default" w:ascii="Times New Roman" w:hAnsi="Times New Roman" w:eastAsia="楷体_GB2312" w:cs="Times New Roman"/>
          <w:b/>
          <w:bCs w:val="0"/>
          <w:sz w:val="32"/>
          <w:szCs w:val="32"/>
        </w:rPr>
        <w:t>湘潭县财政局局长   张燕</w:t>
      </w:r>
    </w:p>
    <w:p w14:paraId="62A4C804">
      <w:pPr>
        <w:keepNext w:val="0"/>
        <w:keepLines w:val="0"/>
        <w:pageBreakBefore w:val="0"/>
        <w:kinsoku/>
        <w:wordWrap/>
        <w:overflowPunct/>
        <w:topLinePunct w:val="0"/>
        <w:autoSpaceDE/>
        <w:autoSpaceDN/>
        <w:bidi w:val="0"/>
        <w:spacing w:line="560" w:lineRule="exact"/>
        <w:textAlignment w:val="auto"/>
        <w:rPr>
          <w:rFonts w:hint="default" w:ascii="Times New Roman" w:hAnsi="Times New Roman" w:eastAsia="仿宋" w:cs="Times New Roman"/>
          <w:sz w:val="32"/>
          <w:szCs w:val="32"/>
        </w:rPr>
      </w:pPr>
    </w:p>
    <w:p w14:paraId="2A26E95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主任、各位副主任、各位委员：</w:t>
      </w:r>
    </w:p>
    <w:p w14:paraId="285B22D3">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Cs/>
          <w:sz w:val="32"/>
          <w:szCs w:val="32"/>
          <w:lang w:val="en-US" w:eastAsia="zh-CN"/>
        </w:rPr>
        <w:t>根据《中华人民共和国预算法》《湖南省预算审查监督条例》等相关法律法规的规定，</w:t>
      </w:r>
      <w:r>
        <w:rPr>
          <w:rFonts w:hint="default" w:ascii="Times New Roman" w:hAnsi="Times New Roman" w:eastAsia="仿宋_GB2312" w:cs="Times New Roman"/>
          <w:kern w:val="2"/>
          <w:sz w:val="32"/>
          <w:szCs w:val="32"/>
          <w:lang w:val="en-US" w:eastAsia="zh-CN" w:bidi="ar-SA"/>
        </w:rPr>
        <w:t>现就2025年预算调整方案（草案）报告如下：</w:t>
      </w:r>
    </w:p>
    <w:p w14:paraId="4707CC54">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一、调整事由</w:t>
      </w:r>
    </w:p>
    <w:p w14:paraId="6DDAA98C">
      <w:pPr>
        <w:pStyle w:val="13"/>
        <w:keepNext w:val="0"/>
        <w:keepLines w:val="0"/>
        <w:pageBreakBefore w:val="0"/>
        <w:widowControl w:val="0"/>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楷体_GB2312" w:cs="Times New Roman"/>
          <w:b/>
          <w:bCs/>
          <w:i w:val="0"/>
          <w:iCs w:val="0"/>
          <w:color w:val="auto"/>
          <w:kern w:val="2"/>
          <w:sz w:val="32"/>
          <w:szCs w:val="22"/>
          <w:highlight w:val="none"/>
          <w:lang w:val="en-US" w:eastAsia="zh-CN" w:bidi="ar-SA"/>
        </w:rPr>
        <w:t>1.财政收入需调整。</w:t>
      </w:r>
      <w:r>
        <w:rPr>
          <w:rFonts w:hint="default" w:ascii="Times New Roman" w:hAnsi="Times New Roman" w:eastAsia="仿宋_GB2312" w:cs="Times New Roman"/>
          <w:b w:val="0"/>
          <w:bCs w:val="0"/>
          <w:color w:val="auto"/>
          <w:sz w:val="32"/>
          <w:szCs w:val="32"/>
          <w:highlight w:val="none"/>
          <w:lang w:val="en-US" w:eastAsia="zh-CN"/>
        </w:rPr>
        <w:t>根据当前财政经济形势，我县地方收入、土地出让收入、国有资本经营收入完成情况不及预期，需调</w:t>
      </w:r>
      <w:r>
        <w:rPr>
          <w:rFonts w:hint="eastAsia" w:ascii="Times New Roman" w:hAnsi="Times New Roman" w:eastAsia="仿宋_GB2312" w:cs="Times New Roman"/>
          <w:b w:val="0"/>
          <w:bCs w:val="0"/>
          <w:color w:val="auto"/>
          <w:sz w:val="32"/>
          <w:szCs w:val="32"/>
          <w:highlight w:val="none"/>
          <w:lang w:val="en-US" w:eastAsia="zh-CN"/>
        </w:rPr>
        <w:t>整</w:t>
      </w:r>
      <w:r>
        <w:rPr>
          <w:rFonts w:hint="default" w:ascii="Times New Roman" w:hAnsi="Times New Roman" w:eastAsia="仿宋_GB2312" w:cs="Times New Roman"/>
          <w:b w:val="0"/>
          <w:bCs w:val="0"/>
          <w:color w:val="auto"/>
          <w:sz w:val="32"/>
          <w:szCs w:val="32"/>
          <w:highlight w:val="none"/>
          <w:lang w:val="en-US" w:eastAsia="zh-CN"/>
        </w:rPr>
        <w:t>收入目标。</w:t>
      </w:r>
    </w:p>
    <w:p w14:paraId="73FD5844">
      <w:pPr>
        <w:pStyle w:val="13"/>
        <w:keepNext w:val="0"/>
        <w:keepLines w:val="0"/>
        <w:pageBreakBefore w:val="0"/>
        <w:widowControl w:val="0"/>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eastAsia="仿宋_GB2312" w:cs="Times New Roman"/>
          <w:b w:val="0"/>
          <w:bCs w:val="0"/>
          <w:i w:val="0"/>
          <w:iCs w:val="0"/>
          <w:color w:val="auto"/>
          <w:kern w:val="2"/>
          <w:sz w:val="32"/>
          <w:szCs w:val="22"/>
          <w:highlight w:val="none"/>
          <w:lang w:val="en-US" w:eastAsia="zh-CN" w:bidi="ar-SA"/>
        </w:rPr>
      </w:pPr>
      <w:r>
        <w:rPr>
          <w:rFonts w:hint="default" w:ascii="Times New Roman" w:hAnsi="Times New Roman" w:eastAsia="楷体_GB2312" w:cs="Times New Roman"/>
          <w:b/>
          <w:bCs/>
          <w:i w:val="0"/>
          <w:iCs w:val="0"/>
          <w:color w:val="auto"/>
          <w:kern w:val="2"/>
          <w:sz w:val="32"/>
          <w:szCs w:val="22"/>
          <w:highlight w:val="none"/>
          <w:lang w:val="en-US" w:eastAsia="zh-CN" w:bidi="ar-SA"/>
        </w:rPr>
        <w:t>2.财政支出需调整。</w:t>
      </w:r>
      <w:r>
        <w:rPr>
          <w:rFonts w:hint="default" w:ascii="Times New Roman" w:hAnsi="Times New Roman" w:eastAsia="仿宋_GB2312" w:cs="Times New Roman"/>
          <w:b w:val="0"/>
          <w:bCs w:val="0"/>
          <w:color w:val="auto"/>
          <w:sz w:val="32"/>
          <w:szCs w:val="32"/>
          <w:highlight w:val="none"/>
          <w:lang w:val="en-US" w:eastAsia="zh-CN"/>
        </w:rPr>
        <w:t>因上级转移支付</w:t>
      </w:r>
      <w:r>
        <w:rPr>
          <w:rFonts w:hint="eastAsia" w:ascii="Times New Roman" w:hAnsi="Times New Roman" w:eastAsia="仿宋_GB2312" w:cs="Times New Roman"/>
          <w:b w:val="0"/>
          <w:bCs w:val="0"/>
          <w:color w:val="auto"/>
          <w:sz w:val="32"/>
          <w:szCs w:val="32"/>
          <w:highlight w:val="none"/>
          <w:lang w:val="en-US" w:eastAsia="zh-CN"/>
        </w:rPr>
        <w:t>和地方收入</w:t>
      </w:r>
      <w:r>
        <w:rPr>
          <w:rFonts w:hint="default" w:ascii="Times New Roman" w:hAnsi="Times New Roman" w:eastAsia="仿宋_GB2312" w:cs="Times New Roman"/>
          <w:b w:val="0"/>
          <w:bCs w:val="0"/>
          <w:color w:val="auto"/>
          <w:sz w:val="32"/>
          <w:szCs w:val="32"/>
          <w:highlight w:val="none"/>
          <w:lang w:val="en-US" w:eastAsia="zh-CN"/>
        </w:rPr>
        <w:t>与年初预算相比发生了变化，</w:t>
      </w:r>
      <w:r>
        <w:rPr>
          <w:rFonts w:hint="eastAsia" w:ascii="Times New Roman" w:hAnsi="Times New Roman" w:eastAsia="仿宋_GB2312" w:cs="Times New Roman"/>
          <w:b w:val="0"/>
          <w:bCs w:val="0"/>
          <w:color w:val="auto"/>
          <w:sz w:val="32"/>
          <w:szCs w:val="32"/>
          <w:highlight w:val="none"/>
          <w:lang w:val="en-US" w:eastAsia="zh-CN"/>
        </w:rPr>
        <w:t>需</w:t>
      </w:r>
      <w:r>
        <w:rPr>
          <w:rFonts w:hint="default" w:ascii="Times New Roman" w:hAnsi="Times New Roman" w:eastAsia="仿宋_GB2312" w:cs="Times New Roman"/>
          <w:b w:val="0"/>
          <w:bCs w:val="0"/>
          <w:i w:val="0"/>
          <w:iCs w:val="0"/>
          <w:color w:val="auto"/>
          <w:kern w:val="2"/>
          <w:sz w:val="32"/>
          <w:szCs w:val="22"/>
          <w:highlight w:val="none"/>
          <w:lang w:val="en-US" w:eastAsia="zh-CN" w:bidi="ar-SA"/>
        </w:rPr>
        <w:t>调整本年度支出项目。</w:t>
      </w:r>
    </w:p>
    <w:p w14:paraId="2AC2DC86">
      <w:pPr>
        <w:pStyle w:val="13"/>
        <w:keepNext w:val="0"/>
        <w:keepLines w:val="0"/>
        <w:pageBreakBefore w:val="0"/>
        <w:widowControl w:val="0"/>
        <w:kinsoku/>
        <w:wordWrap/>
        <w:overflowPunct/>
        <w:topLinePunct w:val="0"/>
        <w:autoSpaceDE/>
        <w:autoSpaceDN/>
        <w:bidi w:val="0"/>
        <w:snapToGrid w:val="0"/>
        <w:spacing w:line="560" w:lineRule="exact"/>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bCs/>
          <w:i w:val="0"/>
          <w:iCs w:val="0"/>
          <w:color w:val="auto"/>
          <w:kern w:val="2"/>
          <w:sz w:val="32"/>
          <w:szCs w:val="22"/>
          <w:highlight w:val="none"/>
          <w:lang w:val="en-US" w:eastAsia="zh-CN" w:bidi="ar-SA"/>
        </w:rPr>
        <w:t>3.政府债务余额有增加。</w:t>
      </w:r>
      <w:r>
        <w:rPr>
          <w:rFonts w:hint="default" w:ascii="Times New Roman" w:hAnsi="Times New Roman" w:eastAsia="仿宋_GB2312" w:cs="Times New Roman"/>
          <w:b w:val="0"/>
          <w:bCs w:val="0"/>
          <w:i w:val="0"/>
          <w:iCs w:val="0"/>
          <w:color w:val="auto"/>
          <w:kern w:val="2"/>
          <w:sz w:val="32"/>
          <w:szCs w:val="22"/>
          <w:highlight w:val="none"/>
          <w:lang w:val="en-US" w:eastAsia="zh-CN" w:bidi="ar-SA"/>
        </w:rPr>
        <w:t>根据上级</w:t>
      </w:r>
      <w:r>
        <w:rPr>
          <w:rFonts w:hint="default" w:ascii="Times New Roman" w:hAnsi="Times New Roman" w:eastAsia="仿宋_GB2312" w:cs="Times New Roman"/>
          <w:kern w:val="0"/>
          <w:sz w:val="32"/>
          <w:szCs w:val="32"/>
          <w:highlight w:val="none"/>
          <w:lang w:val="en-US" w:eastAsia="zh-CN"/>
        </w:rPr>
        <w:t>下达我县</w:t>
      </w:r>
      <w:r>
        <w:rPr>
          <w:rFonts w:hint="default" w:ascii="Times New Roman" w:hAnsi="Times New Roman" w:eastAsia="仿宋_GB2312" w:cs="Times New Roman"/>
          <w:b w:val="0"/>
          <w:bCs w:val="0"/>
          <w:i w:val="0"/>
          <w:iCs w:val="0"/>
          <w:color w:val="auto"/>
          <w:kern w:val="2"/>
          <w:sz w:val="32"/>
          <w:szCs w:val="22"/>
          <w:highlight w:val="none"/>
          <w:lang w:val="en-US" w:eastAsia="zh-CN" w:bidi="ar-SA"/>
        </w:rPr>
        <w:t>新增债券限额、再融资债券和置换债券，需同步调整县级政府债务余额</w:t>
      </w:r>
      <w:r>
        <w:rPr>
          <w:rFonts w:hint="default" w:ascii="Times New Roman" w:hAnsi="Times New Roman" w:eastAsia="仿宋_GB2312" w:cs="Times New Roman"/>
          <w:b w:val="0"/>
          <w:bCs w:val="0"/>
          <w:color w:val="auto"/>
          <w:sz w:val="32"/>
          <w:szCs w:val="32"/>
          <w:highlight w:val="none"/>
          <w:lang w:val="en-US" w:eastAsia="zh-CN"/>
        </w:rPr>
        <w:t xml:space="preserve">。 </w:t>
      </w:r>
    </w:p>
    <w:p w14:paraId="1DD1C528">
      <w:pPr>
        <w:pStyle w:val="13"/>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仿宋_GB2312" w:cs="Times New Roman"/>
          <w:b w:val="0"/>
          <w:bCs w:val="0"/>
          <w:color w:val="auto"/>
          <w:sz w:val="32"/>
          <w:szCs w:val="32"/>
          <w:highlight w:val="none"/>
          <w:lang w:val="en-US" w:eastAsia="zh-CN"/>
        </w:rPr>
        <w:t>以上</w:t>
      </w:r>
      <w:r>
        <w:rPr>
          <w:rFonts w:hint="eastAsia" w:ascii="Times New Roman" w:hAnsi="Times New Roman" w:eastAsia="仿宋_GB2312" w:cs="Times New Roman"/>
          <w:b w:val="0"/>
          <w:bCs w:val="0"/>
          <w:color w:val="auto"/>
          <w:sz w:val="32"/>
          <w:szCs w:val="32"/>
          <w:highlight w:val="none"/>
          <w:lang w:val="en-US" w:eastAsia="zh-CN"/>
        </w:rPr>
        <w:t>三</w:t>
      </w:r>
      <w:r>
        <w:rPr>
          <w:rFonts w:hint="default" w:ascii="Times New Roman" w:hAnsi="Times New Roman" w:eastAsia="仿宋_GB2312" w:cs="Times New Roman"/>
          <w:b w:val="0"/>
          <w:bCs w:val="0"/>
          <w:color w:val="auto"/>
          <w:sz w:val="32"/>
          <w:szCs w:val="32"/>
          <w:highlight w:val="none"/>
          <w:lang w:val="en-US" w:eastAsia="zh-CN"/>
        </w:rPr>
        <w:t>项预算执行情况符合预算调整的条件，</w:t>
      </w:r>
      <w:r>
        <w:rPr>
          <w:rFonts w:hint="default" w:ascii="Times New Roman" w:hAnsi="Times New Roman" w:eastAsia="仿宋_GB2312" w:cs="Times New Roman"/>
          <w:b w:val="0"/>
          <w:bCs w:val="0"/>
          <w:i w:val="0"/>
          <w:iCs w:val="0"/>
          <w:color w:val="auto"/>
          <w:kern w:val="2"/>
          <w:sz w:val="32"/>
          <w:szCs w:val="22"/>
          <w:highlight w:val="none"/>
          <w:lang w:val="en-US" w:eastAsia="zh-CN" w:bidi="ar-SA"/>
        </w:rPr>
        <w:t>需依法编制预算调整方案。</w:t>
      </w:r>
    </w:p>
    <w:p w14:paraId="30AADAAB">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二、预算调整方案</w:t>
      </w:r>
    </w:p>
    <w:p w14:paraId="54976073">
      <w:pPr>
        <w:keepNext w:val="0"/>
        <w:keepLines w:val="0"/>
        <w:pageBreakBefore w:val="0"/>
        <w:widowControl w:val="0"/>
        <w:kinsoku/>
        <w:wordWrap/>
        <w:overflowPunct/>
        <w:topLinePunct w:val="0"/>
        <w:autoSpaceDE/>
        <w:autoSpaceDN/>
        <w:bidi w:val="0"/>
        <w:spacing w:line="560" w:lineRule="exact"/>
        <w:ind w:leftChars="0" w:firstLine="643" w:firstLineChars="200"/>
        <w:jc w:val="both"/>
        <w:textAlignment w:val="auto"/>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（一）一般公共预算</w:t>
      </w:r>
    </w:p>
    <w:p w14:paraId="27D8B0DE">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收入方面，2025年收入合计数调整为59.75亿元，调增8.32亿元。支出方面，支出合计数调整为59.75亿元，调增8.32亿元。年度收支平衡。具体调整情况如下：</w:t>
      </w:r>
    </w:p>
    <w:p w14:paraId="751883D5">
      <w:pPr>
        <w:keepNext w:val="0"/>
        <w:keepLines w:val="0"/>
        <w:pageBreakBefore w:val="0"/>
        <w:widowControl w:val="0"/>
        <w:numPr>
          <w:ilvl w:val="0"/>
          <w:numId w:val="0"/>
        </w:numPr>
        <w:kinsoku/>
        <w:wordWrap/>
        <w:overflowPunct/>
        <w:topLinePunct w:val="0"/>
        <w:autoSpaceDE/>
        <w:autoSpaceDN/>
        <w:bidi w:val="0"/>
        <w:adjustRightInd/>
        <w:spacing w:line="560" w:lineRule="exact"/>
        <w:ind w:leftChars="0" w:firstLine="643" w:firstLineChars="200"/>
        <w:jc w:val="both"/>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仿宋_GB2312" w:cs="Times New Roman"/>
          <w:b/>
          <w:bCs/>
          <w:kern w:val="0"/>
          <w:sz w:val="32"/>
          <w:szCs w:val="32"/>
          <w:lang w:val="en-US" w:eastAsia="zh-CN"/>
        </w:rPr>
        <w:t>1.收入预算调整。</w:t>
      </w:r>
      <w:r>
        <w:rPr>
          <w:rFonts w:hint="default" w:ascii="Times New Roman" w:hAnsi="Times New Roman" w:eastAsia="仿宋_GB2312" w:cs="Times New Roman"/>
          <w:b w:val="0"/>
          <w:bCs w:val="0"/>
          <w:kern w:val="0"/>
          <w:sz w:val="32"/>
          <w:szCs w:val="32"/>
          <w:lang w:val="en-US" w:eastAsia="zh-CN"/>
        </w:rPr>
        <w:t>一是根据1-11月执行情况和全年预测情况，将地方一般公共预算收入目标调整为12.45亿元，调减0.55亿元。二是依据当前省财政已下达我县资金情况，上级补助收入预计完成37.67亿元，调增1.19亿元。三是调减</w:t>
      </w:r>
      <w:r>
        <w:rPr>
          <w:rFonts w:hint="eastAsia" w:ascii="Times New Roman" w:hAnsi="Times New Roman" w:eastAsia="仿宋_GB2312" w:cs="Times New Roman"/>
          <w:b w:val="0"/>
          <w:bCs w:val="0"/>
          <w:kern w:val="0"/>
          <w:sz w:val="32"/>
          <w:szCs w:val="32"/>
          <w:lang w:val="en-US" w:eastAsia="zh-CN"/>
        </w:rPr>
        <w:t>其他</w:t>
      </w:r>
      <w:r>
        <w:rPr>
          <w:rFonts w:hint="default" w:ascii="Times New Roman" w:hAnsi="Times New Roman" w:eastAsia="仿宋_GB2312" w:cs="Times New Roman"/>
          <w:b w:val="0"/>
          <w:bCs w:val="0"/>
          <w:kern w:val="0"/>
          <w:sz w:val="32"/>
          <w:szCs w:val="32"/>
          <w:lang w:val="en-US" w:eastAsia="zh-CN"/>
        </w:rPr>
        <w:t>调入资金0.</w:t>
      </w:r>
      <w:r>
        <w:rPr>
          <w:rFonts w:hint="eastAsia" w:ascii="Times New Roman" w:hAnsi="Times New Roman" w:eastAsia="仿宋_GB2312" w:cs="Times New Roman"/>
          <w:b w:val="0"/>
          <w:bCs w:val="0"/>
          <w:kern w:val="0"/>
          <w:sz w:val="32"/>
          <w:szCs w:val="32"/>
          <w:lang w:val="en-US" w:eastAsia="zh-CN"/>
        </w:rPr>
        <w:t>8</w:t>
      </w:r>
      <w:r>
        <w:rPr>
          <w:rFonts w:hint="default" w:ascii="Times New Roman" w:hAnsi="Times New Roman" w:eastAsia="仿宋_GB2312" w:cs="Times New Roman"/>
          <w:b w:val="0"/>
          <w:bCs w:val="0"/>
          <w:kern w:val="0"/>
          <w:sz w:val="32"/>
          <w:szCs w:val="32"/>
          <w:lang w:val="en-US" w:eastAsia="zh-CN"/>
        </w:rPr>
        <w:t>亿元</w:t>
      </w:r>
      <w:r>
        <w:rPr>
          <w:rFonts w:hint="eastAsia" w:ascii="Times New Roman" w:hAnsi="Times New Roman" w:eastAsia="仿宋_GB2312" w:cs="Times New Roman"/>
          <w:b w:val="0"/>
          <w:bCs w:val="0"/>
          <w:kern w:val="0"/>
          <w:sz w:val="32"/>
          <w:szCs w:val="32"/>
          <w:lang w:val="en-US" w:eastAsia="zh-CN"/>
        </w:rPr>
        <w:t>，调增政府性基金调入0.65亿元</w:t>
      </w:r>
      <w:r>
        <w:rPr>
          <w:rFonts w:hint="default" w:ascii="Times New Roman" w:hAnsi="Times New Roman" w:eastAsia="仿宋_GB2312" w:cs="Times New Roman"/>
          <w:b w:val="0"/>
          <w:bCs w:val="0"/>
          <w:kern w:val="0"/>
          <w:sz w:val="32"/>
          <w:szCs w:val="32"/>
          <w:lang w:val="en-US" w:eastAsia="zh-CN"/>
        </w:rPr>
        <w:t>。四</w:t>
      </w:r>
      <w:r>
        <w:rPr>
          <w:rFonts w:hint="default" w:ascii="Times New Roman" w:hAnsi="Times New Roman" w:eastAsia="仿宋_GB2312" w:cs="Times New Roman"/>
          <w:b w:val="0"/>
          <w:bCs w:val="0"/>
          <w:sz w:val="32"/>
          <w:szCs w:val="32"/>
          <w:lang w:eastAsia="zh-CN"/>
        </w:rPr>
        <w:t>是动用上年结余资金</w:t>
      </w:r>
      <w:r>
        <w:rPr>
          <w:rFonts w:hint="default" w:ascii="Times New Roman" w:hAnsi="Times New Roman" w:eastAsia="仿宋_GB2312" w:cs="Times New Roman"/>
          <w:b w:val="0"/>
          <w:bCs w:val="0"/>
          <w:sz w:val="32"/>
          <w:szCs w:val="32"/>
          <w:lang w:val="en-US" w:eastAsia="zh-CN"/>
        </w:rPr>
        <w:t>1.4</w:t>
      </w:r>
      <w:r>
        <w:rPr>
          <w:rFonts w:hint="eastAsia"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lang w:val="en-US" w:eastAsia="zh-CN"/>
        </w:rPr>
        <w:t>亿元。五是增加</w:t>
      </w:r>
      <w:r>
        <w:rPr>
          <w:rFonts w:hint="default" w:ascii="Times New Roman" w:hAnsi="Times New Roman" w:eastAsia="仿宋_GB2312" w:cs="Times New Roman"/>
          <w:b w:val="0"/>
          <w:bCs w:val="0"/>
          <w:kern w:val="0"/>
          <w:sz w:val="32"/>
          <w:szCs w:val="32"/>
          <w:lang w:val="en-US" w:eastAsia="zh-CN"/>
        </w:rPr>
        <w:t>地方政府一般债券收入6.39亿元。</w:t>
      </w:r>
    </w:p>
    <w:p w14:paraId="33B86753">
      <w:pPr>
        <w:pStyle w:val="4"/>
        <w:keepNext w:val="0"/>
        <w:keepLines w:val="0"/>
        <w:pageBreakBefore w:val="0"/>
        <w:widowControl w:val="0"/>
        <w:kinsoku/>
        <w:wordWrap/>
        <w:overflowPunct/>
        <w:topLinePunct w:val="0"/>
        <w:autoSpaceDE/>
        <w:autoSpaceDN/>
        <w:bidi w:val="0"/>
        <w:adjustRightInd/>
        <w:spacing w:line="560" w:lineRule="exact"/>
        <w:ind w:leftChars="0" w:firstLine="643" w:firstLineChars="200"/>
        <w:jc w:val="both"/>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b/>
          <w:bCs/>
          <w:kern w:val="0"/>
          <w:sz w:val="32"/>
          <w:szCs w:val="32"/>
          <w:lang w:val="en-US" w:eastAsia="zh-CN" w:bidi="ar-SA"/>
        </w:rPr>
        <w:t>2.支出预算调整。</w:t>
      </w:r>
      <w:r>
        <w:rPr>
          <w:rFonts w:hint="default" w:ascii="Times New Roman" w:hAnsi="Times New Roman" w:eastAsia="仿宋_GB2312" w:cs="Times New Roman"/>
          <w:kern w:val="0"/>
          <w:sz w:val="32"/>
          <w:szCs w:val="32"/>
          <w:lang w:val="en-US" w:eastAsia="zh-CN" w:bidi="ar-SA"/>
        </w:rPr>
        <w:t>一是根据债券分配方案，增加一般债务收入安排的支出3.7亿元，二是增加一般债券还本支出2.69亿元，三</w:t>
      </w:r>
      <w:r>
        <w:rPr>
          <w:rFonts w:hint="default" w:ascii="Times New Roman" w:hAnsi="Times New Roman" w:eastAsia="仿宋_GB2312" w:cs="Times New Roman"/>
          <w:kern w:val="0"/>
          <w:sz w:val="32"/>
          <w:szCs w:val="32"/>
          <w:lang w:val="en-US" w:eastAsia="zh-CN"/>
        </w:rPr>
        <w:t>是</w:t>
      </w:r>
      <w:r>
        <w:rPr>
          <w:rFonts w:hint="default" w:ascii="Times New Roman" w:hAnsi="Times New Roman" w:eastAsia="仿宋_GB2312" w:cs="Times New Roman"/>
          <w:kern w:val="0"/>
          <w:sz w:val="32"/>
          <w:szCs w:val="32"/>
          <w:lang w:val="en-US" w:eastAsia="zh-CN" w:bidi="ar-SA"/>
        </w:rPr>
        <w:t>调增项目支出1.9</w:t>
      </w:r>
      <w:r>
        <w:rPr>
          <w:rFonts w:hint="eastAsia" w:ascii="Times New Roman" w:hAnsi="Times New Roman" w:eastAsia="仿宋_GB2312" w:cs="Times New Roman"/>
          <w:kern w:val="0"/>
          <w:sz w:val="32"/>
          <w:szCs w:val="32"/>
          <w:lang w:val="en-US" w:eastAsia="zh-CN" w:bidi="ar-SA"/>
        </w:rPr>
        <w:t>3</w:t>
      </w:r>
      <w:r>
        <w:rPr>
          <w:rFonts w:hint="default" w:ascii="Times New Roman" w:hAnsi="Times New Roman" w:eastAsia="仿宋_GB2312" w:cs="Times New Roman"/>
          <w:kern w:val="0"/>
          <w:sz w:val="32"/>
          <w:szCs w:val="32"/>
          <w:lang w:val="en-US" w:eastAsia="zh-CN" w:bidi="ar-SA"/>
        </w:rPr>
        <w:t>亿元，</w:t>
      </w:r>
      <w:r>
        <w:rPr>
          <w:rFonts w:hint="default" w:ascii="Times New Roman" w:hAnsi="Times New Roman" w:eastAsia="仿宋_GB2312" w:cs="Times New Roman"/>
          <w:kern w:val="0"/>
          <w:sz w:val="32"/>
          <w:szCs w:val="32"/>
          <w:lang w:val="en-US" w:eastAsia="zh-CN"/>
        </w:rPr>
        <w:t>支出功能科目相应调整</w:t>
      </w:r>
      <w:r>
        <w:rPr>
          <w:rFonts w:hint="default" w:ascii="Times New Roman" w:hAnsi="Times New Roman" w:eastAsia="仿宋_GB2312" w:cs="Times New Roman"/>
          <w:kern w:val="0"/>
          <w:sz w:val="32"/>
          <w:szCs w:val="32"/>
          <w:lang w:val="en-US" w:eastAsia="zh-CN" w:bidi="ar-SA"/>
        </w:rPr>
        <w:t>。</w:t>
      </w:r>
    </w:p>
    <w:p w14:paraId="7F2DBD65">
      <w:pPr>
        <w:keepNext w:val="0"/>
        <w:keepLines w:val="0"/>
        <w:pageBreakBefore w:val="0"/>
        <w:widowControl w:val="0"/>
        <w:kinsoku/>
        <w:wordWrap/>
        <w:overflowPunct/>
        <w:topLinePunct w:val="0"/>
        <w:autoSpaceDE/>
        <w:autoSpaceDN/>
        <w:bidi w:val="0"/>
        <w:spacing w:line="560" w:lineRule="exact"/>
        <w:ind w:leftChars="0" w:firstLine="643" w:firstLineChars="200"/>
        <w:jc w:val="both"/>
        <w:textAlignment w:val="auto"/>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（二）政府性基金预算</w:t>
      </w:r>
    </w:p>
    <w:p w14:paraId="6965366E">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收入方面，2025年政府性基金收入合计数调整为67.93亿元，调增58.5</w:t>
      </w:r>
      <w:r>
        <w:rPr>
          <w:rFonts w:hint="eastAsia"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kern w:val="0"/>
          <w:sz w:val="32"/>
          <w:szCs w:val="32"/>
          <w:lang w:val="en-US" w:eastAsia="zh-CN"/>
        </w:rPr>
        <w:t>亿元。支出方面，政府性基金支出合计数调整为67.93亿元，调增58.5</w:t>
      </w:r>
      <w:r>
        <w:rPr>
          <w:rFonts w:hint="eastAsia"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kern w:val="0"/>
          <w:sz w:val="32"/>
          <w:szCs w:val="32"/>
          <w:lang w:val="en-US" w:eastAsia="zh-CN"/>
        </w:rPr>
        <w:t>亿元。年度收支平衡。具体调整情况如下：</w:t>
      </w:r>
    </w:p>
    <w:p w14:paraId="23FB4F98">
      <w:pPr>
        <w:keepNext w:val="0"/>
        <w:keepLines w:val="0"/>
        <w:pageBreakBefore w:val="0"/>
        <w:widowControl w:val="0"/>
        <w:kinsoku/>
        <w:wordWrap/>
        <w:overflowPunct/>
        <w:topLinePunct w:val="0"/>
        <w:autoSpaceDE/>
        <w:autoSpaceDN/>
        <w:bidi w:val="0"/>
        <w:spacing w:line="560" w:lineRule="exact"/>
        <w:ind w:leftChars="0" w:firstLine="643"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b/>
          <w:bCs/>
          <w:kern w:val="0"/>
          <w:sz w:val="32"/>
          <w:szCs w:val="32"/>
          <w:lang w:val="en-US" w:eastAsia="zh-CN"/>
        </w:rPr>
        <w:t>1.收入预算调整。</w:t>
      </w:r>
      <w:r>
        <w:rPr>
          <w:rFonts w:hint="default" w:ascii="Times New Roman" w:hAnsi="Times New Roman" w:eastAsia="仿宋_GB2312" w:cs="Times New Roman"/>
          <w:b w:val="0"/>
          <w:bCs w:val="0"/>
          <w:kern w:val="0"/>
          <w:sz w:val="32"/>
          <w:szCs w:val="32"/>
          <w:lang w:val="en-US" w:eastAsia="zh-CN"/>
        </w:rPr>
        <w:t>一是调减土地出让收入5.96亿元，二是调增城市基础配套费收入0.0</w:t>
      </w:r>
      <w:r>
        <w:rPr>
          <w:rFonts w:hint="eastAsia" w:ascii="Times New Roman" w:hAnsi="Times New Roman" w:eastAsia="仿宋_GB2312" w:cs="Times New Roman"/>
          <w:b w:val="0"/>
          <w:bCs w:val="0"/>
          <w:kern w:val="0"/>
          <w:sz w:val="32"/>
          <w:szCs w:val="32"/>
          <w:lang w:val="en-US" w:eastAsia="zh-CN"/>
        </w:rPr>
        <w:t>2</w:t>
      </w:r>
      <w:r>
        <w:rPr>
          <w:rFonts w:hint="default" w:ascii="Times New Roman" w:hAnsi="Times New Roman" w:eastAsia="仿宋_GB2312" w:cs="Times New Roman"/>
          <w:b w:val="0"/>
          <w:bCs w:val="0"/>
          <w:kern w:val="0"/>
          <w:sz w:val="32"/>
          <w:szCs w:val="32"/>
          <w:lang w:val="en-US" w:eastAsia="zh-CN"/>
        </w:rPr>
        <w:t>亿元，三是调增污水处理费收入0.02亿元，四是调增专项债对应项目专项收入7.58亿元，五是调增上级收入56.91亿元</w:t>
      </w:r>
      <w:r>
        <w:rPr>
          <w:rFonts w:hint="default" w:ascii="Times New Roman" w:hAnsi="Times New Roman" w:eastAsia="仿宋_GB2312" w:cs="Times New Roman"/>
          <w:kern w:val="0"/>
          <w:sz w:val="32"/>
          <w:szCs w:val="32"/>
          <w:lang w:val="en-US" w:eastAsia="zh-CN"/>
        </w:rPr>
        <w:t>。</w:t>
      </w:r>
    </w:p>
    <w:p w14:paraId="3D03D959">
      <w:pPr>
        <w:pStyle w:val="2"/>
        <w:keepNext w:val="0"/>
        <w:keepLines w:val="0"/>
        <w:pageBreakBefore w:val="0"/>
        <w:widowControl w:val="0"/>
        <w:kinsoku/>
        <w:wordWrap/>
        <w:overflowPunct/>
        <w:topLinePunct w:val="0"/>
        <w:autoSpaceDE/>
        <w:autoSpaceDN/>
        <w:bidi w:val="0"/>
        <w:spacing w:line="560" w:lineRule="exact"/>
        <w:ind w:leftChars="0" w:firstLine="643" w:firstLineChars="200"/>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bCs/>
          <w:kern w:val="0"/>
          <w:sz w:val="32"/>
          <w:szCs w:val="32"/>
          <w:lang w:val="en-US" w:eastAsia="zh-CN" w:bidi="ar-SA"/>
        </w:rPr>
        <w:t>2.支出预算调整。</w:t>
      </w:r>
      <w:r>
        <w:rPr>
          <w:rFonts w:hint="default" w:ascii="Times New Roman" w:hAnsi="Times New Roman" w:eastAsia="仿宋_GB2312" w:cs="Times New Roman"/>
          <w:b w:val="0"/>
          <w:bCs w:val="0"/>
          <w:kern w:val="0"/>
          <w:sz w:val="32"/>
          <w:szCs w:val="32"/>
          <w:lang w:val="en-US" w:eastAsia="zh-CN" w:bidi="ar-SA"/>
        </w:rPr>
        <w:t>一是因本级收入调增，相应调增本级支出1.01亿元、调增调出资金0.65</w:t>
      </w:r>
      <w:r>
        <w:rPr>
          <w:rFonts w:hint="eastAsia" w:ascii="Times New Roman" w:hAnsi="Times New Roman" w:eastAsia="仿宋_GB2312" w:cs="Times New Roman"/>
          <w:b w:val="0"/>
          <w:bCs w:val="0"/>
          <w:kern w:val="0"/>
          <w:sz w:val="32"/>
          <w:szCs w:val="32"/>
          <w:lang w:val="en-US" w:eastAsia="zh-CN" w:bidi="ar-SA"/>
        </w:rPr>
        <w:t>亿</w:t>
      </w:r>
      <w:r>
        <w:rPr>
          <w:rFonts w:hint="default" w:ascii="Times New Roman" w:hAnsi="Times New Roman" w:eastAsia="仿宋_GB2312" w:cs="Times New Roman"/>
          <w:b w:val="0"/>
          <w:bCs w:val="0"/>
          <w:kern w:val="0"/>
          <w:sz w:val="32"/>
          <w:szCs w:val="32"/>
          <w:lang w:val="en-US" w:eastAsia="zh-CN" w:bidi="ar-SA"/>
        </w:rPr>
        <w:t>元，二是增加上级转移支付支出3.09亿元，三是增加专项债务收入安排的支出16.62亿元，四是增加置换债支出37.2亿元。</w:t>
      </w:r>
    </w:p>
    <w:p w14:paraId="0C4613B9">
      <w:pPr>
        <w:pStyle w:val="2"/>
        <w:keepNext w:val="0"/>
        <w:keepLines w:val="0"/>
        <w:pageBreakBefore w:val="0"/>
        <w:widowControl w:val="0"/>
        <w:kinsoku/>
        <w:wordWrap/>
        <w:overflowPunct/>
        <w:topLinePunct w:val="0"/>
        <w:autoSpaceDE/>
        <w:autoSpaceDN/>
        <w:bidi w:val="0"/>
        <w:spacing w:line="560" w:lineRule="exact"/>
        <w:ind w:leftChars="0" w:firstLine="643" w:firstLineChars="200"/>
        <w:textAlignment w:val="auto"/>
        <w:rPr>
          <w:rFonts w:hint="default" w:ascii="Times New Roman" w:hAnsi="Times New Roman" w:eastAsia="楷体_GB2312" w:cs="Times New Roman"/>
          <w:b/>
          <w:bCs/>
          <w:color w:val="000000"/>
          <w:kern w:val="2"/>
          <w:sz w:val="32"/>
          <w:szCs w:val="32"/>
          <w:highlight w:val="none"/>
          <w:lang w:val="en-US" w:eastAsia="zh-CN" w:bidi="ar-SA"/>
        </w:rPr>
      </w:pPr>
      <w:r>
        <w:rPr>
          <w:rFonts w:hint="default" w:ascii="Times New Roman" w:hAnsi="Times New Roman" w:eastAsia="仿宋_GB2312" w:cs="Times New Roman"/>
          <w:b/>
          <w:bCs/>
          <w:i w:val="0"/>
          <w:iCs w:val="0"/>
          <w:color w:val="auto"/>
          <w:kern w:val="2"/>
          <w:sz w:val="32"/>
          <w:szCs w:val="22"/>
          <w:highlight w:val="none"/>
          <w:lang w:val="en-US" w:eastAsia="zh-CN" w:bidi="ar-SA"/>
        </w:rPr>
        <w:t>（三）</w:t>
      </w:r>
      <w:r>
        <w:rPr>
          <w:rFonts w:hint="default" w:ascii="Times New Roman" w:hAnsi="Times New Roman" w:eastAsia="楷体_GB2312" w:cs="Times New Roman"/>
          <w:b/>
          <w:bCs/>
          <w:color w:val="000000"/>
          <w:kern w:val="2"/>
          <w:sz w:val="32"/>
          <w:szCs w:val="32"/>
          <w:highlight w:val="none"/>
          <w:lang w:val="en-US" w:eastAsia="zh-CN" w:bidi="ar-SA"/>
        </w:rPr>
        <w:t>国有资本经营预算</w:t>
      </w:r>
    </w:p>
    <w:p w14:paraId="4170C03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b w:val="0"/>
          <w:kern w:val="2"/>
          <w:sz w:val="32"/>
          <w:szCs w:val="24"/>
          <w:highlight w:val="none"/>
          <w:lang w:val="en-US" w:eastAsia="zh-CN" w:bidi="ar-SA"/>
        </w:rPr>
      </w:pPr>
      <w:r>
        <w:rPr>
          <w:rFonts w:hint="default" w:ascii="Times New Roman" w:hAnsi="Times New Roman" w:eastAsia="仿宋_GB2312" w:cs="Times New Roman"/>
          <w:b w:val="0"/>
          <w:kern w:val="2"/>
          <w:sz w:val="32"/>
          <w:szCs w:val="24"/>
          <w:highlight w:val="none"/>
          <w:lang w:val="en-US" w:eastAsia="zh-CN" w:bidi="ar-SA"/>
        </w:rPr>
        <w:t>因天易发展公司收入减少，收支作相应调整。调整后，收入合计数为0.5亿元，调减1亿元；支出合计数为0.5亿元，调减1亿元；年度收支平衡。</w:t>
      </w:r>
    </w:p>
    <w:p w14:paraId="1D2A7A02">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default" w:ascii="Times New Roman" w:hAnsi="Times New Roman" w:eastAsia="楷体_GB2312" w:cs="Times New Roman"/>
          <w:b/>
          <w:bCs/>
          <w:color w:val="000000"/>
          <w:kern w:val="2"/>
          <w:sz w:val="32"/>
          <w:szCs w:val="32"/>
          <w:highlight w:val="none"/>
          <w:lang w:val="en-US" w:eastAsia="zh-CN" w:bidi="ar-SA"/>
        </w:rPr>
      </w:pPr>
      <w:r>
        <w:rPr>
          <w:rFonts w:hint="default" w:ascii="Times New Roman" w:hAnsi="Times New Roman" w:eastAsia="仿宋_GB2312" w:cs="Times New Roman"/>
          <w:b/>
          <w:bCs/>
          <w:i w:val="0"/>
          <w:iCs w:val="0"/>
          <w:color w:val="auto"/>
          <w:kern w:val="2"/>
          <w:sz w:val="32"/>
          <w:szCs w:val="22"/>
          <w:highlight w:val="none"/>
          <w:lang w:val="en-US" w:eastAsia="zh-CN" w:bidi="ar-SA"/>
        </w:rPr>
        <w:t>（四）</w:t>
      </w:r>
      <w:r>
        <w:rPr>
          <w:rFonts w:hint="default" w:ascii="Times New Roman" w:hAnsi="Times New Roman" w:eastAsia="楷体_GB2312" w:cs="Times New Roman"/>
          <w:b/>
          <w:bCs/>
          <w:color w:val="000000"/>
          <w:kern w:val="2"/>
          <w:sz w:val="32"/>
          <w:szCs w:val="32"/>
          <w:highlight w:val="none"/>
          <w:lang w:val="en-US" w:eastAsia="zh-CN" w:bidi="ar-SA"/>
        </w:rPr>
        <w:t>社保基金预算</w:t>
      </w:r>
    </w:p>
    <w:p w14:paraId="0D93965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b w:val="0"/>
          <w:kern w:val="2"/>
          <w:sz w:val="32"/>
          <w:szCs w:val="24"/>
          <w:highlight w:val="none"/>
          <w:lang w:val="en-US" w:eastAsia="zh-CN" w:bidi="ar-SA"/>
        </w:rPr>
      </w:pPr>
      <w:r>
        <w:rPr>
          <w:rFonts w:hint="default" w:ascii="Times New Roman" w:hAnsi="Times New Roman" w:eastAsia="仿宋_GB2312" w:cs="Times New Roman"/>
          <w:b w:val="0"/>
          <w:kern w:val="2"/>
          <w:sz w:val="32"/>
          <w:szCs w:val="24"/>
          <w:highlight w:val="none"/>
          <w:lang w:val="en-US" w:eastAsia="zh-CN" w:bidi="ar-SA"/>
        </w:rPr>
        <w:t>根据机关事业单位养老保险保费收入及支出变化情况，收支作相应调整。</w:t>
      </w:r>
      <w:r>
        <w:rPr>
          <w:rFonts w:hint="default" w:ascii="Times New Roman" w:hAnsi="Times New Roman" w:eastAsia="仿宋_GB2312" w:cs="Times New Roman"/>
          <w:b w:val="0"/>
          <w:bCs/>
          <w:color w:val="auto"/>
          <w:sz w:val="32"/>
          <w:szCs w:val="32"/>
          <w:highlight w:val="none"/>
          <w:lang w:val="en-US" w:eastAsia="zh-CN"/>
        </w:rPr>
        <w:t>调整后，</w:t>
      </w:r>
      <w:r>
        <w:rPr>
          <w:rFonts w:hint="default" w:ascii="Times New Roman" w:hAnsi="Times New Roman" w:eastAsia="仿宋_GB2312" w:cs="Times New Roman"/>
          <w:b w:val="0"/>
          <w:kern w:val="2"/>
          <w:sz w:val="32"/>
          <w:szCs w:val="24"/>
          <w:highlight w:val="none"/>
          <w:lang w:val="en-US" w:eastAsia="zh-CN" w:bidi="ar-SA"/>
        </w:rPr>
        <w:t>2025年社保基金预算收入合计数为18.04亿元，调增5.98亿元；社保基金预算支出合计数为10.74亿元，调增0.10亿元；本年度收支结余7.3亿元。</w:t>
      </w:r>
    </w:p>
    <w:p w14:paraId="58A18E1E">
      <w:pPr>
        <w:keepNext w:val="0"/>
        <w:keepLines w:val="0"/>
        <w:pageBreakBefore w:val="0"/>
        <w:widowControl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三、地方政府债券资金安排方案</w:t>
      </w:r>
    </w:p>
    <w:p w14:paraId="20D4673B">
      <w:pPr>
        <w:keepNext w:val="0"/>
        <w:keepLines w:val="0"/>
        <w:pageBreakBefore w:val="0"/>
        <w:widowControl w:val="0"/>
        <w:kinsoku/>
        <w:wordWrap/>
        <w:overflowPunct/>
        <w:topLinePunct w:val="0"/>
        <w:autoSpaceDE/>
        <w:autoSpaceDN/>
        <w:bidi w:val="0"/>
        <w:spacing w:line="560" w:lineRule="exact"/>
        <w:ind w:leftChars="0" w:firstLine="643" w:firstLineChars="200"/>
        <w:jc w:val="both"/>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楷体_GB2312" w:cs="Times New Roman"/>
          <w:b/>
          <w:bCs/>
          <w:kern w:val="0"/>
          <w:sz w:val="32"/>
          <w:szCs w:val="32"/>
          <w:lang w:val="en-US" w:eastAsia="zh-CN"/>
        </w:rPr>
        <w:t>1.政府一般债安排情况。</w:t>
      </w:r>
      <w:r>
        <w:rPr>
          <w:rFonts w:hint="default" w:ascii="Times New Roman" w:hAnsi="Times New Roman" w:eastAsia="仿宋_GB2312" w:cs="Times New Roman"/>
          <w:b w:val="0"/>
          <w:bCs w:val="0"/>
          <w:kern w:val="0"/>
          <w:sz w:val="32"/>
          <w:szCs w:val="32"/>
          <w:lang w:val="en-US" w:eastAsia="zh-CN"/>
        </w:rPr>
        <w:t>今年，省财政分批下达我县政府一般债券资金6.39亿元，安排情况为：一是一般债券资金3.7亿元，安排至涓水河流治理及恢复重建工程、置换隐债支出等项目。二是地方政府再融资债券资金收入2.69亿元，安排地方政府一般债券还本支出。</w:t>
      </w:r>
    </w:p>
    <w:p w14:paraId="14E53742">
      <w:pPr>
        <w:keepNext w:val="0"/>
        <w:keepLines w:val="0"/>
        <w:pageBreakBefore w:val="0"/>
        <w:widowControl w:val="0"/>
        <w:kinsoku/>
        <w:wordWrap/>
        <w:overflowPunct/>
        <w:topLinePunct w:val="0"/>
        <w:autoSpaceDE/>
        <w:autoSpaceDN/>
        <w:bidi w:val="0"/>
        <w:spacing w:line="560" w:lineRule="exact"/>
        <w:ind w:leftChars="0" w:firstLine="643" w:firstLineChars="200"/>
        <w:jc w:val="both"/>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楷体_GB2312" w:cs="Times New Roman"/>
          <w:b/>
          <w:bCs/>
          <w:kern w:val="0"/>
          <w:sz w:val="32"/>
          <w:szCs w:val="32"/>
          <w:lang w:val="en-US" w:eastAsia="zh-CN"/>
        </w:rPr>
        <w:t>2.政府专项债安排情况。</w:t>
      </w:r>
      <w:r>
        <w:rPr>
          <w:rFonts w:hint="default" w:ascii="Times New Roman" w:hAnsi="Times New Roman" w:eastAsia="仿宋_GB2312" w:cs="Times New Roman"/>
          <w:b w:val="0"/>
          <w:bCs w:val="0"/>
          <w:kern w:val="0"/>
          <w:sz w:val="32"/>
          <w:szCs w:val="32"/>
          <w:lang w:val="en-US" w:eastAsia="zh-CN"/>
        </w:rPr>
        <w:t>今年，省财政分批下达我县政府专项债券资金53.82亿元，安排情况为：一是专项债券资金16.62亿元，安排置换债、偿还拖欠企业账款、湘潭县林业资源开发、第二批土储债等项目，二是置换债券资金37.2亿元，按照落实党中央国务院和省委省政府防范化解债务风险决策部署要求安排支出。</w:t>
      </w:r>
    </w:p>
    <w:p w14:paraId="0875FDA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Chars="0" w:right="0" w:firstLine="640" w:firstLineChars="200"/>
        <w:jc w:val="both"/>
        <w:textAlignment w:val="auto"/>
        <w:rPr>
          <w:rFonts w:hint="default" w:ascii="Times New Roman" w:eastAsia="仿宋" w:cs="Times New Roman"/>
          <w:spacing w:val="0"/>
          <w:kern w:val="2"/>
          <w:sz w:val="32"/>
          <w:szCs w:val="32"/>
          <w:lang w:val="en-US" w:eastAsia="zh-CN" w:bidi="ar-SA"/>
        </w:rPr>
      </w:pPr>
      <w:bookmarkStart w:id="0" w:name="_GoBack"/>
      <w:bookmarkEnd w:id="0"/>
      <w:r>
        <w:rPr>
          <w:rFonts w:hint="default" w:ascii="Times New Roman" w:hAnsi="Times New Roman" w:eastAsia="仿宋_GB2312" w:cs="Times New Roman"/>
          <w:spacing w:val="0"/>
          <w:kern w:val="2"/>
          <w:sz w:val="32"/>
          <w:szCs w:val="32"/>
          <w:lang w:val="en-US" w:eastAsia="zh-CN" w:bidi="ar-SA"/>
        </w:rPr>
        <w:t>以上调整方案（草案），请予审查和批准。</w:t>
      </w:r>
    </w:p>
    <w:sectPr>
      <w:footerReference r:id="rId3" w:type="default"/>
      <w:pgSz w:w="11906" w:h="16838"/>
      <w:pgMar w:top="1701" w:right="1531" w:bottom="1701" w:left="1531" w:header="851" w:footer="1247"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_GB2312">
    <w:altName w:val="C059"/>
    <w:panose1 w:val="00000000000000000000"/>
    <w:charset w:val="00"/>
    <w:family w:val="auto"/>
    <w:pitch w:val="default"/>
    <w:sig w:usb0="00000000" w:usb1="00000000" w:usb2="00000000" w:usb3="00000000" w:csb0="00000001" w:csb1="00000000"/>
  </w:font>
  <w:font w:name="C059">
    <w:panose1 w:val="00000500000000000000"/>
    <w:charset w:val="00"/>
    <w:family w:val="auto"/>
    <w:pitch w:val="default"/>
    <w:sig w:usb0="00000287" w:usb1="00000800" w:usb2="00000000" w:usb3="00000000" w:csb0="6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F925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BB9BF8">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3BB9BF8">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jMzZjMmMyMzNmM2NhY2QxODg1NTgwMDMyYjI5MWEifQ=="/>
  </w:docVars>
  <w:rsids>
    <w:rsidRoot w:val="00000000"/>
    <w:rsid w:val="00BD3833"/>
    <w:rsid w:val="015F48F7"/>
    <w:rsid w:val="01E344C5"/>
    <w:rsid w:val="02191F1E"/>
    <w:rsid w:val="03685798"/>
    <w:rsid w:val="04063812"/>
    <w:rsid w:val="0434213F"/>
    <w:rsid w:val="04517BDE"/>
    <w:rsid w:val="04BE3343"/>
    <w:rsid w:val="058174B1"/>
    <w:rsid w:val="062B53DE"/>
    <w:rsid w:val="06380287"/>
    <w:rsid w:val="06390CC0"/>
    <w:rsid w:val="069C5CE8"/>
    <w:rsid w:val="069C71DE"/>
    <w:rsid w:val="06FC60CF"/>
    <w:rsid w:val="073F2C46"/>
    <w:rsid w:val="08387E2F"/>
    <w:rsid w:val="09815806"/>
    <w:rsid w:val="0AC66E9D"/>
    <w:rsid w:val="0AF1506E"/>
    <w:rsid w:val="0B3E090A"/>
    <w:rsid w:val="0B452AAA"/>
    <w:rsid w:val="0BB553ED"/>
    <w:rsid w:val="0C117846"/>
    <w:rsid w:val="0C41302A"/>
    <w:rsid w:val="0C776A4C"/>
    <w:rsid w:val="0CE63A63"/>
    <w:rsid w:val="0D3355A3"/>
    <w:rsid w:val="0DF04F6A"/>
    <w:rsid w:val="0F80409B"/>
    <w:rsid w:val="107F12E0"/>
    <w:rsid w:val="10CF2E05"/>
    <w:rsid w:val="12584A94"/>
    <w:rsid w:val="12C3339A"/>
    <w:rsid w:val="12E635E8"/>
    <w:rsid w:val="138819D2"/>
    <w:rsid w:val="13AB0552"/>
    <w:rsid w:val="13E675EB"/>
    <w:rsid w:val="15C85962"/>
    <w:rsid w:val="15EE7238"/>
    <w:rsid w:val="1633267B"/>
    <w:rsid w:val="163A2FC4"/>
    <w:rsid w:val="169C3C7F"/>
    <w:rsid w:val="1784018B"/>
    <w:rsid w:val="18404D10"/>
    <w:rsid w:val="190F1715"/>
    <w:rsid w:val="1A48497D"/>
    <w:rsid w:val="1A6E5932"/>
    <w:rsid w:val="1AD304E3"/>
    <w:rsid w:val="1ADA48AD"/>
    <w:rsid w:val="1BE12BEB"/>
    <w:rsid w:val="1C5D05B1"/>
    <w:rsid w:val="1C71216C"/>
    <w:rsid w:val="1E635082"/>
    <w:rsid w:val="1F4E2130"/>
    <w:rsid w:val="1F5D7D23"/>
    <w:rsid w:val="1F8333C4"/>
    <w:rsid w:val="211C5458"/>
    <w:rsid w:val="219A5755"/>
    <w:rsid w:val="222E49DD"/>
    <w:rsid w:val="223E208E"/>
    <w:rsid w:val="23614286"/>
    <w:rsid w:val="246F49A3"/>
    <w:rsid w:val="247C4CF7"/>
    <w:rsid w:val="24DF230C"/>
    <w:rsid w:val="25A246E2"/>
    <w:rsid w:val="27054871"/>
    <w:rsid w:val="276F4994"/>
    <w:rsid w:val="27F07987"/>
    <w:rsid w:val="28671352"/>
    <w:rsid w:val="293D2253"/>
    <w:rsid w:val="29BF1D06"/>
    <w:rsid w:val="2A5C32A7"/>
    <w:rsid w:val="2ABB5311"/>
    <w:rsid w:val="2B3932B0"/>
    <w:rsid w:val="2BDD0222"/>
    <w:rsid w:val="2BF61125"/>
    <w:rsid w:val="2C1A3224"/>
    <w:rsid w:val="2CC30F49"/>
    <w:rsid w:val="2D165225"/>
    <w:rsid w:val="2D2E4DF3"/>
    <w:rsid w:val="2D39592C"/>
    <w:rsid w:val="2D6020CE"/>
    <w:rsid w:val="2DD24E40"/>
    <w:rsid w:val="2DF6413D"/>
    <w:rsid w:val="2E864BA1"/>
    <w:rsid w:val="301058A1"/>
    <w:rsid w:val="30A92DC8"/>
    <w:rsid w:val="31041B6D"/>
    <w:rsid w:val="31F63001"/>
    <w:rsid w:val="32C04B0D"/>
    <w:rsid w:val="332C44A7"/>
    <w:rsid w:val="34CC1E87"/>
    <w:rsid w:val="363B4999"/>
    <w:rsid w:val="38BC4E10"/>
    <w:rsid w:val="390E112A"/>
    <w:rsid w:val="3C125CC6"/>
    <w:rsid w:val="3C98393C"/>
    <w:rsid w:val="3C9E57AB"/>
    <w:rsid w:val="3E3953C1"/>
    <w:rsid w:val="3F9D659B"/>
    <w:rsid w:val="419C4601"/>
    <w:rsid w:val="41B91226"/>
    <w:rsid w:val="450936F1"/>
    <w:rsid w:val="4581160C"/>
    <w:rsid w:val="469869B9"/>
    <w:rsid w:val="475F3D89"/>
    <w:rsid w:val="48086251"/>
    <w:rsid w:val="483E124D"/>
    <w:rsid w:val="48B7031D"/>
    <w:rsid w:val="48EB1D78"/>
    <w:rsid w:val="4946690E"/>
    <w:rsid w:val="497C78B9"/>
    <w:rsid w:val="4A03390B"/>
    <w:rsid w:val="4A904BD7"/>
    <w:rsid w:val="4AAF5D75"/>
    <w:rsid w:val="4B1B5098"/>
    <w:rsid w:val="4B3E5B94"/>
    <w:rsid w:val="4C9B147E"/>
    <w:rsid w:val="4D545D96"/>
    <w:rsid w:val="4EA5205B"/>
    <w:rsid w:val="4EBD158F"/>
    <w:rsid w:val="4FFB4F65"/>
    <w:rsid w:val="51937451"/>
    <w:rsid w:val="51E21E0C"/>
    <w:rsid w:val="5212396B"/>
    <w:rsid w:val="52A07FC1"/>
    <w:rsid w:val="5350437F"/>
    <w:rsid w:val="541E7226"/>
    <w:rsid w:val="54526CF2"/>
    <w:rsid w:val="54D61DED"/>
    <w:rsid w:val="550F5041"/>
    <w:rsid w:val="55742B36"/>
    <w:rsid w:val="55BB2C4E"/>
    <w:rsid w:val="56B462D1"/>
    <w:rsid w:val="56DC0A3B"/>
    <w:rsid w:val="57131A40"/>
    <w:rsid w:val="57167C83"/>
    <w:rsid w:val="574029B1"/>
    <w:rsid w:val="58314886"/>
    <w:rsid w:val="585505DE"/>
    <w:rsid w:val="599B3827"/>
    <w:rsid w:val="59C66DAD"/>
    <w:rsid w:val="5A686C10"/>
    <w:rsid w:val="5A8C1899"/>
    <w:rsid w:val="5ABD1A36"/>
    <w:rsid w:val="5C277198"/>
    <w:rsid w:val="5C983FBC"/>
    <w:rsid w:val="5CFD7E74"/>
    <w:rsid w:val="5DA34512"/>
    <w:rsid w:val="5FFB4A1B"/>
    <w:rsid w:val="6039494F"/>
    <w:rsid w:val="60600E46"/>
    <w:rsid w:val="6091234D"/>
    <w:rsid w:val="61141E94"/>
    <w:rsid w:val="613F1A6F"/>
    <w:rsid w:val="622B4FFD"/>
    <w:rsid w:val="62EC30D4"/>
    <w:rsid w:val="63073C66"/>
    <w:rsid w:val="633515D4"/>
    <w:rsid w:val="63360827"/>
    <w:rsid w:val="648A3FF2"/>
    <w:rsid w:val="64BB2B8D"/>
    <w:rsid w:val="66A331CA"/>
    <w:rsid w:val="66DA7917"/>
    <w:rsid w:val="66DC53F8"/>
    <w:rsid w:val="676452E9"/>
    <w:rsid w:val="678A3170"/>
    <w:rsid w:val="68297D70"/>
    <w:rsid w:val="686A2219"/>
    <w:rsid w:val="689A6AB9"/>
    <w:rsid w:val="6903556D"/>
    <w:rsid w:val="6D073B6B"/>
    <w:rsid w:val="6D45438A"/>
    <w:rsid w:val="6E18361A"/>
    <w:rsid w:val="6E8D3E7D"/>
    <w:rsid w:val="70C20D61"/>
    <w:rsid w:val="712F64F3"/>
    <w:rsid w:val="716B2775"/>
    <w:rsid w:val="71A555D9"/>
    <w:rsid w:val="723C2892"/>
    <w:rsid w:val="72862D3C"/>
    <w:rsid w:val="73344698"/>
    <w:rsid w:val="73605B81"/>
    <w:rsid w:val="73DF3CB6"/>
    <w:rsid w:val="74B4427E"/>
    <w:rsid w:val="74E4399C"/>
    <w:rsid w:val="75AB27BD"/>
    <w:rsid w:val="76E13D18"/>
    <w:rsid w:val="771826B8"/>
    <w:rsid w:val="789606B1"/>
    <w:rsid w:val="7A0643B5"/>
    <w:rsid w:val="7AC965B7"/>
    <w:rsid w:val="7B015299"/>
    <w:rsid w:val="7B3A0C41"/>
    <w:rsid w:val="7C6A42D2"/>
    <w:rsid w:val="7D1E178C"/>
    <w:rsid w:val="7D60025D"/>
    <w:rsid w:val="7DEA1D90"/>
    <w:rsid w:val="9DFE4FEA"/>
    <w:rsid w:val="DFF2C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34"/>
    <w:pPr>
      <w:ind w:firstLine="420" w:firstLineChars="200"/>
    </w:pPr>
  </w:style>
  <w:style w:type="paragraph" w:styleId="3">
    <w:name w:val="Normal Indent"/>
    <w:basedOn w:val="1"/>
    <w:unhideWhenUsed/>
    <w:qFormat/>
    <w:uiPriority w:val="99"/>
    <w:pPr>
      <w:widowControl w:val="0"/>
      <w:ind w:firstLine="420" w:firstLineChars="200"/>
      <w:textAlignment w:val="auto"/>
    </w:pPr>
    <w:rPr>
      <w:rFonts w:ascii="Calibri" w:hAnsi="Calibri" w:eastAsia="宋体" w:cs="Times New Roman"/>
    </w:rPr>
  </w:style>
  <w:style w:type="paragraph" w:styleId="4">
    <w:name w:val="footer"/>
    <w:basedOn w:val="1"/>
    <w:next w:val="5"/>
    <w:qFormat/>
    <w:uiPriority w:val="99"/>
    <w:pPr>
      <w:tabs>
        <w:tab w:val="center" w:pos="4153"/>
        <w:tab w:val="right" w:pos="8306"/>
      </w:tabs>
      <w:snapToGrid w:val="0"/>
      <w:jc w:val="left"/>
    </w:pPr>
    <w:rPr>
      <w:sz w:val="18"/>
    </w:rPr>
  </w:style>
  <w:style w:type="paragraph" w:customStyle="1" w:styleId="5">
    <w:name w:val="UserStyle_2"/>
    <w:basedOn w:val="1"/>
    <w:next w:val="1"/>
    <w:qFormat/>
    <w:uiPriority w:val="0"/>
    <w:pPr>
      <w:ind w:left="1680"/>
    </w:pPr>
    <w:rPr>
      <w:rFonts w:ascii="Calibri" w:hAnsi="Calibri"/>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1.正文"/>
    <w:basedOn w:val="1"/>
    <w:qFormat/>
    <w:uiPriority w:val="0"/>
    <w:rPr>
      <w:rFonts w:ascii="??_GB2312" w:hAnsi="Times New Roman" w:cs="??_GB2312"/>
    </w:rPr>
  </w:style>
  <w:style w:type="paragraph" w:styleId="12">
    <w:name w:val="List Paragraph"/>
    <w:basedOn w:val="1"/>
    <w:unhideWhenUsed/>
    <w:qFormat/>
    <w:uiPriority w:val="99"/>
    <w:pPr>
      <w:ind w:firstLine="420" w:firstLineChars="200"/>
    </w:pPr>
  </w:style>
  <w:style w:type="paragraph" w:customStyle="1" w:styleId="13">
    <w:name w:val="公文一级标题"/>
    <w:basedOn w:val="14"/>
    <w:qFormat/>
    <w:uiPriority w:val="0"/>
    <w:pPr>
      <w:spacing w:line="579" w:lineRule="exact"/>
      <w:ind w:firstLine="843" w:firstLineChars="200"/>
    </w:pPr>
    <w:rPr>
      <w:rFonts w:ascii="Calibri" w:hAnsi="Calibri" w:eastAsia="黑体" w:cs="Times New Roman"/>
      <w:sz w:val="32"/>
      <w:szCs w:val="22"/>
    </w:rPr>
  </w:style>
  <w:style w:type="paragraph" w:customStyle="1" w:styleId="14">
    <w:name w:val="公文正文"/>
    <w:basedOn w:val="1"/>
    <w:qFormat/>
    <w:uiPriority w:val="0"/>
    <w:pPr>
      <w:adjustRightInd w:val="0"/>
      <w:snapToGrid w:val="0"/>
      <w:spacing w:line="579" w:lineRule="exact"/>
      <w:ind w:firstLine="720" w:firstLineChars="200"/>
    </w:pPr>
    <w:rPr>
      <w:rFonts w:ascii="Calibri" w:hAnsi="Calibri" w:eastAsia="仿宋_GB2312" w:cs="Times New Roman"/>
      <w:sz w:val="32"/>
    </w:rPr>
  </w:style>
  <w:style w:type="paragraph" w:customStyle="1" w:styleId="15">
    <w:name w:val="公文二级标题"/>
    <w:basedOn w:val="1"/>
    <w:qFormat/>
    <w:uiPriority w:val="0"/>
    <w:pPr>
      <w:spacing w:line="579" w:lineRule="exact"/>
      <w:ind w:firstLine="843" w:firstLineChars="200"/>
    </w:pPr>
    <w:rPr>
      <w:rFonts w:eastAsia="楷体_GB2312"/>
      <w:b/>
    </w:rPr>
  </w:style>
  <w:style w:type="paragraph" w:customStyle="1" w:styleId="16">
    <w:name w:val="公文标题"/>
    <w:basedOn w:val="1"/>
    <w:qFormat/>
    <w:uiPriority w:val="0"/>
    <w:rPr>
      <w:rFonts w:hint="eastAsia" w:eastAsia="方正小标宋简体"/>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2048</Words>
  <Characters>2318</Characters>
  <Lines>0</Lines>
  <Paragraphs>0</Paragraphs>
  <TotalTime>55</TotalTime>
  <ScaleCrop>false</ScaleCrop>
  <LinksUpToDate>false</LinksUpToDate>
  <CharactersWithSpaces>2322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2022-09-13T23:07:00Z</dcterms:created>
  <dc:creator>Administrator</dc:creator>
  <cp:lastModifiedBy>慕下大魔王</cp:lastModifiedBy>
  <cp:lastPrinted>2025-12-08T00:17:00Z</cp:lastPrinted>
  <dcterms:modified xsi:type="dcterms:W3CDTF">2025-12-31T09:18:48Z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8D52968F878B6C239FDB4D69855BC75F_43</vt:lpwstr>
  </property>
  <property fmtid="{D5CDD505-2E9C-101B-9397-08002B2CF9AE}" pid="4" name="KSOTemplateDocerSaveRecord">
    <vt:lpwstr>eyJoZGlkIjoiZTAxOWVlOGY5OTA2YzAzYzBjYmQ0NTZlNGZhMDhkZjAiLCJ1c2VySWQiOiIyOTAyODc4NDkifQ==</vt:lpwstr>
  </property>
</Properties>
</file>