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12AAC1">
      <w:pPr>
        <w:keepNext w:val="0"/>
        <w:keepLines w:val="0"/>
        <w:pageBreakBefore w:val="0"/>
        <w:widowControl w:val="0"/>
        <w:shd w:val="clear" w:color="auto" w:fill="auto"/>
        <w:tabs>
          <w:tab w:val="left" w:pos="1703"/>
        </w:tabs>
        <w:kinsoku/>
        <w:wordWrap/>
        <w:overflowPunct/>
        <w:topLinePunct w:val="0"/>
        <w:autoSpaceDE/>
        <w:autoSpaceDN/>
        <w:bidi w:val="0"/>
        <w:adjustRightInd/>
        <w:snapToGrid/>
        <w:spacing w:before="0" w:after="0" w:line="1240" w:lineRule="exact"/>
        <w:ind w:left="0" w:right="0" w:firstLine="0" w:firstLineChars="0"/>
        <w:jc w:val="both"/>
        <w:textAlignment w:val="auto"/>
        <w:rPr>
          <w:rFonts w:hint="eastAsia" w:ascii="仿宋_GB2312" w:hAnsi="仿宋_GB2312" w:eastAsia="仿宋_GB2312" w:cs="Times New Roman"/>
          <w:b w:val="0"/>
          <w:bCs/>
          <w:color w:val="000000"/>
          <w:spacing w:val="0"/>
          <w:w w:val="200"/>
          <w:kern w:val="1"/>
          <w:position w:val="0"/>
          <w:sz w:val="44"/>
          <w:szCs w:val="44"/>
          <w:shd w:val="clear" w:color="auto" w:fill="auto"/>
          <w:lang w:eastAsia="zh-CN" w:bidi="ar-SA"/>
        </w:rPr>
      </w:pPr>
    </w:p>
    <w:p w14:paraId="6BB04D73">
      <w:pPr>
        <w:keepNext w:val="0"/>
        <w:keepLines w:val="0"/>
        <w:pageBreakBefore w:val="0"/>
        <w:widowControl w:val="0"/>
        <w:shd w:val="clear" w:color="auto" w:fill="auto"/>
        <w:kinsoku/>
        <w:wordWrap/>
        <w:overflowPunct/>
        <w:topLinePunct w:val="0"/>
        <w:autoSpaceDE w:val="0"/>
        <w:autoSpaceDN w:val="0"/>
        <w:bidi w:val="0"/>
        <w:adjustRightInd w:val="0"/>
        <w:snapToGrid w:val="0"/>
        <w:spacing w:before="0" w:after="0" w:line="340" w:lineRule="exact"/>
        <w:ind w:left="0" w:right="0" w:firstLine="0" w:firstLineChars="0"/>
        <w:jc w:val="both"/>
        <w:textAlignment w:val="auto"/>
        <w:rPr>
          <w:rFonts w:ascii="宋体" w:hAnsi="宋体" w:eastAsia="宋体" w:cs="宋体"/>
          <w:color w:val="000000"/>
          <w:spacing w:val="0"/>
          <w:w w:val="100"/>
          <w:kern w:val="2"/>
          <w:position w:val="0"/>
          <w:sz w:val="24"/>
          <w:szCs w:val="24"/>
          <w:shd w:val="clear" w:color="auto" w:fill="auto"/>
          <w:lang w:val="en-US" w:eastAsia="zh-CN" w:bidi="ar-SA"/>
        </w:rPr>
      </w:pPr>
    </w:p>
    <w:p w14:paraId="2489A2A7">
      <w:pPr>
        <w:keepNext w:val="0"/>
        <w:keepLines w:val="0"/>
        <w:widowControl w:val="0"/>
        <w:shd w:val="clear" w:color="auto" w:fill="auto"/>
        <w:bidi w:val="0"/>
        <w:spacing w:before="0" w:after="468" w:afterLines="150" w:line="500" w:lineRule="exact"/>
        <w:ind w:left="0" w:right="0" w:firstLine="0" w:firstLineChars="0"/>
        <w:jc w:val="center"/>
        <w:rPr>
          <w:rFonts w:ascii="仿宋" w:hAnsi="仿宋" w:eastAsia="仿宋" w:cs="仿宋"/>
          <w:color w:val="000000"/>
          <w:spacing w:val="0"/>
          <w:w w:val="100"/>
          <w:kern w:val="1"/>
          <w:position w:val="0"/>
          <w:sz w:val="32"/>
          <w:szCs w:val="32"/>
          <w:shd w:val="clear" w:color="auto" w:fill="auto"/>
          <w:lang w:eastAsia="zh-CN" w:bidi="ar-SA"/>
        </w:rPr>
      </w:pPr>
      <w:r>
        <w:rPr>
          <w:rFonts w:ascii="仿宋_GB2312" w:hAnsi="仿宋_GB2312" w:eastAsia="仿宋_GB2312" w:cs="Times New Roman"/>
          <w:b/>
          <w:color w:val="000000"/>
          <w:spacing w:val="0"/>
          <w:w w:val="100"/>
          <w:kern w:val="1"/>
          <w:position w:val="0"/>
          <w:sz w:val="44"/>
          <w:szCs w:val="44"/>
          <w:shd w:val="clear" w:color="auto" w:fill="auto"/>
          <w:lang w:eastAsia="zh-CN" w:bidi="ar-SA"/>
        </w:rPr>
        <w:t xml:space="preserve">                  </w:t>
      </w:r>
      <w:r>
        <w:rPr>
          <w:rFonts w:hint="eastAsia" w:ascii="仿宋_GB2312" w:hAnsi="仿宋_GB2312" w:eastAsia="仿宋_GB2312" w:cs="Times New Roman"/>
          <w:b/>
          <w:color w:val="000000"/>
          <w:spacing w:val="0"/>
          <w:w w:val="100"/>
          <w:kern w:val="1"/>
          <w:position w:val="0"/>
          <w:sz w:val="44"/>
          <w:szCs w:val="44"/>
          <w:shd w:val="clear" w:color="auto" w:fill="auto"/>
          <w:lang w:eastAsia="zh-CN" w:bidi="ar-SA"/>
        </w:rPr>
        <w:t xml:space="preserve"> </w:t>
      </w:r>
      <w:r>
        <w:rPr>
          <w:rFonts w:ascii="仿宋" w:hAnsi="仿宋" w:eastAsia="仿宋" w:cs="仿宋"/>
          <w:color w:val="000000"/>
          <w:spacing w:val="0"/>
          <w:w w:val="100"/>
          <w:kern w:val="1"/>
          <w:position w:val="0"/>
          <w:sz w:val="32"/>
          <w:szCs w:val="32"/>
          <w:shd w:val="clear" w:color="auto" w:fill="auto"/>
          <w:lang w:eastAsia="zh-CN" w:bidi="ar-SA"/>
        </w:rPr>
        <w:t>潭环审</w:t>
      </w:r>
      <w:r>
        <w:rPr>
          <w:rFonts w:hint="eastAsia" w:ascii="仿宋" w:hAnsi="仿宋" w:eastAsia="仿宋" w:cs="仿宋"/>
          <w:color w:val="000000"/>
          <w:spacing w:val="0"/>
          <w:w w:val="100"/>
          <w:kern w:val="1"/>
          <w:position w:val="0"/>
          <w:sz w:val="32"/>
          <w:szCs w:val="32"/>
          <w:shd w:val="clear" w:color="auto" w:fill="auto"/>
          <w:lang w:eastAsia="zh-CN" w:bidi="ar-SA"/>
        </w:rPr>
        <w:t>(湘潭县)</w:t>
      </w:r>
      <w:r>
        <w:rPr>
          <w:rFonts w:hint="eastAsia" w:ascii="仿宋" w:hAnsi="仿宋" w:eastAsia="仿宋" w:cs="宋体"/>
          <w:color w:val="000000"/>
          <w:spacing w:val="0"/>
          <w:w w:val="100"/>
          <w:kern w:val="2"/>
          <w:position w:val="0"/>
          <w:sz w:val="32"/>
          <w:szCs w:val="32"/>
          <w:shd w:val="clear" w:color="auto" w:fill="auto"/>
          <w:lang w:eastAsia="zh-CN" w:bidi="ar-SA"/>
        </w:rPr>
        <w:t>〔</w:t>
      </w:r>
      <w:r>
        <w:rPr>
          <w:rFonts w:ascii="仿宋" w:hAnsi="仿宋" w:eastAsia="仿宋" w:cs="宋体"/>
          <w:color w:val="000000"/>
          <w:spacing w:val="0"/>
          <w:w w:val="100"/>
          <w:kern w:val="2"/>
          <w:position w:val="0"/>
          <w:sz w:val="32"/>
          <w:szCs w:val="32"/>
          <w:shd w:val="clear" w:color="auto" w:fill="auto"/>
          <w:lang w:eastAsia="zh-CN" w:bidi="ar-SA"/>
        </w:rPr>
        <w:t>20</w:t>
      </w:r>
      <w:r>
        <w:rPr>
          <w:rFonts w:hint="eastAsia" w:ascii="仿宋" w:hAnsi="仿宋" w:eastAsia="仿宋" w:cs="宋体"/>
          <w:color w:val="000000"/>
          <w:spacing w:val="0"/>
          <w:w w:val="100"/>
          <w:kern w:val="2"/>
          <w:position w:val="0"/>
          <w:sz w:val="32"/>
          <w:szCs w:val="32"/>
          <w:shd w:val="clear" w:color="auto" w:fill="auto"/>
          <w:lang w:eastAsia="zh-CN" w:bidi="ar-SA"/>
        </w:rPr>
        <w:t>2</w:t>
      </w:r>
      <w:r>
        <w:rPr>
          <w:rFonts w:hint="eastAsia" w:ascii="仿宋" w:hAnsi="仿宋" w:eastAsia="仿宋" w:cs="宋体"/>
          <w:color w:val="000000"/>
          <w:spacing w:val="0"/>
          <w:w w:val="100"/>
          <w:kern w:val="2"/>
          <w:position w:val="0"/>
          <w:sz w:val="32"/>
          <w:szCs w:val="32"/>
          <w:shd w:val="clear" w:color="auto" w:fill="auto"/>
          <w:lang w:val="en-US" w:eastAsia="zh-CN" w:bidi="ar-SA"/>
        </w:rPr>
        <w:t>5</w:t>
      </w:r>
      <w:r>
        <w:rPr>
          <w:rFonts w:hint="eastAsia" w:ascii="仿宋" w:hAnsi="仿宋" w:eastAsia="仿宋" w:cs="宋体"/>
          <w:color w:val="000000"/>
          <w:spacing w:val="0"/>
          <w:w w:val="100"/>
          <w:kern w:val="2"/>
          <w:position w:val="0"/>
          <w:sz w:val="32"/>
          <w:szCs w:val="32"/>
          <w:shd w:val="clear" w:color="auto" w:fill="auto"/>
          <w:lang w:eastAsia="zh-CN" w:bidi="ar-SA"/>
        </w:rPr>
        <w:t>〕</w:t>
      </w:r>
      <w:r>
        <w:rPr>
          <w:rFonts w:hint="eastAsia" w:ascii="仿宋" w:hAnsi="仿宋" w:eastAsia="仿宋" w:cs="宋体"/>
          <w:color w:val="000000"/>
          <w:spacing w:val="0"/>
          <w:w w:val="100"/>
          <w:kern w:val="2"/>
          <w:position w:val="0"/>
          <w:sz w:val="32"/>
          <w:szCs w:val="32"/>
          <w:shd w:val="clear" w:color="auto" w:fill="auto"/>
          <w:lang w:val="en-US" w:eastAsia="zh-CN" w:bidi="ar-SA"/>
        </w:rPr>
        <w:t>40</w:t>
      </w:r>
      <w:r>
        <w:rPr>
          <w:rFonts w:ascii="仿宋" w:hAnsi="仿宋" w:eastAsia="仿宋" w:cs="仿宋"/>
          <w:color w:val="000000"/>
          <w:spacing w:val="0"/>
          <w:w w:val="100"/>
          <w:kern w:val="1"/>
          <w:position w:val="0"/>
          <w:sz w:val="32"/>
          <w:szCs w:val="32"/>
          <w:shd w:val="clear" w:color="auto" w:fill="auto"/>
          <w:lang w:eastAsia="zh-CN" w:bidi="ar-SA"/>
        </w:rPr>
        <w:t xml:space="preserve">号 </w:t>
      </w:r>
    </w:p>
    <w:p w14:paraId="1AE4CED1">
      <w:pPr>
        <w:spacing w:line="520" w:lineRule="exact"/>
        <w:rPr>
          <w:rFonts w:hint="eastAsia" w:asciiTheme="majorEastAsia" w:hAnsiTheme="majorEastAsia" w:eastAsiaTheme="majorEastAsia" w:cstheme="majorEastAsia"/>
          <w:sz w:val="28"/>
          <w:szCs w:val="28"/>
        </w:rPr>
      </w:pPr>
    </w:p>
    <w:p w14:paraId="406F19F5">
      <w:pPr>
        <w:spacing w:line="54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关于《湖南东河材料科技有限公司年产2500吨药芯焊丝项目环境影响报告表》的审批意见</w:t>
      </w:r>
    </w:p>
    <w:p w14:paraId="5220340C">
      <w:pPr>
        <w:spacing w:line="540" w:lineRule="exact"/>
        <w:rPr>
          <w:rFonts w:ascii="仿宋" w:hAnsi="仿宋" w:eastAsia="仿宋" w:cs="仿宋"/>
          <w:color w:val="FF0000"/>
          <w:sz w:val="32"/>
          <w:szCs w:val="32"/>
        </w:rPr>
      </w:pPr>
      <w:r>
        <w:rPr>
          <w:rFonts w:hint="eastAsia" w:ascii="仿宋" w:hAnsi="仿宋" w:eastAsia="仿宋" w:cs="仿宋"/>
          <w:color w:val="FF0000"/>
          <w:sz w:val="32"/>
          <w:szCs w:val="32"/>
        </w:rPr>
        <w:t xml:space="preserve"> </w:t>
      </w:r>
    </w:p>
    <w:p w14:paraId="2D363EBA">
      <w:pPr>
        <w:spacing w:line="480" w:lineRule="exact"/>
        <w:rPr>
          <w:rFonts w:ascii="仿宋" w:hAnsi="仿宋" w:eastAsia="仿宋" w:cs="仿宋"/>
          <w:color w:val="000000" w:themeColor="text1"/>
          <w:sz w:val="32"/>
          <w:szCs w:val="32"/>
          <w14:textFill>
            <w14:solidFill>
              <w14:schemeClr w14:val="tx1"/>
            </w14:solidFill>
          </w14:textFill>
        </w:rPr>
      </w:pPr>
      <w:bookmarkStart w:id="0" w:name="OLE_LINK1"/>
      <w:bookmarkStart w:id="1" w:name="OLE_LINK5"/>
      <w:r>
        <w:rPr>
          <w:rFonts w:hint="eastAsia" w:ascii="仿宋" w:hAnsi="仿宋" w:eastAsia="仿宋" w:cs="仿宋"/>
          <w:color w:val="000000" w:themeColor="text1"/>
          <w:sz w:val="32"/>
          <w:szCs w:val="32"/>
          <w14:textFill>
            <w14:solidFill>
              <w14:schemeClr w14:val="tx1"/>
            </w14:solidFill>
          </w14:textFill>
        </w:rPr>
        <w:t>湖南东河材料科技有限公司</w:t>
      </w:r>
      <w:bookmarkEnd w:id="0"/>
      <w:bookmarkEnd w:id="1"/>
      <w:r>
        <w:rPr>
          <w:rFonts w:hint="eastAsia" w:ascii="仿宋" w:hAnsi="仿宋" w:eastAsia="仿宋" w:cs="仿宋"/>
          <w:color w:val="000000" w:themeColor="text1"/>
          <w:sz w:val="32"/>
          <w:szCs w:val="32"/>
          <w14:textFill>
            <w14:solidFill>
              <w14:schemeClr w14:val="tx1"/>
            </w14:solidFill>
          </w14:textFill>
        </w:rPr>
        <w:t>：</w:t>
      </w:r>
    </w:p>
    <w:p w14:paraId="2A025FA7">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你公司由湖南睿鼎建设服务有限公司编制的《湖南东河材料科技有限公司</w:t>
      </w:r>
      <w:bookmarkStart w:id="2" w:name="OLE_LINK6"/>
      <w:bookmarkStart w:id="3" w:name="OLE_LINK7"/>
      <w:r>
        <w:rPr>
          <w:rFonts w:hint="eastAsia" w:ascii="仿宋" w:hAnsi="仿宋" w:eastAsia="仿宋" w:cs="仿宋"/>
          <w:color w:val="000000" w:themeColor="text1"/>
          <w:sz w:val="32"/>
          <w:szCs w:val="32"/>
          <w14:textFill>
            <w14:solidFill>
              <w14:schemeClr w14:val="tx1"/>
            </w14:solidFill>
          </w14:textFill>
        </w:rPr>
        <w:t>年产2500吨药芯焊丝项目</w:t>
      </w:r>
      <w:bookmarkEnd w:id="2"/>
      <w:bookmarkEnd w:id="3"/>
      <w:r>
        <w:rPr>
          <w:rFonts w:hint="eastAsia" w:ascii="仿宋" w:hAnsi="仿宋" w:eastAsia="仿宋" w:cs="仿宋"/>
          <w:color w:val="000000" w:themeColor="text1"/>
          <w:sz w:val="32"/>
          <w:szCs w:val="32"/>
          <w14:textFill>
            <w14:solidFill>
              <w14:schemeClr w14:val="tx1"/>
            </w14:solidFill>
          </w14:textFill>
        </w:rPr>
        <w:t>环境影响报告表》（以下简称报告表）及相关材料已收悉。经研究，批复如下：</w:t>
      </w:r>
    </w:p>
    <w:p w14:paraId="4F6F25C7">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一、湖南东河材料科技有限公司拟投资1200万元，选址于湘潭天易经开区柏屹智能装备配件园6栋C</w:t>
      </w:r>
      <w:r>
        <w:rPr>
          <w:rFonts w:hint="eastAsia" w:ascii="仿宋" w:hAnsi="仿宋" w:eastAsia="仿宋" w:cs="仿宋"/>
          <w:color w:val="000000" w:themeColor="text1"/>
          <w:sz w:val="32"/>
          <w:szCs w:val="32"/>
          <w:vertAlign w:val="superscript"/>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已建标准厂房内，建设年产2500吨药芯焊丝项目。总占地面积为1514.87m</w:t>
      </w:r>
      <w:r>
        <w:rPr>
          <w:rFonts w:hint="eastAsia" w:ascii="仿宋" w:hAnsi="仿宋" w:eastAsia="仿宋" w:cs="仿宋"/>
          <w:color w:val="000000" w:themeColor="text1"/>
          <w:sz w:val="32"/>
          <w:szCs w:val="32"/>
          <w:vertAlign w:val="superscript"/>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，主要建设内容包括：生产车间、办公区、贮存区等配套环保工程。主要产品及规模为：药芯焊丝</w:t>
      </w:r>
      <w:bookmarkStart w:id="4" w:name="OLE_LINK2"/>
      <w:bookmarkStart w:id="5" w:name="OLE_LINK3"/>
      <w:r>
        <w:rPr>
          <w:rFonts w:hint="eastAsia" w:ascii="仿宋" w:hAnsi="仿宋" w:eastAsia="仿宋" w:cs="仿宋"/>
          <w:color w:val="000000" w:themeColor="text1"/>
          <w:sz w:val="32"/>
          <w:szCs w:val="32"/>
          <w14:textFill>
            <w14:solidFill>
              <w14:schemeClr w14:val="tx1"/>
            </w14:solidFill>
          </w14:textFill>
        </w:rPr>
        <w:t>2500t/a</w:t>
      </w:r>
      <w:bookmarkEnd w:id="4"/>
      <w:bookmarkEnd w:id="5"/>
      <w:r>
        <w:rPr>
          <w:rFonts w:hint="eastAsia" w:ascii="仿宋" w:hAnsi="仿宋" w:eastAsia="仿宋" w:cs="仿宋"/>
          <w:color w:val="000000" w:themeColor="text1"/>
          <w:sz w:val="32"/>
          <w:szCs w:val="32"/>
          <w14:textFill>
            <w14:solidFill>
              <w14:schemeClr w14:val="tx1"/>
            </w14:solidFill>
          </w14:textFill>
        </w:rPr>
        <w:t>。主要原辅材料及能源消耗包括：钢带</w:t>
      </w:r>
      <w:r>
        <w:rPr>
          <w:rFonts w:ascii="仿宋" w:hAnsi="仿宋" w:eastAsia="仿宋" w:cs="仿宋"/>
          <w:color w:val="000000" w:themeColor="text1"/>
          <w:sz w:val="32"/>
          <w:szCs w:val="32"/>
          <w14:textFill>
            <w14:solidFill>
              <w14:schemeClr w14:val="tx1"/>
            </w14:solidFill>
          </w14:textFill>
        </w:rPr>
        <w:t>1901.4</w:t>
      </w:r>
      <w:r>
        <w:rPr>
          <w:rFonts w:hint="eastAsia" w:ascii="仿宋" w:hAnsi="仿宋" w:eastAsia="仿宋" w:cs="仿宋"/>
          <w:color w:val="000000" w:themeColor="text1"/>
          <w:sz w:val="32"/>
          <w:szCs w:val="32"/>
          <w14:textFill>
            <w14:solidFill>
              <w14:schemeClr w14:val="tx1"/>
            </w14:solidFill>
          </w14:textFill>
        </w:rPr>
        <w:t>t/a、</w:t>
      </w:r>
      <w:bookmarkStart w:id="6" w:name="OLE_LINK9"/>
      <w:bookmarkStart w:id="7" w:name="OLE_LINK8"/>
      <w:r>
        <w:rPr>
          <w:rFonts w:hint="eastAsia" w:ascii="仿宋" w:hAnsi="仿宋" w:eastAsia="仿宋" w:cs="仿宋"/>
          <w:color w:val="000000" w:themeColor="text1"/>
          <w:sz w:val="32"/>
          <w:szCs w:val="32"/>
          <w14:textFill>
            <w14:solidFill>
              <w14:schemeClr w14:val="tx1"/>
            </w14:solidFill>
          </w14:textFill>
        </w:rPr>
        <w:t>镍粉20t/a、锰粉</w:t>
      </w:r>
      <w:bookmarkStart w:id="8" w:name="OLE_LINK22"/>
      <w:bookmarkStart w:id="9" w:name="OLE_LINK21"/>
      <w:bookmarkStart w:id="10" w:name="OLE_LINK15"/>
      <w:bookmarkStart w:id="11" w:name="OLE_LINK16"/>
      <w:r>
        <w:rPr>
          <w:rFonts w:hint="eastAsia" w:ascii="仿宋" w:hAnsi="仿宋" w:eastAsia="仿宋" w:cs="仿宋"/>
          <w:color w:val="000000" w:themeColor="text1"/>
          <w:sz w:val="32"/>
          <w:szCs w:val="32"/>
          <w14:textFill>
            <w14:solidFill>
              <w14:schemeClr w14:val="tx1"/>
            </w14:solidFill>
          </w14:textFill>
        </w:rPr>
        <w:t>20t/a</w:t>
      </w:r>
      <w:bookmarkEnd w:id="6"/>
      <w:bookmarkEnd w:id="7"/>
      <w:bookmarkEnd w:id="8"/>
      <w:bookmarkEnd w:id="9"/>
      <w:r>
        <w:rPr>
          <w:rFonts w:hint="eastAsia" w:ascii="仿宋" w:hAnsi="仿宋" w:eastAsia="仿宋" w:cs="仿宋"/>
          <w:color w:val="000000" w:themeColor="text1"/>
          <w:sz w:val="32"/>
          <w:szCs w:val="32"/>
          <w14:textFill>
            <w14:solidFill>
              <w14:schemeClr w14:val="tx1"/>
            </w14:solidFill>
          </w14:textFill>
        </w:rPr>
        <w:t>、</w:t>
      </w:r>
      <w:bookmarkEnd w:id="10"/>
      <w:bookmarkEnd w:id="11"/>
      <w:r>
        <w:rPr>
          <w:rFonts w:hint="eastAsia" w:ascii="仿宋" w:hAnsi="仿宋" w:eastAsia="仿宋" w:cs="仿宋"/>
          <w:color w:val="000000" w:themeColor="text1"/>
          <w:sz w:val="32"/>
          <w:szCs w:val="32"/>
          <w14:textFill>
            <w14:solidFill>
              <w14:schemeClr w14:val="tx1"/>
            </w14:solidFill>
          </w14:textFill>
        </w:rPr>
        <w:t>铬铁粉400t/a、锰铁粉20t/a、硅铁粉30t/a、萤石粉</w:t>
      </w:r>
      <w:r>
        <w:rPr>
          <w:rFonts w:ascii="仿宋" w:hAnsi="仿宋" w:eastAsia="仿宋" w:cs="仿宋"/>
          <w:color w:val="000000" w:themeColor="text1"/>
          <w:sz w:val="32"/>
          <w:szCs w:val="32"/>
          <w14:textFill>
            <w14:solidFill>
              <w14:schemeClr w14:val="tx1"/>
            </w14:solidFill>
          </w14:textFill>
        </w:rPr>
        <w:t>20t/a</w:t>
      </w:r>
      <w:r>
        <w:rPr>
          <w:rFonts w:hint="eastAsia" w:ascii="仿宋" w:hAnsi="仿宋" w:eastAsia="仿宋" w:cs="仿宋"/>
          <w:color w:val="000000" w:themeColor="text1"/>
          <w:sz w:val="32"/>
          <w:szCs w:val="32"/>
          <w14:textFill>
            <w14:solidFill>
              <w14:schemeClr w14:val="tx1"/>
            </w14:solidFill>
          </w14:textFill>
        </w:rPr>
        <w:t>、铁粉40t/a、石墨粉10t/a、包装桶6000个/a、水129.6m</w:t>
      </w:r>
      <w:r>
        <w:rPr>
          <w:rFonts w:hint="eastAsia" w:ascii="仿宋" w:hAnsi="仿宋" w:eastAsia="仿宋" w:cs="仿宋"/>
          <w:color w:val="000000" w:themeColor="text1"/>
          <w:sz w:val="32"/>
          <w:szCs w:val="32"/>
          <w:vertAlign w:val="superscript"/>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a、电3.2万kW.h等。主要生产设备包括：钢带复绕机2台、钢带预处理机2台、成型机2台、拉丝机3台、层绕机3台、筛粉机2台、混粉机2台、箱式电阻炉2台、电焊机2台等设备。主要生产工艺流程包括：配料、筛粉、烘干、输送下料、钢带复绕、钢带预处理、轧制成型、拉丝拔径、检验、成品包装。</w:t>
      </w:r>
    </w:p>
    <w:p w14:paraId="2F48E891">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项目符合国家相关产业政策，与生态环境分区管控要求及园区产业定位相符。根据天易经开区联合会议纪要和环评结论，从环境保护的角度分析，同意项目按报告表中所列内</w:t>
      </w:r>
      <w:r>
        <w:rPr>
          <w:rFonts w:hint="eastAsia" w:ascii="仿宋" w:hAnsi="仿宋" w:eastAsia="仿宋" w:cs="仿宋"/>
          <w:color w:val="000000" w:themeColor="text1"/>
          <w:sz w:val="32"/>
          <w:szCs w:val="32"/>
        </w:rPr>
        <w:t>容进</w:t>
      </w:r>
      <w:r>
        <w:rPr>
          <w:rFonts w:hint="eastAsia" w:ascii="仿宋" w:hAnsi="仿宋" w:eastAsia="仿宋" w:cs="仿宋"/>
          <w:color w:val="000000" w:themeColor="text1"/>
          <w:sz w:val="32"/>
          <w:szCs w:val="32"/>
          <w14:textFill>
            <w14:solidFill>
              <w14:schemeClr w14:val="tx1"/>
            </w14:solidFill>
          </w14:textFill>
        </w:rPr>
        <w:t>行建设。</w:t>
      </w:r>
    </w:p>
    <w:p w14:paraId="411A1A2F">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二、项目在运营期间，建设单位必须落实好报告表中提出的各项环保要求，落实环保“三同时”措施，确保各项污染物稳定达标排放，并须着重做好以下工作：</w:t>
      </w:r>
    </w:p>
    <w:p w14:paraId="13FEA18D">
      <w:pPr>
        <w:spacing w:line="480" w:lineRule="exact"/>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废气污染防治工作。厂区内必须使用天然气、液化气或电等清洁能源。加强车间内通排风系统，设置焊接专区，焊接烟尘采取移动式焊烟净化器处理后，确保达到《大气污染物综合排放标准》（GB16297-1996）表2中无组织排放监控浓度限值要求。配料筛粉、下料、拉丝拔径工序产生的粉尘经集气罩收集，采取布袋除尘器处理后，通过不低于15米高排气筒（DA001）高空排放，颗粒物排放确保达到《大气污染物综合排放标准》（GB16297-1996）表2中浓度限值要求。</w:t>
      </w:r>
    </w:p>
    <w:p w14:paraId="3D0D1D81">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废水污染防治工作。按照“雨污分流”的原则建设厂区排水管网。生活污水经隔油、化粪池处理后，确保达到《污水综合排放标准》（GB8978-1996）表4中三级标准和湘潭县第一污水处理厂进水水质接纳标准后排入城市污水管网。</w:t>
      </w:r>
    </w:p>
    <w:p w14:paraId="6A05BCA4">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3、噪声污染防治工作。优化厂区内设备布局，选用低噪声设备，并采取隔音、降噪和减震等措施，确保厂界噪声达到《工业企业厂界环境噪声排放标准》（GB12348-2008）中3类标准限值要求。</w:t>
      </w:r>
    </w:p>
    <w:p w14:paraId="5E6BD157">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固体废物污染防治工作。废包装材料、焊渣、废钢带、不合格产品、废布袋分类收集后，外售回收单位综合利用；除尘器收集的粉尘回用于生产工序。废润滑油、清洗废润滑油桶、含油抹布手套等危险废物，须按照《危险废物贮存污染控制标准》（GB/18597-2023）要求进行收集贮存后，交由资质单位进行处理并报县分局备案，危废暂存间须按相关要求设置并建立相关台账，规范设立标识标牌等；生活垃圾分类收集后，定期交由环卫部门妥善处理。</w:t>
      </w:r>
    </w:p>
    <w:p w14:paraId="781768AA">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环境风险防范工作。严格履行建设单位环保主体责任，提高清洁生产水平，加强生产和环保管理，安排环保专员负责环保设施运转维护。制定环境风险管控防范措施和定期监测制度，严防各类环境风险事故的发生。</w:t>
      </w:r>
    </w:p>
    <w:p w14:paraId="33BA6162">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w:t>
      </w:r>
      <w:bookmarkStart w:id="12" w:name="OLE_LINK4"/>
      <w:bookmarkEnd w:id="12"/>
      <w:r>
        <w:rPr>
          <w:rFonts w:hint="eastAsia" w:ascii="仿宋" w:hAnsi="仿宋" w:eastAsia="仿宋" w:cs="仿宋"/>
          <w:color w:val="000000" w:themeColor="text1"/>
          <w:sz w:val="32"/>
          <w:szCs w:val="32"/>
          <w14:textFill>
            <w14:solidFill>
              <w14:schemeClr w14:val="tx1"/>
            </w14:solidFill>
          </w14:textFill>
        </w:rPr>
        <w:t>项目启动生产设施或实际排污之前，须取得排污许可手续，并按照规定依法开展竣工环境保护验收工作。</w:t>
      </w:r>
    </w:p>
    <w:p w14:paraId="42B795C5">
      <w:pPr>
        <w:spacing w:line="480" w:lineRule="exact"/>
        <w:ind w:firstLine="640" w:firstLineChars="200"/>
        <w:rPr>
          <w:rFonts w:ascii="仿宋" w:hAnsi="仿宋" w:eastAsia="仿宋" w:cs="仿宋"/>
          <w:color w:val="000000" w:themeColor="text1"/>
          <w:sz w:val="32"/>
          <w:szCs w:val="32"/>
          <w:shd w:val="clear" w:color="050000" w:fill="auto"/>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四、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2B5FBAF6">
      <w:pPr>
        <w:spacing w:line="480" w:lineRule="exact"/>
        <w:ind w:firstLine="640" w:firstLineChars="200"/>
        <w:rPr>
          <w:rFonts w:ascii="仿宋" w:hAnsi="仿宋" w:eastAsia="仿宋" w:cs="仿宋"/>
          <w:color w:val="000000" w:themeColor="text1"/>
          <w:sz w:val="32"/>
          <w:szCs w:val="32"/>
          <w14:textFill>
            <w14:solidFill>
              <w14:schemeClr w14:val="tx1"/>
            </w14:solidFill>
          </w14:textFill>
        </w:rPr>
      </w:pPr>
    </w:p>
    <w:p w14:paraId="306143ED">
      <w:pPr>
        <w:spacing w:before="191" w:line="540" w:lineRule="exact"/>
        <w:ind w:firstLine="48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p>
    <w:p w14:paraId="54C21267">
      <w:pPr>
        <w:spacing w:before="191" w:line="540" w:lineRule="exact"/>
        <w:ind w:firstLine="480"/>
        <w:rPr>
          <w:rFonts w:ascii="仿宋" w:hAnsi="仿宋" w:eastAsia="仿宋" w:cs="仿宋"/>
          <w:color w:val="000000" w:themeColor="text1"/>
          <w:sz w:val="32"/>
          <w:szCs w:val="32"/>
          <w14:textFill>
            <w14:solidFill>
              <w14:schemeClr w14:val="tx1"/>
            </w14:solidFill>
          </w14:textFill>
        </w:rPr>
      </w:pPr>
    </w:p>
    <w:p w14:paraId="687670BA">
      <w:pPr>
        <w:spacing w:before="191" w:line="540" w:lineRule="exact"/>
        <w:ind w:firstLine="48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 xml:space="preserve">   (盖  章)</w:t>
      </w:r>
    </w:p>
    <w:p w14:paraId="745AD912">
      <w:pPr>
        <w:spacing w:line="540" w:lineRule="exact"/>
        <w:ind w:firstLine="48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bookmarkStart w:id="13" w:name="_GoBack"/>
      <w:bookmarkEnd w:id="13"/>
      <w:r>
        <w:rPr>
          <w:rFonts w:hint="eastAsia" w:ascii="仿宋" w:hAnsi="仿宋" w:eastAsia="仿宋" w:cs="仿宋"/>
          <w:color w:val="000000" w:themeColor="text1"/>
          <w:sz w:val="32"/>
          <w:szCs w:val="32"/>
          <w14:textFill>
            <w14:solidFill>
              <w14:schemeClr w14:val="tx1"/>
            </w14:solidFill>
          </w14:textFill>
        </w:rPr>
        <w:t xml:space="preserve">    2025年1</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日</w:t>
      </w:r>
    </w:p>
    <w:sectPr>
      <w:pgSz w:w="11907" w:h="16839"/>
      <w:pgMar w:top="1644" w:right="1474" w:bottom="1474" w:left="1531" w:header="851" w:footer="1020"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isplayVerticalDrawingGridEvery w:val="2"/>
  <w:characterSpacingControl w:val="doNotCompress"/>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NmNjQ5ZGQ5NDU3Yzc4ZTY5MjU5MjQ0MzFmN2ZmZmUifQ=="/>
    <w:docVar w:name="KSO_WPS_MARK_KEY" w:val="7d700812-c870-4615-aef2-3c6a58304550"/>
  </w:docVars>
  <w:rsids>
    <w:rsidRoot w:val="00DE3305"/>
    <w:rsid w:val="00040CC9"/>
    <w:rsid w:val="000E10F3"/>
    <w:rsid w:val="001157A9"/>
    <w:rsid w:val="00153BEA"/>
    <w:rsid w:val="001F77D7"/>
    <w:rsid w:val="002251D8"/>
    <w:rsid w:val="00324E5D"/>
    <w:rsid w:val="003342A6"/>
    <w:rsid w:val="00371059"/>
    <w:rsid w:val="00387BDA"/>
    <w:rsid w:val="003919F6"/>
    <w:rsid w:val="00420F90"/>
    <w:rsid w:val="0045571E"/>
    <w:rsid w:val="004E0DE5"/>
    <w:rsid w:val="004E1326"/>
    <w:rsid w:val="00502196"/>
    <w:rsid w:val="005261CD"/>
    <w:rsid w:val="00593E71"/>
    <w:rsid w:val="00663669"/>
    <w:rsid w:val="00746FD7"/>
    <w:rsid w:val="007706FA"/>
    <w:rsid w:val="00790FCE"/>
    <w:rsid w:val="00794049"/>
    <w:rsid w:val="007A01AA"/>
    <w:rsid w:val="007A35AC"/>
    <w:rsid w:val="008344CF"/>
    <w:rsid w:val="008363EE"/>
    <w:rsid w:val="00836A8D"/>
    <w:rsid w:val="008440A5"/>
    <w:rsid w:val="008457A8"/>
    <w:rsid w:val="00860A7C"/>
    <w:rsid w:val="008B18DD"/>
    <w:rsid w:val="0091359F"/>
    <w:rsid w:val="009177CA"/>
    <w:rsid w:val="009D0CD6"/>
    <w:rsid w:val="00A660B4"/>
    <w:rsid w:val="00AE7F51"/>
    <w:rsid w:val="00B04350"/>
    <w:rsid w:val="00B04EF8"/>
    <w:rsid w:val="00B20E7F"/>
    <w:rsid w:val="00B37E01"/>
    <w:rsid w:val="00B7549F"/>
    <w:rsid w:val="00C41D38"/>
    <w:rsid w:val="00CC556A"/>
    <w:rsid w:val="00DE3305"/>
    <w:rsid w:val="00DE5072"/>
    <w:rsid w:val="00E03923"/>
    <w:rsid w:val="00E24863"/>
    <w:rsid w:val="00EC3032"/>
    <w:rsid w:val="00ED443A"/>
    <w:rsid w:val="03556E6F"/>
    <w:rsid w:val="062D7D16"/>
    <w:rsid w:val="07FB268C"/>
    <w:rsid w:val="0B82168C"/>
    <w:rsid w:val="159B3AA0"/>
    <w:rsid w:val="165D4B52"/>
    <w:rsid w:val="1A917057"/>
    <w:rsid w:val="236D524D"/>
    <w:rsid w:val="24F627AC"/>
    <w:rsid w:val="2968085F"/>
    <w:rsid w:val="2A000C80"/>
    <w:rsid w:val="31DD1283"/>
    <w:rsid w:val="335A7B2D"/>
    <w:rsid w:val="33B51A84"/>
    <w:rsid w:val="36AF4EB1"/>
    <w:rsid w:val="38420018"/>
    <w:rsid w:val="396401D4"/>
    <w:rsid w:val="398D43EB"/>
    <w:rsid w:val="436D0DDF"/>
    <w:rsid w:val="46BA43CE"/>
    <w:rsid w:val="47A520E4"/>
    <w:rsid w:val="49907383"/>
    <w:rsid w:val="53DC50DF"/>
    <w:rsid w:val="5C3C7C6E"/>
    <w:rsid w:val="5F932FC3"/>
    <w:rsid w:val="613832FA"/>
    <w:rsid w:val="66007B85"/>
    <w:rsid w:val="68F74DF0"/>
    <w:rsid w:val="692D4CEA"/>
    <w:rsid w:val="6ABA4ADE"/>
    <w:rsid w:val="6B4232E1"/>
    <w:rsid w:val="6C613F7C"/>
    <w:rsid w:val="6F61223D"/>
    <w:rsid w:val="745F22F0"/>
    <w:rsid w:val="7ADC3D13"/>
    <w:rsid w:val="7C914027"/>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widowControl w:val="0"/>
      <w:spacing w:after="120"/>
      <w:ind w:left="420" w:leftChars="200"/>
      <w:jc w:val="both"/>
    </w:pPr>
    <w:rPr>
      <w:kern w:val="2"/>
      <w:sz w:val="21"/>
      <w:szCs w:val="24"/>
      <w:lang w:val="en-US" w:eastAsia="zh-CN" w:bidi="ar-SA"/>
    </w:rPr>
  </w:style>
  <w:style w:type="paragraph" w:styleId="3">
    <w:name w:val="footer"/>
    <w:basedOn w:val="1"/>
    <w:link w:val="35"/>
    <w:qFormat/>
    <w:uiPriority w:val="0"/>
    <w:pPr>
      <w:tabs>
        <w:tab w:val="center" w:pos="4153"/>
        <w:tab w:val="right" w:pos="8306"/>
      </w:tabs>
      <w:snapToGrid w:val="0"/>
      <w:jc w:val="left"/>
    </w:pPr>
    <w:rPr>
      <w:sz w:val="18"/>
      <w:szCs w:val="18"/>
    </w:rPr>
  </w:style>
  <w:style w:type="paragraph" w:styleId="4">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正文文字"/>
    <w:basedOn w:val="8"/>
    <w:next w:val="1"/>
    <w:qFormat/>
    <w:uiPriority w:val="0"/>
    <w:pPr>
      <w:snapToGrid w:val="0"/>
      <w:spacing w:line="480" w:lineRule="exact"/>
      <w:ind w:firstLine="200" w:firstLineChars="200"/>
    </w:pPr>
    <w:rPr>
      <w:sz w:val="24"/>
      <w:szCs w:val="24"/>
    </w:rPr>
  </w:style>
  <w:style w:type="paragraph" w:customStyle="1" w:styleId="8">
    <w:name w:val="正文缩进1"/>
    <w:basedOn w:val="1"/>
    <w:qFormat/>
    <w:uiPriority w:val="0"/>
    <w:pPr>
      <w:spacing w:line="0" w:lineRule="atLeast"/>
      <w:ind w:firstLine="420"/>
    </w:pPr>
    <w:rPr>
      <w:szCs w:val="20"/>
    </w:rPr>
  </w:style>
  <w:style w:type="character" w:customStyle="1" w:styleId="9">
    <w:name w:val="默认段落字体1"/>
    <w:semiHidden/>
    <w:qFormat/>
    <w:uiPriority w:val="0"/>
  </w:style>
  <w:style w:type="table" w:customStyle="1" w:styleId="10">
    <w:name w:val="普通表格1"/>
    <w:qFormat/>
    <w:uiPriority w:val="0"/>
    <w:tblPr>
      <w:tblCellMar>
        <w:top w:w="0" w:type="dxa"/>
        <w:left w:w="0" w:type="dxa"/>
        <w:bottom w:w="0" w:type="dxa"/>
        <w:right w:w="0" w:type="dxa"/>
      </w:tblCellMar>
    </w:tblPr>
  </w:style>
  <w:style w:type="paragraph" w:customStyle="1" w:styleId="11">
    <w:name w:val="批注文字1"/>
    <w:basedOn w:val="1"/>
    <w:qFormat/>
    <w:uiPriority w:val="0"/>
    <w:pPr>
      <w:jc w:val="left"/>
    </w:pPr>
  </w:style>
  <w:style w:type="paragraph" w:customStyle="1" w:styleId="12">
    <w:name w:val="正文文本1"/>
    <w:basedOn w:val="1"/>
    <w:qFormat/>
    <w:uiPriority w:val="0"/>
    <w:rPr>
      <w:sz w:val="32"/>
    </w:rPr>
  </w:style>
  <w:style w:type="paragraph" w:customStyle="1" w:styleId="13">
    <w:name w:val="正文文本缩进1"/>
    <w:basedOn w:val="1"/>
    <w:qFormat/>
    <w:uiPriority w:val="0"/>
    <w:pPr>
      <w:spacing w:line="336" w:lineRule="auto"/>
      <w:ind w:firstLine="539"/>
    </w:pPr>
    <w:rPr>
      <w:spacing w:val="6"/>
    </w:rPr>
  </w:style>
  <w:style w:type="paragraph" w:customStyle="1" w:styleId="14">
    <w:name w:val="正文文本缩进 21"/>
    <w:basedOn w:val="1"/>
    <w:qFormat/>
    <w:uiPriority w:val="0"/>
    <w:pPr>
      <w:spacing w:line="560" w:lineRule="exact"/>
      <w:ind w:firstLine="482"/>
    </w:pPr>
    <w:rPr>
      <w:spacing w:val="-20"/>
      <w:sz w:val="28"/>
    </w:rPr>
  </w:style>
  <w:style w:type="paragraph" w:customStyle="1" w:styleId="15">
    <w:name w:val="批注框文本1"/>
    <w:basedOn w:val="1"/>
    <w:link w:val="16"/>
    <w:qFormat/>
    <w:uiPriority w:val="0"/>
    <w:rPr>
      <w:sz w:val="18"/>
      <w:szCs w:val="18"/>
    </w:rPr>
  </w:style>
  <w:style w:type="character" w:customStyle="1" w:styleId="16">
    <w:name w:val="批注框文本 Char"/>
    <w:link w:val="15"/>
    <w:qFormat/>
    <w:uiPriority w:val="0"/>
    <w:rPr>
      <w:kern w:val="2"/>
      <w:sz w:val="18"/>
      <w:szCs w:val="18"/>
    </w:rPr>
  </w:style>
  <w:style w:type="paragraph" w:customStyle="1" w:styleId="17">
    <w:name w:val="页脚1"/>
    <w:basedOn w:val="1"/>
    <w:qFormat/>
    <w:uiPriority w:val="0"/>
    <w:pPr>
      <w:tabs>
        <w:tab w:val="center" w:pos="4153"/>
        <w:tab w:val="right" w:pos="8306"/>
      </w:tabs>
      <w:snapToGrid w:val="0"/>
      <w:jc w:val="left"/>
    </w:pPr>
    <w:rPr>
      <w:sz w:val="18"/>
      <w:szCs w:val="18"/>
    </w:rPr>
  </w:style>
  <w:style w:type="paragraph" w:customStyle="1" w:styleId="18">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0">
    <w:name w:val="正文首行缩进1"/>
    <w:basedOn w:val="12"/>
    <w:qFormat/>
    <w:uiPriority w:val="0"/>
    <w:pPr>
      <w:spacing w:after="120"/>
      <w:ind w:firstLine="420" w:firstLineChars="100"/>
    </w:pPr>
    <w:rPr>
      <w:b/>
      <w:bCs/>
    </w:rPr>
  </w:style>
  <w:style w:type="character" w:customStyle="1" w:styleId="21">
    <w:name w:val="页码1"/>
    <w:basedOn w:val="9"/>
    <w:qFormat/>
    <w:uiPriority w:val="0"/>
  </w:style>
  <w:style w:type="paragraph" w:customStyle="1" w:styleId="22">
    <w:name w:val="Default"/>
    <w:basedOn w:val="23"/>
    <w:qFormat/>
    <w:uiPriority w:val="0"/>
    <w:rPr>
      <w:rFonts w:hAnsi="宋体"/>
      <w:color w:val="000000"/>
      <w:sz w:val="24"/>
      <w:szCs w:val="24"/>
    </w:rPr>
  </w:style>
  <w:style w:type="paragraph" w:customStyle="1" w:styleId="23">
    <w:name w:val="纯文本1"/>
    <w:basedOn w:val="1"/>
    <w:qFormat/>
    <w:uiPriority w:val="0"/>
    <w:pPr>
      <w:spacing w:line="360" w:lineRule="auto"/>
    </w:pPr>
    <w:rPr>
      <w:rFonts w:ascii="宋体" w:hAnsi="Courier New"/>
      <w:szCs w:val="21"/>
    </w:rPr>
  </w:style>
  <w:style w:type="character" w:customStyle="1" w:styleId="24">
    <w:name w:val="15"/>
    <w:qFormat/>
    <w:uiPriority w:val="0"/>
    <w:rPr>
      <w:rFonts w:ascii="Times New Roman" w:hAnsi="Times New Roman"/>
      <w:b/>
      <w:bCs/>
      <w:sz w:val="28"/>
      <w:szCs w:val="28"/>
    </w:rPr>
  </w:style>
  <w:style w:type="character" w:customStyle="1" w:styleId="25">
    <w:name w:val="tpc_content1"/>
    <w:qFormat/>
    <w:uiPriority w:val="0"/>
    <w:rPr>
      <w:sz w:val="18"/>
      <w:szCs w:val="18"/>
    </w:rPr>
  </w:style>
  <w:style w:type="paragraph" w:customStyle="1" w:styleId="26">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sz w:val="24"/>
    </w:rPr>
  </w:style>
  <w:style w:type="paragraph" w:customStyle="1" w:styleId="27">
    <w:name w:val="表格文字"/>
    <w:basedOn w:val="1"/>
    <w:qFormat/>
    <w:uiPriority w:val="0"/>
    <w:pPr>
      <w:snapToGrid w:val="0"/>
      <w:jc w:val="center"/>
    </w:pPr>
    <w:rPr>
      <w:color w:val="000000"/>
      <w:spacing w:val="6"/>
      <w:kern w:val="0"/>
    </w:rPr>
  </w:style>
  <w:style w:type="paragraph" w:customStyle="1" w:styleId="28">
    <w:name w:val="april正文"/>
    <w:basedOn w:val="29"/>
    <w:qFormat/>
    <w:uiPriority w:val="0"/>
    <w:pPr>
      <w:ind w:firstLine="504"/>
    </w:pPr>
    <w:rPr>
      <w:color w:val="FF0000"/>
      <w:spacing w:val="6"/>
      <w:kern w:val="0"/>
    </w:rPr>
  </w:style>
  <w:style w:type="paragraph" w:customStyle="1" w:styleId="29">
    <w:name w:val="报告书正文"/>
    <w:basedOn w:val="13"/>
    <w:qFormat/>
    <w:uiPriority w:val="0"/>
    <w:pPr>
      <w:spacing w:line="300" w:lineRule="auto"/>
      <w:ind w:firstLine="200"/>
    </w:pPr>
    <w:rPr>
      <w:spacing w:val="0"/>
    </w:rPr>
  </w:style>
  <w:style w:type="paragraph" w:customStyle="1" w:styleId="30">
    <w:name w:val="p15"/>
    <w:basedOn w:val="1"/>
    <w:qFormat/>
    <w:uiPriority w:val="0"/>
    <w:pPr>
      <w:widowControl/>
    </w:pPr>
    <w:rPr>
      <w:kern w:val="0"/>
      <w:szCs w:val="21"/>
    </w:rPr>
  </w:style>
  <w:style w:type="paragraph" w:customStyle="1" w:styleId="31">
    <w:name w:val="默认段落字体 Para Char Char Char Char Char Char Char"/>
    <w:basedOn w:val="1"/>
    <w:qFormat/>
    <w:uiPriority w:val="0"/>
    <w:rPr>
      <w:rFonts w:ascii="Calibri" w:hAnsi="Calibri"/>
      <w:szCs w:val="22"/>
    </w:rPr>
  </w:style>
  <w:style w:type="paragraph" w:customStyle="1" w:styleId="32">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sz w:val="24"/>
    </w:rPr>
  </w:style>
  <w:style w:type="paragraph" w:customStyle="1" w:styleId="33">
    <w:name w:val="p0"/>
    <w:basedOn w:val="1"/>
    <w:qFormat/>
    <w:uiPriority w:val="0"/>
    <w:pPr>
      <w:widowControl/>
    </w:pPr>
    <w:rPr>
      <w:kern w:val="0"/>
      <w:sz w:val="24"/>
    </w:rPr>
  </w:style>
  <w:style w:type="character" w:customStyle="1" w:styleId="34">
    <w:name w:val="页眉 Char"/>
    <w:basedOn w:val="6"/>
    <w:link w:val="4"/>
    <w:qFormat/>
    <w:uiPriority w:val="0"/>
    <w:rPr>
      <w:kern w:val="2"/>
      <w:sz w:val="18"/>
      <w:szCs w:val="18"/>
    </w:rPr>
  </w:style>
  <w:style w:type="character" w:customStyle="1" w:styleId="35">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1454</Words>
  <Characters>1606</Characters>
  <Lines>12</Lines>
  <Paragraphs>3</Paragraphs>
  <TotalTime>1</TotalTime>
  <ScaleCrop>false</ScaleCrop>
  <LinksUpToDate>false</LinksUpToDate>
  <CharactersWithSpaces>1674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2023-03-24T01:52:00Z</dcterms:created>
  <dc:creator>pp</dc:creator>
  <cp:lastModifiedBy>Tang</cp:lastModifiedBy>
  <dcterms:modified xsi:type="dcterms:W3CDTF">2025-11-28T07:38:26Z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E4FE6D224BC64C508A911A90C19C34CA</vt:lpwstr>
  </property>
  <property fmtid="{D5CDD505-2E9C-101B-9397-08002B2CF9AE}" pid="4" name="KSOTemplateDocerSaveRecord">
    <vt:lpwstr>eyJoZGlkIjoiNmQxNDU1MGViZjAxZDMxYzUyZmM1YTc3NmYxMDY2NjgiLCJ1c2VySWQiOiIxMjk3NjkzMjgwIn0=</vt:lpwstr>
  </property>
</Properties>
</file>