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E3FDB9">
      <w:pPr>
        <w:widowControl/>
        <w:spacing w:beforeLines="20" w:afterLines="10" w:line="540" w:lineRule="atLeast"/>
        <w:ind w:right="1280"/>
        <w:rPr>
          <w:rFonts w:ascii="仿宋" w:hAnsi="仿宋" w:eastAsia="仿宋" w:cs="仿宋"/>
          <w:color w:val="FF0000"/>
          <w:sz w:val="32"/>
          <w:szCs w:val="32"/>
        </w:rPr>
      </w:pPr>
    </w:p>
    <w:p w14:paraId="504EA0B6">
      <w:pPr>
        <w:widowControl/>
        <w:spacing w:beforeLines="20" w:afterLines="10" w:line="540" w:lineRule="atLeast"/>
        <w:ind w:right="1280"/>
        <w:rPr>
          <w:rFonts w:ascii="仿宋" w:hAnsi="仿宋" w:eastAsia="仿宋" w:cs="仿宋"/>
          <w:color w:val="FF0000"/>
          <w:sz w:val="32"/>
          <w:szCs w:val="32"/>
        </w:rPr>
      </w:pPr>
    </w:p>
    <w:p w14:paraId="4F33501A">
      <w:pPr>
        <w:widowControl/>
        <w:spacing w:beforeLines="20" w:afterLines="10" w:line="540" w:lineRule="atLeast"/>
        <w:jc w:val="right"/>
        <w:rPr>
          <w:rFonts w:ascii="仿宋" w:hAnsi="仿宋" w:eastAsia="仿宋" w:cs="仿宋"/>
          <w:sz w:val="32"/>
          <w:szCs w:val="32"/>
        </w:rPr>
      </w:pPr>
      <w:r>
        <w:rPr>
          <w:rFonts w:hint="eastAsia" w:ascii="仿宋" w:hAnsi="仿宋" w:eastAsia="仿宋" w:cs="仿宋"/>
          <w:sz w:val="32"/>
          <w:szCs w:val="32"/>
        </w:rPr>
        <w:t>潭环审(湘潭县)〔2025〕</w:t>
      </w:r>
      <w:r>
        <w:rPr>
          <w:rFonts w:hint="eastAsia" w:ascii="仿宋" w:hAnsi="仿宋" w:eastAsia="仿宋" w:cs="仿宋"/>
          <w:sz w:val="32"/>
          <w:szCs w:val="32"/>
          <w:lang w:val="en-US" w:eastAsia="zh-CN"/>
        </w:rPr>
        <w:t>34</w:t>
      </w:r>
      <w:r>
        <w:rPr>
          <w:rFonts w:hint="eastAsia" w:ascii="仿宋" w:hAnsi="仿宋" w:eastAsia="仿宋" w:cs="仿宋"/>
          <w:sz w:val="32"/>
          <w:szCs w:val="32"/>
        </w:rPr>
        <w:t>号</w:t>
      </w:r>
    </w:p>
    <w:p w14:paraId="3CFA3DDE">
      <w:pPr>
        <w:widowControl/>
        <w:spacing w:line="540" w:lineRule="atLeast"/>
        <w:jc w:val="center"/>
        <w:rPr>
          <w:rFonts w:ascii="仿宋" w:hAnsi="仿宋" w:eastAsia="仿宋" w:cs="仿宋"/>
          <w:color w:val="FF0000"/>
          <w:sz w:val="52"/>
          <w:szCs w:val="52"/>
        </w:rPr>
      </w:pPr>
    </w:p>
    <w:p w14:paraId="72BF0FB5">
      <w:pPr>
        <w:spacing w:line="520" w:lineRule="exact"/>
        <w:ind w:right="-42" w:rightChars="-20"/>
        <w:jc w:val="center"/>
        <w:rPr>
          <w:rFonts w:ascii="宋体" w:hAnsi="宋体"/>
          <w:b/>
          <w:bCs/>
          <w:color w:val="FF0000"/>
          <w:sz w:val="44"/>
          <w:szCs w:val="44"/>
        </w:rPr>
      </w:pPr>
      <w:r>
        <w:rPr>
          <w:rFonts w:hint="eastAsia" w:ascii="宋体" w:hAnsi="宋体"/>
          <w:b/>
          <w:bCs/>
          <w:sz w:val="44"/>
          <w:szCs w:val="44"/>
        </w:rPr>
        <w:t>关于《湘潭丰达铂赛汽车零部件有限公司年喷涂汽车零部件30万套生产线项目环境影响报告表》的审批意见</w:t>
      </w:r>
    </w:p>
    <w:p w14:paraId="521CE702">
      <w:pPr>
        <w:spacing w:line="480" w:lineRule="exact"/>
        <w:ind w:right="-42" w:rightChars="-20"/>
        <w:jc w:val="center"/>
        <w:rPr>
          <w:rFonts w:ascii="仿宋" w:hAnsi="仿宋" w:eastAsia="仿宋"/>
          <w:color w:val="FF0000"/>
          <w:sz w:val="10"/>
          <w:szCs w:val="10"/>
        </w:rPr>
      </w:pPr>
    </w:p>
    <w:p w14:paraId="2D9F9BBA">
      <w:pPr>
        <w:spacing w:line="480" w:lineRule="exact"/>
        <w:rPr>
          <w:rFonts w:ascii="仿宋" w:hAnsi="仿宋" w:eastAsia="仿宋" w:cs="仿宋"/>
          <w:sz w:val="32"/>
          <w:szCs w:val="32"/>
        </w:rPr>
      </w:pPr>
      <w:r>
        <w:rPr>
          <w:rFonts w:hint="eastAsia" w:ascii="仿宋" w:hAnsi="仿宋" w:eastAsia="仿宋" w:cs="仿宋"/>
          <w:sz w:val="32"/>
          <w:szCs w:val="32"/>
        </w:rPr>
        <w:t>湘潭丰达铂赛汽车零部件有限公司：</w:t>
      </w:r>
    </w:p>
    <w:p w14:paraId="29A7C9EE">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你公司由湖南捷正环保科技有限公司编制的《湘潭丰达铂赛汽车零部件有限公司年喷涂汽车零部件30万套生产线项目环境影响报告表》(以下简称报告表)及相关材料已收悉。经研究，批复如下：</w:t>
      </w:r>
    </w:p>
    <w:p w14:paraId="3183E03E">
      <w:pPr>
        <w:spacing w:line="480" w:lineRule="exact"/>
        <w:ind w:firstLine="640" w:firstLineChars="200"/>
        <w:rPr>
          <w:rFonts w:ascii="仿宋" w:hAnsi="仿宋" w:eastAsia="仿宋" w:cs="仿宋"/>
          <w:color w:val="FF0000"/>
          <w:sz w:val="32"/>
          <w:szCs w:val="32"/>
        </w:rPr>
      </w:pPr>
      <w:r>
        <w:rPr>
          <w:rFonts w:hint="eastAsia" w:ascii="仿宋" w:hAnsi="仿宋" w:eastAsia="仿宋" w:cs="仿宋"/>
          <w:sz w:val="32"/>
          <w:szCs w:val="32"/>
        </w:rPr>
        <w:t>一、湘潭丰达铂赛汽车零部件有限公司位于湘潭天易经开区杨柳南路以西、黄莺路以北、宏信创新产业园以东，原“</w:t>
      </w:r>
      <w:bookmarkStart w:id="0" w:name="OLE_LINK51"/>
      <w:bookmarkStart w:id="1" w:name="OLE_LINK50"/>
      <w:r>
        <w:rPr>
          <w:rFonts w:hint="eastAsia" w:ascii="仿宋" w:hAnsi="仿宋" w:eastAsia="仿宋" w:cs="仿宋"/>
          <w:sz w:val="32"/>
          <w:szCs w:val="32"/>
        </w:rPr>
        <w:t>年产冲压件15万台套和沙发骨架15万台套建设项目</w:t>
      </w:r>
      <w:bookmarkEnd w:id="0"/>
      <w:bookmarkEnd w:id="1"/>
      <w:r>
        <w:rPr>
          <w:rFonts w:hint="eastAsia" w:ascii="仿宋" w:hAnsi="仿宋" w:eastAsia="仿宋" w:cs="仿宋"/>
          <w:sz w:val="32"/>
          <w:szCs w:val="32"/>
        </w:rPr>
        <w:t>” 于2022年12月7日通过环评审批（潭环审（湘潭县）〔2022〕62号），2025年6月完成建设项目竣工环境保护自主验收。为适应市场需求，现公司拟投资800万元，选址于湘潭天易经开区吴家巷金雀路南侧，租赁湖南鼎珩智能机械有限公司闲置厂房内，建设年喷涂汽车零部件30万套生产线项目。项目总占地面积为3300m</w:t>
      </w:r>
      <w:r>
        <w:rPr>
          <w:rFonts w:hint="eastAsia" w:ascii="仿宋" w:hAnsi="仿宋" w:eastAsia="仿宋" w:cs="仿宋"/>
          <w:sz w:val="32"/>
          <w:szCs w:val="32"/>
          <w:vertAlign w:val="superscript"/>
        </w:rPr>
        <w:t>2</w:t>
      </w:r>
      <w:r>
        <w:rPr>
          <w:rFonts w:hint="eastAsia" w:ascii="仿宋" w:hAnsi="仿宋" w:eastAsia="仿宋" w:cs="仿宋"/>
          <w:sz w:val="32"/>
          <w:szCs w:val="32"/>
        </w:rPr>
        <w:t>，主要建设内容包括：生产车间、贮存仓库、办公区等配套工程。主要产品方案及规模包括：</w:t>
      </w:r>
      <w:bookmarkStart w:id="2" w:name="OLE_LINK31"/>
      <w:bookmarkStart w:id="3" w:name="OLE_LINK30"/>
      <w:r>
        <w:rPr>
          <w:rFonts w:hint="eastAsia" w:ascii="仿宋" w:hAnsi="仿宋" w:eastAsia="仿宋" w:cs="仿宋"/>
          <w:sz w:val="32"/>
          <w:szCs w:val="32"/>
        </w:rPr>
        <w:t>冲压件酸洗喷漆表面处理5万套</w:t>
      </w:r>
      <w:bookmarkEnd w:id="2"/>
      <w:bookmarkEnd w:id="3"/>
      <w:r>
        <w:rPr>
          <w:rFonts w:hint="eastAsia" w:ascii="仿宋" w:hAnsi="仿宋" w:eastAsia="仿宋" w:cs="仿宋"/>
          <w:sz w:val="32"/>
          <w:szCs w:val="32"/>
        </w:rPr>
        <w:t>/年、冲压件喷粉表面处理10万套/年、沙发骨架</w:t>
      </w:r>
      <w:bookmarkStart w:id="4" w:name="OLE_LINK22"/>
      <w:bookmarkStart w:id="5" w:name="OLE_LINK23"/>
      <w:bookmarkStart w:id="6" w:name="OLE_LINK37"/>
      <w:bookmarkStart w:id="7" w:name="OLE_LINK36"/>
      <w:r>
        <w:rPr>
          <w:rFonts w:hint="eastAsia" w:ascii="仿宋" w:hAnsi="仿宋" w:eastAsia="仿宋" w:cs="仿宋"/>
          <w:sz w:val="32"/>
          <w:szCs w:val="32"/>
        </w:rPr>
        <w:t>电泳表面处理15万套</w:t>
      </w:r>
      <w:bookmarkEnd w:id="4"/>
      <w:bookmarkEnd w:id="5"/>
      <w:r>
        <w:rPr>
          <w:rFonts w:hint="eastAsia" w:ascii="仿宋" w:hAnsi="仿宋" w:eastAsia="仿宋" w:cs="仿宋"/>
          <w:sz w:val="32"/>
          <w:szCs w:val="32"/>
        </w:rPr>
        <w:t>/年</w:t>
      </w:r>
      <w:bookmarkEnd w:id="6"/>
      <w:bookmarkEnd w:id="7"/>
      <w:r>
        <w:rPr>
          <w:rFonts w:hint="eastAsia" w:ascii="仿宋" w:hAnsi="仿宋" w:eastAsia="仿宋" w:cs="仿宋"/>
          <w:sz w:val="32"/>
          <w:szCs w:val="32"/>
        </w:rPr>
        <w:t>。主要生产设备包括：焊机8台、手磨机10台、电泳自动线1条、酸洗自动线1条、喷粉自动线1条、喷漆房2间、固化房1间、天然气燃烧器3套等设备。主要原辅材料及能源消耗包括：冲压件15万套、沙发骨架15万套、电泳漆32.18t/a、焊丝0.5</w:t>
      </w:r>
      <w:r>
        <w:rPr>
          <w:rFonts w:ascii="仿宋" w:hAnsi="仿宋" w:eastAsia="仿宋" w:cs="仿宋"/>
          <w:sz w:val="32"/>
          <w:szCs w:val="32"/>
        </w:rPr>
        <w:t>t/a</w:t>
      </w:r>
      <w:r>
        <w:rPr>
          <w:rFonts w:hint="eastAsia" w:ascii="仿宋" w:hAnsi="仿宋" w:eastAsia="仿宋" w:cs="仿宋"/>
          <w:sz w:val="32"/>
          <w:szCs w:val="32"/>
        </w:rPr>
        <w:t>、焊材1</w:t>
      </w:r>
      <w:r>
        <w:rPr>
          <w:rFonts w:ascii="仿宋" w:hAnsi="仿宋" w:eastAsia="仿宋" w:cs="仿宋"/>
          <w:sz w:val="32"/>
          <w:szCs w:val="32"/>
        </w:rPr>
        <w:t>t/a</w:t>
      </w:r>
      <w:r>
        <w:rPr>
          <w:rFonts w:hint="eastAsia" w:ascii="仿宋" w:hAnsi="仿宋" w:eastAsia="仿宋" w:cs="仿宋"/>
          <w:sz w:val="32"/>
          <w:szCs w:val="32"/>
        </w:rPr>
        <w:t>、热固性粉末涂料20t/a、28%盐酸8t/a、70%硫酸5t/a、脱脂剂10</w:t>
      </w:r>
      <w:bookmarkStart w:id="8" w:name="OLE_LINK34"/>
      <w:bookmarkStart w:id="9" w:name="OLE_LINK35"/>
      <w:r>
        <w:rPr>
          <w:rFonts w:hint="eastAsia" w:ascii="仿宋" w:hAnsi="仿宋" w:eastAsia="仿宋" w:cs="仿宋"/>
          <w:sz w:val="32"/>
          <w:szCs w:val="32"/>
        </w:rPr>
        <w:t>t/a</w:t>
      </w:r>
      <w:bookmarkEnd w:id="8"/>
      <w:bookmarkEnd w:id="9"/>
      <w:r>
        <w:rPr>
          <w:rFonts w:hint="eastAsia" w:ascii="仿宋" w:hAnsi="仿宋" w:eastAsia="仿宋" w:cs="仿宋"/>
          <w:sz w:val="32"/>
          <w:szCs w:val="32"/>
        </w:rPr>
        <w:t>、硅烷剂5t/a、天然气15万m</w:t>
      </w:r>
      <w:r>
        <w:rPr>
          <w:rFonts w:hint="eastAsia" w:ascii="仿宋" w:hAnsi="仿宋" w:eastAsia="仿宋" w:cs="仿宋"/>
          <w:sz w:val="32"/>
          <w:szCs w:val="32"/>
          <w:vertAlign w:val="superscript"/>
        </w:rPr>
        <w:t>3</w:t>
      </w:r>
      <w:r>
        <w:rPr>
          <w:rFonts w:hint="eastAsia" w:ascii="仿宋" w:hAnsi="仿宋" w:eastAsia="仿宋" w:cs="仿宋"/>
          <w:sz w:val="32"/>
          <w:szCs w:val="32"/>
        </w:rPr>
        <w:t>/a等。</w:t>
      </w:r>
      <w:bookmarkStart w:id="10" w:name="OLE_LINK46"/>
      <w:bookmarkStart w:id="11" w:name="OLE_LINK47"/>
      <w:r>
        <w:rPr>
          <w:rFonts w:hint="eastAsia" w:ascii="仿宋" w:hAnsi="仿宋" w:eastAsia="仿宋" w:cs="仿宋"/>
          <w:sz w:val="32"/>
          <w:szCs w:val="32"/>
        </w:rPr>
        <w:t>主要生产工艺包括：</w:t>
      </w:r>
      <w:bookmarkEnd w:id="10"/>
      <w:bookmarkEnd w:id="11"/>
      <w:bookmarkStart w:id="12" w:name="OLE_LINK48"/>
      <w:bookmarkStart w:id="13" w:name="OLE_LINK49"/>
      <w:r>
        <w:rPr>
          <w:rFonts w:hint="eastAsia" w:ascii="仿宋" w:hAnsi="仿宋" w:eastAsia="仿宋" w:cs="仿宋"/>
          <w:sz w:val="32"/>
          <w:szCs w:val="32"/>
        </w:rPr>
        <w:t>机加工、</w:t>
      </w:r>
      <w:bookmarkEnd w:id="12"/>
      <w:bookmarkEnd w:id="13"/>
      <w:r>
        <w:rPr>
          <w:rFonts w:hint="eastAsia" w:ascii="仿宋" w:hAnsi="仿宋" w:eastAsia="仿宋" w:cs="仿宋"/>
          <w:sz w:val="32"/>
          <w:szCs w:val="32"/>
        </w:rPr>
        <w:t>脱脂、水洗、硅烷化、电泳、酸洗、磷化、回收浮漆、喷粉（喷漆）、固化、检验等。</w:t>
      </w:r>
    </w:p>
    <w:p w14:paraId="3BACE263">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该项目符合国家相关产业政策，根据天易经开区联合预审会议纪要和环评结论，经现场勘察，从环境保护的角度分析，同意该项目按报告表中所列内容进行建设。</w:t>
      </w:r>
    </w:p>
    <w:p w14:paraId="2D58E810">
      <w:pPr>
        <w:spacing w:line="480" w:lineRule="exact"/>
        <w:ind w:firstLine="645"/>
        <w:rPr>
          <w:rFonts w:ascii="仿宋" w:hAnsi="仿宋" w:eastAsia="仿宋" w:cs="仿宋"/>
          <w:sz w:val="32"/>
          <w:szCs w:val="32"/>
        </w:rPr>
      </w:pPr>
      <w:r>
        <w:rPr>
          <w:rFonts w:hint="eastAsia" w:ascii="仿宋" w:hAnsi="仿宋" w:eastAsia="仿宋" w:cs="仿宋"/>
          <w:sz w:val="32"/>
          <w:szCs w:val="32"/>
        </w:rPr>
        <w:t>二、项目在营运期间，建设单位必须认真落实环评报告表中提出的各项环保要求，落实环保“三同时”措施，确保各项污染物稳定达标排放，并须着重做好以下工作：</w:t>
      </w:r>
    </w:p>
    <w:p w14:paraId="1F25E171">
      <w:pPr>
        <w:pStyle w:val="24"/>
        <w:autoSpaceDE/>
        <w:autoSpaceDN/>
        <w:spacing w:line="480" w:lineRule="exact"/>
        <w:ind w:firstLine="640" w:firstLineChars="200"/>
        <w:rPr>
          <w:rFonts w:ascii="仿宋" w:hAnsi="仿宋" w:eastAsia="仿宋" w:cs="仿宋"/>
          <w:color w:val="FF0000"/>
          <w:sz w:val="32"/>
          <w:szCs w:val="32"/>
        </w:rPr>
      </w:pPr>
      <w:r>
        <w:rPr>
          <w:rFonts w:hint="eastAsia" w:ascii="仿宋" w:hAnsi="仿宋" w:eastAsia="仿宋" w:cs="仿宋"/>
          <w:color w:val="auto"/>
          <w:sz w:val="32"/>
          <w:szCs w:val="32"/>
        </w:rPr>
        <w:t>1、废气污染防治工作。厂区内必须使用天然气、液化气或电等清洁能源。电泳有机废气、电泳固化废气经负压收集，采取活性炭吸附处理后，通过不低于15米高排气筒（DA001）高空排放；</w:t>
      </w:r>
      <w:bookmarkStart w:id="14" w:name="OLE_LINK26"/>
      <w:bookmarkStart w:id="15" w:name="OLE_LINK27"/>
      <w:r>
        <w:rPr>
          <w:rFonts w:hint="eastAsia" w:ascii="仿宋" w:hAnsi="仿宋" w:eastAsia="仿宋" w:cs="仿宋"/>
          <w:color w:val="auto"/>
          <w:sz w:val="32"/>
          <w:szCs w:val="32"/>
        </w:rPr>
        <w:t>调漆、喷漆、固化</w:t>
      </w:r>
      <w:bookmarkEnd w:id="14"/>
      <w:bookmarkEnd w:id="15"/>
      <w:r>
        <w:rPr>
          <w:rFonts w:hint="eastAsia" w:ascii="仿宋" w:hAnsi="仿宋" w:eastAsia="仿宋" w:cs="仿宋"/>
          <w:color w:val="auto"/>
          <w:sz w:val="32"/>
          <w:szCs w:val="32"/>
        </w:rPr>
        <w:t>和喷粉固化工序均在密闭房间内进行，产生的废气经负压收集，采取“干式过滤棉+活性炭吸附”处理后，通过不低于15米高排气筒（DA002）高空排放；挥发性有机物有组织排放确保达到《表面涂装（汽车制造及维修）挥发性有机物、镍排放标准》（DB43/1356-2017）表1浓度限值，厂界非甲烷总烃达到该标准中表3限值要求，厂区内非甲烷总烃达到《挥发性有机物无组织排放控制标准》（GB37822-2019）表A.1中排放限值，厂界恶臭达到《恶臭污染物排放标准》（GB14554-93）表1中二级标准限值。天然气燃烧废气，分别通过不低于15米高排气筒（DA001、DA002）高空排放，颗粒物、氮氧化物、二氧化硫排放浓度确保达到《湖南省</w:t>
      </w:r>
      <w:bookmarkStart w:id="16" w:name="OLE_LINK18"/>
      <w:bookmarkStart w:id="17" w:name="OLE_LINK19"/>
      <w:r>
        <w:rPr>
          <w:rFonts w:hint="eastAsia" w:ascii="仿宋" w:hAnsi="仿宋" w:eastAsia="仿宋" w:cs="仿宋"/>
          <w:color w:val="auto"/>
          <w:sz w:val="32"/>
          <w:szCs w:val="32"/>
        </w:rPr>
        <w:t>工业炉窑</w:t>
      </w:r>
      <w:bookmarkEnd w:id="16"/>
      <w:bookmarkEnd w:id="17"/>
      <w:r>
        <w:rPr>
          <w:rFonts w:hint="eastAsia" w:ascii="仿宋" w:hAnsi="仿宋" w:eastAsia="仿宋" w:cs="仿宋"/>
          <w:color w:val="auto"/>
          <w:sz w:val="32"/>
          <w:szCs w:val="32"/>
        </w:rPr>
        <w:t>大气污染综合治理实施方案 湘环发〔2020〕6号》要求。设置单独焊接、打磨专区，焊接和打磨工序产生的粉尘采取粉尘净化器处理；喷粉粉尘采取“旋风除尘器+滤芯除尘器”处理；颗粒物排放均确保达到《大气污染物综合排放标准》（GB16297-1996）表2中无组织排放监控浓度限值要求。酸洗废气经负压收集，采用碱液喷淋处理后，通过不低于15米高排气筒（DA003）高空排放；氯化氢、硫酸雾排放浓度确保达到《大气污染物综合排放标准》（GB16297-1996）表2中浓度限值要求。</w:t>
      </w:r>
    </w:p>
    <w:p w14:paraId="34F89A34">
      <w:pPr>
        <w:pStyle w:val="24"/>
        <w:autoSpaceDE/>
        <w:autoSpaceDN/>
        <w:spacing w:line="480" w:lineRule="exact"/>
        <w:ind w:firstLine="640" w:firstLineChars="200"/>
        <w:rPr>
          <w:rFonts w:ascii="仿宋" w:hAnsi="仿宋" w:eastAsia="仿宋" w:cs="仿宋"/>
          <w:color w:val="FF0000"/>
          <w:sz w:val="32"/>
          <w:szCs w:val="32"/>
        </w:rPr>
      </w:pPr>
      <w:r>
        <w:rPr>
          <w:rFonts w:hint="eastAsia" w:ascii="仿宋" w:hAnsi="仿宋" w:eastAsia="仿宋" w:cs="仿宋"/>
          <w:color w:val="auto"/>
          <w:sz w:val="32"/>
          <w:szCs w:val="32"/>
        </w:rPr>
        <w:t>2、废水污染防治工作。厂区排水采取“雨污分流、清污分流、污污分流”，各类工艺废水分类收集、分质处理，优化管网设置，确保废水处理设施正常运行。生活污水经隔油、化粪池处理后和纯水制备尾水排入市政污水管网；碱液喷淋水循环使用不外排；酸洗、磷化涉重废水采取“蒸发浓缩-冷却结晶工艺”处理后，蒸发水冷凝后回用于酸洗生产工序不外排，蒸发结晶盐作为危险废物委托资质单位收集处置。脱脂工艺废水、水洗废水经自建污水处理设施（</w:t>
      </w:r>
      <w:r>
        <w:rPr>
          <w:rFonts w:ascii="仿宋" w:hAnsi="仿宋" w:eastAsia="仿宋" w:cs="仿宋"/>
          <w:color w:val="auto"/>
          <w:sz w:val="32"/>
          <w:szCs w:val="32"/>
        </w:rPr>
        <w:t>5t/d</w:t>
      </w:r>
      <w:r>
        <w:rPr>
          <w:rFonts w:hint="eastAsia" w:ascii="仿宋" w:hAnsi="仿宋" w:eastAsia="仿宋" w:cs="仿宋"/>
          <w:color w:val="auto"/>
          <w:sz w:val="32"/>
          <w:szCs w:val="32"/>
        </w:rPr>
        <w:t>）处理后，确保达到《污水综合排放标准》（GB8978-1996）表4中三级标准和县第一污水处理厂进水水质接纳标准后排入市政污水管网。</w:t>
      </w:r>
    </w:p>
    <w:p w14:paraId="72211756">
      <w:pPr>
        <w:pStyle w:val="24"/>
        <w:autoSpaceDE/>
        <w:autoSpaceDN/>
        <w:spacing w:line="4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3、噪声污染防治工作。优化厂区内设备布局，选用低噪声设备，并采取隔音、降噪和减震等措施，确保厂界噪声达到《工业企业厂界环境噪声排放标准》（GB12348-2008）中3类标准。</w:t>
      </w:r>
    </w:p>
    <w:p w14:paraId="3B35EE58">
      <w:pPr>
        <w:pStyle w:val="24"/>
        <w:autoSpaceDE/>
        <w:autoSpaceDN/>
        <w:spacing w:line="4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4、固体废物污染防治工作。</w:t>
      </w:r>
      <w:r>
        <w:rPr>
          <w:rFonts w:hint="eastAsia" w:ascii="仿宋" w:hAnsi="仿宋" w:eastAsia="仿宋" w:cs="仿宋"/>
          <w:sz w:val="32"/>
          <w:szCs w:val="32"/>
        </w:rPr>
        <w:t>废包装材料、边角料及残次品、废水性漆桶、分类收集后交由回收单位综合利用；</w:t>
      </w:r>
      <w:r>
        <w:rPr>
          <w:rFonts w:hint="eastAsia" w:ascii="仿宋" w:hAnsi="仿宋" w:eastAsia="仿宋" w:cs="仿宋"/>
          <w:color w:val="auto"/>
          <w:sz w:val="32"/>
          <w:szCs w:val="32"/>
        </w:rPr>
        <w:t>除尘器收集的粉末涂料回用于生产工序；废矿物油、废矿物油桶、含油手套及抹布、含重金属废水结晶、废槽液、废包装桶、废水污泥、废过滤棉、废活性炭等危险废物，须按照《危险废物贮存污染控制标准》（GB/18597-2023）要求进行收集贮存后，交由资质单位进行处理并报县分局备案，危废暂存间须按相关要求设置并建立相关台账，规范设立标识标牌等；焊渣、废渗透膜和生活垃圾分类收集后，定期交由环卫部门妥善处理。</w:t>
      </w:r>
    </w:p>
    <w:p w14:paraId="76CCDC93">
      <w:pPr>
        <w:spacing w:line="480" w:lineRule="exact"/>
        <w:ind w:firstLine="640" w:firstLineChars="200"/>
        <w:rPr>
          <w:rFonts w:ascii="仿宋" w:hAnsi="仿宋" w:eastAsia="仿宋" w:cs="仿宋"/>
          <w:color w:val="FF0000"/>
          <w:sz w:val="32"/>
          <w:szCs w:val="32"/>
        </w:rPr>
      </w:pPr>
      <w:r>
        <w:rPr>
          <w:rFonts w:hint="eastAsia" w:ascii="仿宋" w:hAnsi="仿宋" w:eastAsia="仿宋" w:cs="仿宋"/>
          <w:sz w:val="32"/>
          <w:szCs w:val="32"/>
        </w:rPr>
        <w:t>5、环境风险防范工作。严格履行建设单位环保主体责任，提高清洁生产水平，加强生产和环保管理，安排环保专员负责环保设施运转维护。建立健全污染事故应急处理和定期监测制度，落实事故风险防范措施，切实防范各类环境风险事故。</w:t>
      </w:r>
    </w:p>
    <w:p w14:paraId="3CAB1ECE">
      <w:pPr>
        <w:pStyle w:val="19"/>
        <w:shd w:val="clear" w:color="auto" w:fill="FFFFFF"/>
        <w:spacing w:before="0" w:beforeAutospacing="0" w:after="0" w:afterAutospacing="0" w:line="48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6、本次扩建</w:t>
      </w:r>
      <w:bookmarkStart w:id="20" w:name="_GoBack"/>
      <w:bookmarkEnd w:id="20"/>
      <w:r>
        <w:rPr>
          <w:rFonts w:hint="eastAsia" w:ascii="仿宋" w:hAnsi="仿宋" w:eastAsia="仿宋" w:cs="仿宋"/>
          <w:sz w:val="32"/>
          <w:szCs w:val="32"/>
        </w:rPr>
        <w:t>为“湘潭丰达铂赛汽车零部件有限公司年产冲压件15万台套和沙发骨架15万台套建设项目”配套深加工，严禁对外承接表面处理业务。</w:t>
      </w:r>
    </w:p>
    <w:p w14:paraId="1BFADB43">
      <w:pPr>
        <w:pStyle w:val="19"/>
        <w:shd w:val="clear" w:color="auto" w:fill="FFFFFF"/>
        <w:spacing w:before="0" w:beforeAutospacing="0" w:after="0" w:afterAutospacing="0" w:line="480" w:lineRule="exact"/>
        <w:ind w:firstLine="640" w:firstLineChars="200"/>
        <w:jc w:val="both"/>
        <w:rPr>
          <w:rFonts w:ascii="仿宋" w:hAnsi="仿宋" w:eastAsia="仿宋" w:cs="仿宋"/>
          <w:color w:val="FF0000"/>
          <w:sz w:val="32"/>
          <w:szCs w:val="32"/>
        </w:rPr>
      </w:pPr>
      <w:r>
        <w:rPr>
          <w:rFonts w:hint="eastAsia" w:ascii="仿宋" w:hAnsi="仿宋" w:eastAsia="仿宋" w:cs="仿宋"/>
          <w:sz w:val="32"/>
          <w:szCs w:val="32"/>
        </w:rPr>
        <w:t>三、根据市生态环境局总量部门核定，该项目实施后，主要污染物年排放总量为：COD≤0.079t/a、氨氮≤0.008t/a、SO</w:t>
      </w:r>
      <w:r>
        <w:rPr>
          <w:rFonts w:hint="eastAsia" w:ascii="仿宋" w:hAnsi="仿宋" w:eastAsia="仿宋" w:cs="仿宋"/>
          <w:sz w:val="32"/>
          <w:szCs w:val="32"/>
          <w:vertAlign w:val="subscript"/>
        </w:rPr>
        <w:t>2</w:t>
      </w:r>
      <w:r>
        <w:rPr>
          <w:rFonts w:hint="eastAsia" w:ascii="仿宋" w:hAnsi="仿宋" w:eastAsia="仿宋" w:cs="仿宋"/>
          <w:sz w:val="32"/>
          <w:szCs w:val="32"/>
        </w:rPr>
        <w:t>≤0.03t/a、NO</w:t>
      </w:r>
      <w:r>
        <w:rPr>
          <w:rFonts w:hint="eastAsia" w:ascii="仿宋" w:hAnsi="仿宋" w:eastAsia="仿宋" w:cs="仿宋"/>
          <w:sz w:val="32"/>
          <w:szCs w:val="32"/>
          <w:vertAlign w:val="subscript"/>
        </w:rPr>
        <w:t>X</w:t>
      </w:r>
      <w:r>
        <w:rPr>
          <w:rFonts w:hint="eastAsia" w:ascii="仿宋" w:hAnsi="仿宋" w:eastAsia="仿宋" w:cs="仿宋"/>
          <w:sz w:val="32"/>
          <w:szCs w:val="32"/>
        </w:rPr>
        <w:t>≤0.3t/a、VOCs≤</w:t>
      </w:r>
      <w:bookmarkStart w:id="18" w:name="OLE_LINK109"/>
      <w:bookmarkStart w:id="19" w:name="OLE_LINK108"/>
      <w:r>
        <w:rPr>
          <w:rFonts w:hint="eastAsia" w:ascii="仿宋" w:hAnsi="仿宋" w:eastAsia="仿宋" w:cs="仿宋"/>
          <w:sz w:val="32"/>
          <w:szCs w:val="32"/>
        </w:rPr>
        <w:t>1.4153t/a</w:t>
      </w:r>
      <w:bookmarkEnd w:id="18"/>
      <w:bookmarkEnd w:id="19"/>
      <w:r>
        <w:rPr>
          <w:rFonts w:hint="eastAsia" w:ascii="仿宋" w:hAnsi="仿宋" w:eastAsia="仿宋" w:cs="仿宋"/>
          <w:sz w:val="32"/>
          <w:szCs w:val="32"/>
        </w:rPr>
        <w:t>。</w:t>
      </w:r>
    </w:p>
    <w:p w14:paraId="464B3086">
      <w:pPr>
        <w:spacing w:line="480" w:lineRule="exact"/>
        <w:ind w:firstLine="640" w:firstLineChars="200"/>
        <w:rPr>
          <w:rFonts w:ascii="仿宋" w:hAnsi="仿宋" w:eastAsia="仿宋" w:cs="仿宋"/>
          <w:sz w:val="32"/>
          <w:szCs w:val="32"/>
          <w:shd w:val="clear" w:color="050000" w:fill="auto"/>
        </w:rPr>
      </w:pPr>
      <w:r>
        <w:rPr>
          <w:rFonts w:hint="eastAsia" w:ascii="仿宋" w:hAnsi="仿宋" w:eastAsia="仿宋" w:cs="仿宋"/>
          <w:sz w:val="32"/>
          <w:szCs w:val="32"/>
          <w:shd w:val="clear" w:color="050000" w:fill="auto"/>
        </w:rPr>
        <w:t>四、</w:t>
      </w:r>
      <w:r>
        <w:rPr>
          <w:rFonts w:hint="eastAsia" w:ascii="仿宋" w:hAnsi="仿宋" w:eastAsia="仿宋" w:cs="仿宋"/>
          <w:sz w:val="32"/>
          <w:szCs w:val="32"/>
        </w:rPr>
        <w:t>项目启动生产设施或实际排污之前，须取得排污许可手续，并按照规定依法开展竣工环境保护验收工作。</w:t>
      </w:r>
    </w:p>
    <w:p w14:paraId="13C00D8A">
      <w:pPr>
        <w:spacing w:line="480" w:lineRule="exact"/>
        <w:ind w:firstLine="640" w:firstLineChars="200"/>
        <w:rPr>
          <w:rFonts w:ascii="仿宋" w:hAnsi="仿宋" w:eastAsia="仿宋" w:cs="仿宋"/>
          <w:sz w:val="32"/>
          <w:szCs w:val="32"/>
          <w:shd w:val="clear" w:color="050000" w:fill="auto"/>
        </w:rPr>
      </w:pPr>
      <w:r>
        <w:rPr>
          <w:rFonts w:hint="eastAsia" w:ascii="仿宋" w:hAnsi="仿宋" w:eastAsia="仿宋" w:cs="仿宋"/>
          <w:sz w:val="32"/>
          <w:szCs w:val="32"/>
          <w:shd w:val="clear" w:color="050000" w:fill="auto"/>
        </w:rPr>
        <w:t>五</w:t>
      </w:r>
      <w:r>
        <w:rPr>
          <w:rFonts w:hint="eastAsia" w:ascii="仿宋" w:hAnsi="仿宋" w:eastAsia="仿宋" w:cs="仿宋"/>
          <w:sz w:val="32"/>
          <w:szCs w:val="32"/>
        </w:rPr>
        <w:t>、项目建设的性质、规模、地点、采用的生产工艺或者防治污染、防止生态破坏的措施发生重大变动的，建设单位应当重新报批建设项目环境影响评价文件。建设项目的环境影响评价文件自批准之日起超过5年，才开工建设的，其环境影响评价文件应当报原审批部门重新审核。</w:t>
      </w:r>
    </w:p>
    <w:p w14:paraId="2DCAFD89">
      <w:pPr>
        <w:pStyle w:val="15"/>
        <w:tabs>
          <w:tab w:val="clear" w:pos="4153"/>
          <w:tab w:val="clear" w:pos="8306"/>
        </w:tabs>
        <w:spacing w:line="480" w:lineRule="exact"/>
        <w:ind w:firstLine="420"/>
        <w:rPr>
          <w:rFonts w:ascii="仿宋" w:hAnsi="仿宋" w:eastAsia="仿宋" w:cs="仿宋"/>
          <w:color w:val="FF0000"/>
          <w:sz w:val="32"/>
          <w:szCs w:val="32"/>
        </w:rPr>
      </w:pPr>
    </w:p>
    <w:p w14:paraId="593ED0D9">
      <w:pPr>
        <w:pStyle w:val="15"/>
        <w:tabs>
          <w:tab w:val="clear" w:pos="4153"/>
          <w:tab w:val="clear" w:pos="8306"/>
        </w:tabs>
        <w:spacing w:line="480" w:lineRule="exact"/>
        <w:rPr>
          <w:rFonts w:ascii="仿宋" w:hAnsi="仿宋" w:eastAsia="仿宋" w:cs="仿宋"/>
          <w:color w:val="FF0000"/>
          <w:sz w:val="32"/>
          <w:szCs w:val="32"/>
        </w:rPr>
      </w:pPr>
    </w:p>
    <w:p w14:paraId="15245828">
      <w:pPr>
        <w:pStyle w:val="15"/>
        <w:tabs>
          <w:tab w:val="clear" w:pos="4153"/>
          <w:tab w:val="clear" w:pos="8306"/>
        </w:tabs>
        <w:spacing w:line="480" w:lineRule="exact"/>
        <w:rPr>
          <w:rFonts w:ascii="仿宋" w:hAnsi="仿宋" w:eastAsia="仿宋" w:cs="仿宋"/>
          <w:color w:val="FF0000"/>
          <w:sz w:val="32"/>
          <w:szCs w:val="32"/>
        </w:rPr>
      </w:pPr>
    </w:p>
    <w:p w14:paraId="3FF87113">
      <w:pPr>
        <w:pStyle w:val="15"/>
        <w:tabs>
          <w:tab w:val="clear" w:pos="4153"/>
          <w:tab w:val="clear" w:pos="8306"/>
        </w:tabs>
        <w:spacing w:line="480" w:lineRule="exact"/>
        <w:rPr>
          <w:rFonts w:ascii="仿宋" w:hAnsi="仿宋" w:eastAsia="仿宋" w:cs="仿宋"/>
          <w:color w:val="FF0000"/>
          <w:sz w:val="32"/>
          <w:szCs w:val="32"/>
        </w:rPr>
      </w:pPr>
    </w:p>
    <w:p w14:paraId="645678FF">
      <w:pPr>
        <w:spacing w:line="480" w:lineRule="exact"/>
        <w:ind w:right="640" w:firstLine="5280" w:firstLineChars="1650"/>
        <w:rPr>
          <w:rFonts w:ascii="仿宋" w:hAnsi="仿宋" w:eastAsia="仿宋" w:cs="仿宋"/>
          <w:color w:val="000000" w:themeColor="text1"/>
          <w:kern w:val="1"/>
          <w:sz w:val="32"/>
          <w:szCs w:val="32"/>
        </w:rPr>
      </w:pPr>
      <w:r>
        <w:rPr>
          <w:rFonts w:hint="eastAsia" w:ascii="仿宋" w:hAnsi="仿宋" w:eastAsia="仿宋" w:cs="仿宋"/>
          <w:color w:val="000000" w:themeColor="text1"/>
          <w:kern w:val="1"/>
          <w:sz w:val="32"/>
          <w:szCs w:val="32"/>
        </w:rPr>
        <w:t xml:space="preserve">   （盖 章）</w:t>
      </w:r>
    </w:p>
    <w:p w14:paraId="04ADB317">
      <w:pPr>
        <w:spacing w:line="480" w:lineRule="exact"/>
        <w:ind w:right="640"/>
        <w:jc w:val="center"/>
        <w:rPr>
          <w:rFonts w:ascii="仿宋" w:hAnsi="仿宋" w:eastAsia="仿宋" w:cs="仿宋"/>
          <w:color w:val="000000" w:themeColor="text1"/>
          <w:kern w:val="1"/>
          <w:sz w:val="32"/>
          <w:szCs w:val="32"/>
        </w:rPr>
      </w:pPr>
      <w:r>
        <w:rPr>
          <w:rFonts w:hint="eastAsia" w:ascii="仿宋" w:hAnsi="仿宋" w:eastAsia="仿宋" w:cs="仿宋"/>
          <w:color w:val="000000" w:themeColor="text1"/>
          <w:kern w:val="1"/>
          <w:sz w:val="32"/>
          <w:szCs w:val="32"/>
        </w:rPr>
        <w:t xml:space="preserve">                            2025年11月</w:t>
      </w:r>
      <w:r>
        <w:rPr>
          <w:rFonts w:hint="eastAsia" w:ascii="仿宋" w:hAnsi="仿宋" w:eastAsia="仿宋" w:cs="仿宋"/>
          <w:color w:val="000000" w:themeColor="text1"/>
          <w:kern w:val="1"/>
          <w:sz w:val="32"/>
          <w:szCs w:val="32"/>
          <w:lang w:val="en-US" w:eastAsia="zh-CN"/>
        </w:rPr>
        <w:t>3</w:t>
      </w:r>
      <w:r>
        <w:rPr>
          <w:rFonts w:hint="eastAsia" w:ascii="仿宋" w:hAnsi="仿宋" w:eastAsia="仿宋" w:cs="仿宋"/>
          <w:color w:val="000000" w:themeColor="text1"/>
          <w:kern w:val="1"/>
          <w:sz w:val="32"/>
          <w:szCs w:val="32"/>
        </w:rPr>
        <w:t>日</w:t>
      </w:r>
    </w:p>
    <w:sectPr>
      <w:footerReference r:id="rId6" w:type="first"/>
      <w:headerReference r:id="rId3" w:type="default"/>
      <w:footerReference r:id="rId4" w:type="default"/>
      <w:footerReference r:id="rId5" w:type="even"/>
      <w:pgSz w:w="11906" w:h="16838"/>
      <w:pgMar w:top="1644" w:right="1474" w:bottom="1474" w:left="1531"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Arial"/>
    <w:panose1 w:val="020B0604020202020204"/>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9B8D2F">
    <w:pPr>
      <w:pStyle w:val="15"/>
      <w:tabs>
        <w:tab w:val="clear" w:pos="4153"/>
        <w:tab w:val="clear" w:pos="8306"/>
      </w:tabs>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5FD0D">
    <w:pPr>
      <w:pStyle w:val="15"/>
      <w:framePr w:wrap="around" w:vAnchor="text" w:hAnchor="margin" w:xAlign="center" w:y="1"/>
      <w:tabs>
        <w:tab w:val="clear" w:pos="4153"/>
        <w:tab w:val="clear" w:pos="8306"/>
      </w:tabs>
    </w:pPr>
    <w:r>
      <w:fldChar w:fldCharType="begin"/>
    </w:r>
    <w:r>
      <w:rPr>
        <w:rStyle w:val="23"/>
      </w:rPr>
      <w:instrText xml:space="preserve">PAGE  </w:instrText>
    </w:r>
    <w:r>
      <w:fldChar w:fldCharType="end"/>
    </w:r>
  </w:p>
  <w:p w14:paraId="1D97696C">
    <w:pPr>
      <w:pStyle w:val="15"/>
      <w:tabs>
        <w:tab w:val="clear" w:pos="4153"/>
        <w:tab w:val="clear" w:pos="8306"/>
      </w:tabs>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833570">
    <w:pPr>
      <w:pStyle w:val="15"/>
      <w:tabs>
        <w:tab w:val="clear" w:pos="4153"/>
        <w:tab w:val="clear" w:pos="8306"/>
      </w:tabs>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CC84C9">
    <w:pPr>
      <w:pStyle w:val="17"/>
      <w:pBdr>
        <w:bottom w:val="none" w:color="auto" w:sz="0" w:space="0"/>
      </w:pBdr>
      <w:tabs>
        <w:tab w:val="clear" w:pos="4153"/>
        <w:tab w:val="clear" w:pos="830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isplayHorizontalDrawingGridEvery w:val="0"/>
  <w:displayVerticalDrawingGridEvery w:val="2"/>
  <w:characterSpacingControl w:val="compressPunctuation"/>
  <w:compat>
    <w:balanceSingleByteDoubleByteWidth/>
    <w:doNotLeaveBackslashAlone/>
    <w:ulTrailSpace/>
    <w:doNotExpandShiftReturn/>
    <w:adjustLineHeightInTable/>
    <w:useFELayout/>
    <w:compatSetting w:name="compatibilityMode" w:uri="http://schemas.microsoft.com/office/word" w:val="12"/>
  </w:compat>
  <w:docVars>
    <w:docVar w:name="commondata" w:val="eyJoZGlkIjoiOWE0MzNjYTMzOWVlZjY4MGM2MTllYTZiMWYzNWI3MWYifQ=="/>
  </w:docVars>
  <w:rsids>
    <w:rsidRoot w:val="008450D2"/>
    <w:rsid w:val="000126F3"/>
    <w:rsid w:val="00022388"/>
    <w:rsid w:val="00052B7D"/>
    <w:rsid w:val="000852AC"/>
    <w:rsid w:val="000C6443"/>
    <w:rsid w:val="000C774B"/>
    <w:rsid w:val="00123C4C"/>
    <w:rsid w:val="001304B6"/>
    <w:rsid w:val="001805E6"/>
    <w:rsid w:val="001A7DD6"/>
    <w:rsid w:val="001F4F42"/>
    <w:rsid w:val="002371ED"/>
    <w:rsid w:val="00265B6A"/>
    <w:rsid w:val="002766C3"/>
    <w:rsid w:val="002F62BE"/>
    <w:rsid w:val="003815D8"/>
    <w:rsid w:val="003A194B"/>
    <w:rsid w:val="003A476B"/>
    <w:rsid w:val="003B2057"/>
    <w:rsid w:val="003C00BE"/>
    <w:rsid w:val="003C682F"/>
    <w:rsid w:val="003D67AF"/>
    <w:rsid w:val="003E34C1"/>
    <w:rsid w:val="00417581"/>
    <w:rsid w:val="00446A3E"/>
    <w:rsid w:val="00466E63"/>
    <w:rsid w:val="004870C3"/>
    <w:rsid w:val="00495967"/>
    <w:rsid w:val="004B4609"/>
    <w:rsid w:val="004F0345"/>
    <w:rsid w:val="00654D0D"/>
    <w:rsid w:val="00672BF6"/>
    <w:rsid w:val="00675555"/>
    <w:rsid w:val="00676A7F"/>
    <w:rsid w:val="0069053D"/>
    <w:rsid w:val="006A2E5C"/>
    <w:rsid w:val="007C5D09"/>
    <w:rsid w:val="007E5458"/>
    <w:rsid w:val="008450D2"/>
    <w:rsid w:val="00854F4B"/>
    <w:rsid w:val="008A7152"/>
    <w:rsid w:val="008D61C8"/>
    <w:rsid w:val="008D70AB"/>
    <w:rsid w:val="009170B7"/>
    <w:rsid w:val="0093153E"/>
    <w:rsid w:val="009B1A49"/>
    <w:rsid w:val="009C220E"/>
    <w:rsid w:val="009D72D5"/>
    <w:rsid w:val="00A033E4"/>
    <w:rsid w:val="00A21889"/>
    <w:rsid w:val="00A23015"/>
    <w:rsid w:val="00A5576E"/>
    <w:rsid w:val="00A677A1"/>
    <w:rsid w:val="00B73AA1"/>
    <w:rsid w:val="00C12B57"/>
    <w:rsid w:val="00C377FF"/>
    <w:rsid w:val="00C70B02"/>
    <w:rsid w:val="00C9061C"/>
    <w:rsid w:val="00CC18CD"/>
    <w:rsid w:val="00D60449"/>
    <w:rsid w:val="00D86DA6"/>
    <w:rsid w:val="00DD59D5"/>
    <w:rsid w:val="00DF5B10"/>
    <w:rsid w:val="00DF5E5F"/>
    <w:rsid w:val="00DF6F64"/>
    <w:rsid w:val="00E3183B"/>
    <w:rsid w:val="00E3195A"/>
    <w:rsid w:val="00EB0535"/>
    <w:rsid w:val="00ED699D"/>
    <w:rsid w:val="00ED7654"/>
    <w:rsid w:val="00EE3582"/>
    <w:rsid w:val="00EF57A9"/>
    <w:rsid w:val="00F2399B"/>
    <w:rsid w:val="00F243BE"/>
    <w:rsid w:val="00F321F3"/>
    <w:rsid w:val="00F50C93"/>
    <w:rsid w:val="00F75308"/>
    <w:rsid w:val="00F82318"/>
    <w:rsid w:val="00FA5A16"/>
    <w:rsid w:val="00FB6BFB"/>
    <w:rsid w:val="00FD3907"/>
    <w:rsid w:val="00FF3F54"/>
    <w:rsid w:val="091F07E9"/>
    <w:rsid w:val="0F842379"/>
    <w:rsid w:val="13F24102"/>
    <w:rsid w:val="34260F9E"/>
    <w:rsid w:val="4FDA01E6"/>
    <w:rsid w:val="53C573A9"/>
    <w:rsid w:val="70051865"/>
    <w:rsid w:val="72EE6C9D"/>
    <w:rsid w:val="7B526C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正文文字"/>
    <w:basedOn w:val="3"/>
    <w:next w:val="1"/>
    <w:qFormat/>
    <w:uiPriority w:val="0"/>
    <w:pPr>
      <w:snapToGrid w:val="0"/>
      <w:spacing w:line="480" w:lineRule="exact"/>
      <w:ind w:firstLine="200" w:firstLineChars="200"/>
    </w:pPr>
    <w:rPr>
      <w:sz w:val="24"/>
      <w:szCs w:val="24"/>
    </w:rPr>
  </w:style>
  <w:style w:type="paragraph" w:customStyle="1" w:styleId="3">
    <w:name w:val="正文缩进1"/>
    <w:basedOn w:val="1"/>
    <w:qFormat/>
    <w:uiPriority w:val="0"/>
    <w:pPr>
      <w:spacing w:line="0" w:lineRule="atLeast"/>
      <w:ind w:firstLine="420"/>
    </w:pPr>
    <w:rPr>
      <w:szCs w:val="20"/>
    </w:rPr>
  </w:style>
  <w:style w:type="paragraph" w:styleId="4">
    <w:name w:val="Normal Indent"/>
    <w:qFormat/>
    <w:uiPriority w:val="0"/>
    <w:pPr>
      <w:widowControl w:val="0"/>
      <w:spacing w:line="0" w:lineRule="atLeast"/>
      <w:ind w:firstLine="420"/>
      <w:jc w:val="both"/>
    </w:pPr>
    <w:rPr>
      <w:rFonts w:ascii="Calibri" w:hAnsi="Calibri" w:eastAsia="宋体" w:cs="Times New Roman"/>
      <w:kern w:val="2"/>
      <w:sz w:val="21"/>
      <w:lang w:val="en-US" w:eastAsia="zh-CN" w:bidi="ar-SA"/>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8">
    <w:name w:val="默认段落字体1"/>
    <w:semiHidden/>
    <w:qFormat/>
    <w:uiPriority w:val="0"/>
  </w:style>
  <w:style w:type="table" w:customStyle="1" w:styleId="9">
    <w:name w:val="普通表格1"/>
    <w:semiHidden/>
    <w:qFormat/>
    <w:uiPriority w:val="0"/>
    <w:tblPr>
      <w:tblCellMar>
        <w:top w:w="0" w:type="dxa"/>
        <w:left w:w="0" w:type="dxa"/>
        <w:bottom w:w="0" w:type="dxa"/>
        <w:right w:w="0" w:type="dxa"/>
      </w:tblCellMar>
    </w:tblPr>
  </w:style>
  <w:style w:type="paragraph" w:customStyle="1" w:styleId="10">
    <w:name w:val="正文文本1"/>
    <w:qFormat/>
    <w:uiPriority w:val="0"/>
    <w:pPr>
      <w:widowControl w:val="0"/>
      <w:spacing w:line="460" w:lineRule="exact"/>
      <w:jc w:val="center"/>
    </w:pPr>
    <w:rPr>
      <w:rFonts w:ascii="宋体" w:hAnsi="Calibri" w:eastAsia="宋体" w:cs="Times New Roman"/>
      <w:spacing w:val="6"/>
      <w:kern w:val="2"/>
      <w:sz w:val="28"/>
      <w:lang w:val="en-US" w:eastAsia="zh-CN" w:bidi="ar-SA"/>
    </w:rPr>
  </w:style>
  <w:style w:type="paragraph" w:customStyle="1" w:styleId="11">
    <w:name w:val="xl27"/>
    <w:qFormat/>
    <w:uiPriority w:val="0"/>
    <w:pPr>
      <w:pBdr>
        <w:bottom w:val="single" w:color="auto" w:sz="4" w:space="0"/>
        <w:right w:val="single" w:color="auto" w:sz="4" w:space="0"/>
      </w:pBdr>
      <w:spacing w:before="100" w:beforeAutospacing="1" w:after="100" w:afterAutospacing="1"/>
      <w:jc w:val="center"/>
    </w:pPr>
    <w:rPr>
      <w:rFonts w:ascii="Calibri" w:hAnsi="Calibri" w:eastAsia="Arial Unicode MS" w:cs="Times New Roman"/>
      <w:sz w:val="21"/>
      <w:szCs w:val="21"/>
      <w:lang w:val="en-US" w:eastAsia="zh-CN" w:bidi="ar-SA"/>
    </w:rPr>
  </w:style>
  <w:style w:type="paragraph" w:customStyle="1" w:styleId="12">
    <w:name w:val="正文文本缩进1"/>
    <w:qFormat/>
    <w:uiPriority w:val="0"/>
    <w:pPr>
      <w:widowControl w:val="0"/>
      <w:spacing w:after="120"/>
      <w:ind w:left="420" w:leftChars="200"/>
      <w:jc w:val="both"/>
    </w:pPr>
    <w:rPr>
      <w:rFonts w:ascii="Times New Roman" w:hAnsi="Times New Roman" w:eastAsia="宋体" w:cs="Times New Roman"/>
      <w:kern w:val="2"/>
      <w:sz w:val="21"/>
      <w:szCs w:val="24"/>
      <w:lang w:val="en-US" w:eastAsia="zh-CN" w:bidi="ar-SA"/>
    </w:rPr>
  </w:style>
  <w:style w:type="paragraph" w:customStyle="1" w:styleId="13">
    <w:name w:val="批注框文本1"/>
    <w:basedOn w:val="1"/>
    <w:link w:val="14"/>
    <w:qFormat/>
    <w:uiPriority w:val="0"/>
    <w:rPr>
      <w:sz w:val="18"/>
      <w:szCs w:val="18"/>
    </w:rPr>
  </w:style>
  <w:style w:type="character" w:customStyle="1" w:styleId="14">
    <w:name w:val="批注框文本 Char"/>
    <w:link w:val="13"/>
    <w:qFormat/>
    <w:uiPriority w:val="0"/>
    <w:rPr>
      <w:rFonts w:ascii="Calibri" w:hAnsi="Calibri"/>
      <w:kern w:val="2"/>
      <w:sz w:val="18"/>
      <w:szCs w:val="18"/>
    </w:rPr>
  </w:style>
  <w:style w:type="paragraph" w:customStyle="1" w:styleId="15">
    <w:name w:val="页脚1"/>
    <w:link w:val="16"/>
    <w:qFormat/>
    <w:uiPriority w:val="0"/>
    <w:pPr>
      <w:widowControl w:val="0"/>
      <w:tabs>
        <w:tab w:val="center" w:pos="4153"/>
        <w:tab w:val="right" w:pos="8306"/>
      </w:tabs>
      <w:snapToGrid w:val="0"/>
    </w:pPr>
    <w:rPr>
      <w:rFonts w:ascii="Calibri" w:hAnsi="Calibri" w:eastAsia="宋体" w:cs="Times New Roman"/>
      <w:kern w:val="2"/>
      <w:sz w:val="18"/>
      <w:szCs w:val="18"/>
      <w:lang w:val="en-US" w:eastAsia="zh-CN" w:bidi="ar-SA"/>
    </w:rPr>
  </w:style>
  <w:style w:type="character" w:customStyle="1" w:styleId="16">
    <w:name w:val="页脚 Char"/>
    <w:link w:val="15"/>
    <w:qFormat/>
    <w:uiPriority w:val="0"/>
    <w:rPr>
      <w:rFonts w:ascii="Calibri" w:hAnsi="Calibri"/>
      <w:kern w:val="2"/>
      <w:sz w:val="18"/>
      <w:szCs w:val="18"/>
      <w:lang w:bidi="ar-SA"/>
    </w:rPr>
  </w:style>
  <w:style w:type="paragraph" w:customStyle="1" w:styleId="17">
    <w:name w:val="页眉1"/>
    <w:link w:val="18"/>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bidi="ar-SA"/>
    </w:rPr>
  </w:style>
  <w:style w:type="character" w:customStyle="1" w:styleId="18">
    <w:name w:val="页眉 Char"/>
    <w:link w:val="17"/>
    <w:qFormat/>
    <w:uiPriority w:val="0"/>
    <w:rPr>
      <w:rFonts w:ascii="Calibri" w:hAnsi="Calibri"/>
      <w:kern w:val="2"/>
      <w:sz w:val="18"/>
      <w:szCs w:val="18"/>
      <w:lang w:bidi="ar-SA"/>
    </w:rPr>
  </w:style>
  <w:style w:type="paragraph" w:customStyle="1" w:styleId="19">
    <w:name w:val="普通(网站)1"/>
    <w:basedOn w:val="1"/>
    <w:link w:val="20"/>
    <w:qFormat/>
    <w:uiPriority w:val="0"/>
    <w:pPr>
      <w:widowControl/>
      <w:spacing w:before="100" w:beforeAutospacing="1" w:after="100" w:afterAutospacing="1"/>
      <w:jc w:val="left"/>
    </w:pPr>
    <w:rPr>
      <w:rFonts w:ascii="宋体" w:hAnsi="宋体"/>
      <w:kern w:val="0"/>
      <w:sz w:val="24"/>
    </w:rPr>
  </w:style>
  <w:style w:type="character" w:customStyle="1" w:styleId="20">
    <w:name w:val="普通(网站) Char"/>
    <w:link w:val="19"/>
    <w:qFormat/>
    <w:uiPriority w:val="0"/>
    <w:rPr>
      <w:rFonts w:ascii="宋体" w:hAnsi="宋体"/>
      <w:sz w:val="24"/>
      <w:szCs w:val="24"/>
    </w:rPr>
  </w:style>
  <w:style w:type="paragraph" w:customStyle="1" w:styleId="21">
    <w:name w:val="正文首行缩进1"/>
    <w:qFormat/>
    <w:uiPriority w:val="0"/>
    <w:pPr>
      <w:widowControl w:val="0"/>
      <w:overflowPunct w:val="0"/>
      <w:autoSpaceDE w:val="0"/>
      <w:autoSpaceDN w:val="0"/>
      <w:spacing w:line="360" w:lineRule="auto"/>
      <w:ind w:firstLine="539"/>
      <w:jc w:val="center"/>
    </w:pPr>
    <w:rPr>
      <w:rFonts w:ascii="宋体" w:hAnsi="Calibri" w:eastAsia="宋体" w:cs="Times New Roman"/>
      <w:spacing w:val="6"/>
      <w:sz w:val="28"/>
      <w:lang w:val="en-US" w:eastAsia="zh-CN" w:bidi="ar-SA"/>
    </w:rPr>
  </w:style>
  <w:style w:type="paragraph" w:customStyle="1" w:styleId="22">
    <w:name w:val="正文首行缩进 21"/>
    <w:qFormat/>
    <w:uiPriority w:val="0"/>
    <w:pPr>
      <w:widowControl w:val="0"/>
      <w:spacing w:after="120" w:line="360" w:lineRule="auto"/>
      <w:ind w:left="200" w:leftChars="200" w:firstLine="1446" w:firstLineChars="200"/>
      <w:jc w:val="both"/>
    </w:pPr>
    <w:rPr>
      <w:rFonts w:ascii="Times New Roman" w:hAnsi="Times New Roman" w:eastAsia="宋体" w:cs="Times New Roman"/>
      <w:kern w:val="2"/>
      <w:sz w:val="21"/>
      <w:szCs w:val="24"/>
      <w:lang w:val="en-US" w:eastAsia="zh-CN" w:bidi="ar-SA"/>
    </w:rPr>
  </w:style>
  <w:style w:type="character" w:customStyle="1" w:styleId="23">
    <w:name w:val="页码1"/>
    <w:qFormat/>
    <w:uiPriority w:val="0"/>
  </w:style>
  <w:style w:type="paragraph" w:customStyle="1" w:styleId="24">
    <w:name w:val="Default"/>
    <w:qFormat/>
    <w:uiPriority w:val="0"/>
    <w:pPr>
      <w:widowControl w:val="0"/>
      <w:autoSpaceDE w:val="0"/>
      <w:autoSpaceDN w:val="0"/>
      <w:ind w:firstLine="480"/>
      <w:jc w:val="both"/>
    </w:pPr>
    <w:rPr>
      <w:rFonts w:ascii="Calibri" w:hAnsi="Calibri" w:eastAsia="宋体" w:cs="Times New Roman"/>
      <w:color w:val="000000"/>
      <w:kern w:val="2"/>
      <w:sz w:val="24"/>
      <w:szCs w:val="24"/>
      <w:lang w:val="en-US" w:eastAsia="zh-CN" w:bidi="ar-SA"/>
    </w:rPr>
  </w:style>
  <w:style w:type="paragraph" w:customStyle="1" w:styleId="25">
    <w:name w:val="文本"/>
    <w:qFormat/>
    <w:uiPriority w:val="0"/>
    <w:pPr>
      <w:widowControl w:val="0"/>
      <w:autoSpaceDE w:val="0"/>
      <w:autoSpaceDN w:val="0"/>
      <w:ind w:firstLine="480"/>
      <w:jc w:val="both"/>
    </w:pPr>
    <w:rPr>
      <w:rFonts w:ascii="Calibri" w:hAnsi="Calibri" w:eastAsia="宋体" w:cs="Times New Roman"/>
      <w:kern w:val="2"/>
      <w:sz w:val="21"/>
      <w:szCs w:val="24"/>
      <w:lang w:val="zh-CN" w:eastAsia="zh-CN" w:bidi="ar-SA"/>
    </w:rPr>
  </w:style>
  <w:style w:type="paragraph" w:styleId="2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2327</Words>
  <Characters>2567</Characters>
  <Lines>18</Lines>
  <Paragraphs>5</Paragraphs>
  <TotalTime>0</TotalTime>
  <ScaleCrop>false</ScaleCrop>
  <LinksUpToDate>false</LinksUpToDate>
  <CharactersWithSpaces>2601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2025-06-05T06:36:00Z</dcterms:created>
  <dc:creator>Tang</dc:creator>
  <cp:lastModifiedBy>Tang</cp:lastModifiedBy>
  <cp:lastPrinted>2025-10-31T01:16:00Z</cp:lastPrinted>
  <dcterms:modified xsi:type="dcterms:W3CDTF">2025-10-31T07:24:14Z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eyJoZGlkIjoiNmQxNDU1MGViZjAxZDMxYzUyZmM1YTc3NmYxMDY2NjgiLCJ1c2VySWQiOiIxMjk3NjkzMjgwIn0=</vt:lpwstr>
  </property>
  <property fmtid="{D5CDD505-2E9C-101B-9397-08002B2CF9AE}" pid="3" name="KSOProductBuildVer">
    <vt:lpwstr>2052-12.1.0.23125</vt:lpwstr>
  </property>
  <property fmtid="{D5CDD505-2E9C-101B-9397-08002B2CF9AE}" pid="4" name="ICV">
    <vt:lpwstr>4D7891418D5540BDA475EBBD55EA5C65_13</vt:lpwstr>
  </property>
</Properties>
</file>