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8E1585">
      <w:pPr>
        <w:keepNext w:val="0"/>
        <w:keepLines w:val="0"/>
        <w:pageBreakBefore w:val="0"/>
        <w:widowControl/>
        <w:shd w:val="clear" w:color="auto" w:fill="FFFFFF"/>
        <w:kinsoku/>
        <w:wordWrap/>
        <w:overflowPunct/>
        <w:topLinePunct w:val="0"/>
        <w:autoSpaceDE/>
        <w:autoSpaceDN/>
        <w:bidi w:val="0"/>
        <w:adjustRightInd/>
        <w:spacing w:line="560" w:lineRule="exact"/>
        <w:jc w:val="center"/>
        <w:textAlignment w:val="auto"/>
        <w:rPr>
          <w:rFonts w:hint="eastAsia" w:ascii="方正小标宋简体" w:hAnsi="Times New Roman" w:eastAsia="方正小标宋简体" w:cs="Times New Roman"/>
          <w:color w:val="000000" w:themeColor="text1"/>
          <w:kern w:val="0"/>
          <w:sz w:val="44"/>
          <w:szCs w:val="44"/>
          <w14:textFill>
            <w14:solidFill>
              <w14:schemeClr w14:val="tx1"/>
            </w14:solidFill>
          </w14:textFill>
        </w:rPr>
      </w:pPr>
      <w:r>
        <w:rPr>
          <w:rFonts w:hint="eastAsia" w:ascii="方正小标宋简体" w:hAnsi="Times New Roman" w:eastAsia="方正小标宋简体" w:cs="Times New Roman"/>
          <w:color w:val="000000" w:themeColor="text1"/>
          <w:kern w:val="0"/>
          <w:sz w:val="44"/>
          <w:szCs w:val="44"/>
          <w14:textFill>
            <w14:solidFill>
              <w14:schemeClr w14:val="tx1"/>
            </w14:solidFill>
          </w14:textFill>
        </w:rPr>
        <w:t>湘潭县烟花爆竹</w:t>
      </w:r>
      <w:r>
        <w:rPr>
          <w:rFonts w:hint="eastAsia" w:ascii="方正小标宋简体" w:hAnsi="Times New Roman" w:eastAsia="方正小标宋简体" w:cs="Times New Roman"/>
          <w:strike w:val="0"/>
          <w:dstrike w:val="0"/>
          <w:color w:val="000000" w:themeColor="text1"/>
          <w:kern w:val="0"/>
          <w:sz w:val="44"/>
          <w:szCs w:val="44"/>
          <w:lang w:eastAsia="zh-CN"/>
          <w14:textFill>
            <w14:solidFill>
              <w14:schemeClr w14:val="tx1"/>
            </w14:solidFill>
          </w14:textFill>
        </w:rPr>
        <w:t>零售经营布点规划</w:t>
      </w:r>
    </w:p>
    <w:p w14:paraId="0F98984F">
      <w:pPr>
        <w:keepNext w:val="0"/>
        <w:keepLines w:val="0"/>
        <w:pageBreakBefore w:val="0"/>
        <w:widowControl/>
        <w:shd w:val="clear" w:color="auto" w:fill="FFFFFF"/>
        <w:kinsoku/>
        <w:wordWrap/>
        <w:overflowPunct/>
        <w:topLinePunct w:val="0"/>
        <w:autoSpaceDE/>
        <w:autoSpaceDN/>
        <w:bidi w:val="0"/>
        <w:adjustRightInd/>
        <w:spacing w:line="560" w:lineRule="exact"/>
        <w:jc w:val="center"/>
        <w:textAlignment w:val="auto"/>
        <w:rPr>
          <w:rFonts w:hint="eastAsia" w:ascii="楷体" w:hAnsi="楷体" w:eastAsia="楷体" w:cs="楷体"/>
          <w:color w:val="000000" w:themeColor="text1"/>
          <w:kern w:val="0"/>
          <w:sz w:val="32"/>
          <w:szCs w:val="32"/>
          <w:lang w:val="en-US" w:eastAsia="zh-CN"/>
          <w14:textFill>
            <w14:solidFill>
              <w14:schemeClr w14:val="tx1"/>
            </w14:solidFill>
          </w14:textFill>
        </w:rPr>
      </w:pPr>
      <w:r>
        <w:rPr>
          <w:rFonts w:hint="eastAsia" w:ascii="楷体" w:hAnsi="楷体" w:eastAsia="楷体" w:cs="楷体"/>
          <w:color w:val="000000" w:themeColor="text1"/>
          <w:kern w:val="0"/>
          <w:sz w:val="32"/>
          <w:szCs w:val="32"/>
          <w:lang w:val="en-US" w:eastAsia="zh-CN"/>
          <w14:textFill>
            <w14:solidFill>
              <w14:schemeClr w14:val="tx1"/>
            </w14:solidFill>
          </w14:textFill>
        </w:rPr>
        <w:t>（2025-2029·征求意见稿)</w:t>
      </w:r>
    </w:p>
    <w:p w14:paraId="31D6D8FA">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pPr>
    </w:p>
    <w:p w14:paraId="7759FF6D">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pPr>
      <w:r>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t>为进一步加强烟花爆竹经营安全管理，推动我县大气环境质量持续改善，规范经营市场秩序，有效遏制非法储存、经营烟花爆竹等行为</w:t>
      </w:r>
      <w:r>
        <w:rPr>
          <w:rFonts w:hint="eastAsia" w:ascii="仿宋_GB2312" w:hAnsi="仿宋_GB2312" w:eastAsia="仿宋_GB2312" w:cs="仿宋_GB2312"/>
          <w:strike w:val="0"/>
          <w:dstrike w:val="0"/>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t>确保人民群众生命财产安全，维护社会稳定，依据相关法律法规及行业标准，结合我县实际情况，特制定本规划。</w:t>
      </w:r>
    </w:p>
    <w:p w14:paraId="379D04F5">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一、指导思想</w:t>
      </w:r>
    </w:p>
    <w:p w14:paraId="44734E3E">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t>以</w:t>
      </w:r>
      <w:r>
        <w:rPr>
          <w:rFonts w:hint="eastAsia" w:ascii="仿宋_GB2312" w:hAnsi="仿宋_GB2312" w:eastAsia="仿宋_GB2312" w:cs="仿宋_GB2312"/>
          <w:color w:val="000000" w:themeColor="text1"/>
          <w:sz w:val="32"/>
          <w:szCs w:val="32"/>
          <w14:textFill>
            <w14:solidFill>
              <w14:schemeClr w14:val="tx1"/>
            </w14:solidFill>
          </w14:textFill>
        </w:rPr>
        <w:t>“保障安全、统一规划、合理布局、总量控制、适度竞争”</w:t>
      </w:r>
      <w:r>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t>为</w:t>
      </w:r>
      <w:r>
        <w:rPr>
          <w:rFonts w:hint="eastAsia" w:ascii="仿宋_GB2312" w:hAnsi="仿宋_GB2312" w:eastAsia="仿宋_GB2312" w:cs="仿宋_GB2312"/>
          <w:color w:val="000000" w:themeColor="text1"/>
          <w:sz w:val="32"/>
          <w:szCs w:val="32"/>
          <w14:textFill>
            <w14:solidFill>
              <w14:schemeClr w14:val="tx1"/>
            </w14:solidFill>
          </w14:textFill>
        </w:rPr>
        <w:t>原则，以“稳定为主、规模划分、方便群众、合理布点”</w:t>
      </w:r>
      <w:r>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t>为导向</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以我县实际情况为基础，以</w:t>
      </w:r>
      <w:r>
        <w:rPr>
          <w:rFonts w:hint="eastAsia" w:ascii="仿宋_GB2312" w:hAnsi="仿宋_GB2312" w:eastAsia="仿宋_GB2312" w:cs="仿宋_GB2312"/>
          <w:color w:val="000000" w:themeColor="text1"/>
          <w:sz w:val="32"/>
          <w:szCs w:val="32"/>
          <w14:textFill>
            <w14:solidFill>
              <w14:schemeClr w14:val="tx1"/>
            </w14:solidFill>
          </w14:textFill>
        </w:rPr>
        <w:t>建立公平、公开、公正、诚信、规范、</w:t>
      </w:r>
      <w:r>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t>安全</w:t>
      </w:r>
      <w:r>
        <w:rPr>
          <w:rFonts w:hint="eastAsia" w:ascii="仿宋_GB2312" w:hAnsi="仿宋_GB2312" w:eastAsia="仿宋_GB2312" w:cs="仿宋_GB2312"/>
          <w:color w:val="000000" w:themeColor="text1"/>
          <w:sz w:val="32"/>
          <w:szCs w:val="32"/>
          <w14:textFill>
            <w14:solidFill>
              <w14:schemeClr w14:val="tx1"/>
            </w14:solidFill>
          </w14:textFill>
        </w:rPr>
        <w:t>的</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流通</w:t>
      </w:r>
      <w:r>
        <w:rPr>
          <w:rFonts w:hint="eastAsia" w:ascii="仿宋_GB2312" w:hAnsi="仿宋_GB2312" w:eastAsia="仿宋_GB2312" w:cs="仿宋_GB2312"/>
          <w:color w:val="000000" w:themeColor="text1"/>
          <w:sz w:val="32"/>
          <w:szCs w:val="32"/>
          <w14:textFill>
            <w14:solidFill>
              <w14:schemeClr w14:val="tx1"/>
            </w14:solidFill>
          </w14:textFill>
        </w:rPr>
        <w:t>市场</w:t>
      </w:r>
      <w:r>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t>为目标</w:t>
      </w:r>
      <w:r>
        <w:rPr>
          <w:rFonts w:hint="eastAsia" w:ascii="仿宋_GB2312" w:hAnsi="仿宋_GB2312" w:eastAsia="仿宋_GB2312" w:cs="仿宋_GB2312"/>
          <w:color w:val="000000" w:themeColor="text1"/>
          <w:sz w:val="32"/>
          <w:szCs w:val="32"/>
          <w14:textFill>
            <w14:solidFill>
              <w14:schemeClr w14:val="tx1"/>
            </w14:solidFill>
          </w14:textFill>
        </w:rPr>
        <w:t>，进一步理顺</w:t>
      </w:r>
      <w:r>
        <w:rPr>
          <w:rFonts w:hint="eastAsia" w:ascii="仿宋_GB2312" w:hAnsi="仿宋_GB2312" w:eastAsia="仿宋_GB2312" w:cs="仿宋_GB2312"/>
          <w:color w:val="000000" w:themeColor="text1"/>
          <w:sz w:val="32"/>
          <w:szCs w:val="32"/>
          <w:lang w:eastAsia="zh-CN"/>
          <w14:textFill>
            <w14:solidFill>
              <w14:schemeClr w14:val="tx1"/>
            </w14:solidFill>
          </w14:textFill>
        </w:rPr>
        <w:t>零售经营</w:t>
      </w:r>
      <w:r>
        <w:rPr>
          <w:rFonts w:hint="eastAsia" w:ascii="仿宋_GB2312" w:hAnsi="仿宋_GB2312" w:eastAsia="仿宋_GB2312" w:cs="仿宋_GB2312"/>
          <w:color w:val="000000" w:themeColor="text1"/>
          <w:sz w:val="32"/>
          <w:szCs w:val="32"/>
          <w14:textFill>
            <w14:solidFill>
              <w14:schemeClr w14:val="tx1"/>
            </w14:solidFill>
          </w14:textFill>
        </w:rPr>
        <w:t>布点规划</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加强烟花爆竹安全监管工作。</w:t>
      </w:r>
    </w:p>
    <w:p w14:paraId="0FC6A39E">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二、布点依据</w:t>
      </w:r>
    </w:p>
    <w:p w14:paraId="1D529345">
      <w:pPr>
        <w:keepNext w:val="0"/>
        <w:keepLines w:val="0"/>
        <w:pageBreakBefore w:val="0"/>
        <w:kinsoku/>
        <w:wordWrap w:val="0"/>
        <w:overflowPunct/>
        <w:topLinePunct w:val="0"/>
        <w:autoSpaceDE/>
        <w:autoSpaceDN/>
        <w:bidi w:val="0"/>
        <w:adjustRightInd/>
        <w:spacing w:line="560" w:lineRule="exact"/>
        <w:ind w:firstLine="664" w:firstLineChars="200"/>
        <w:jc w:val="left"/>
        <w:textAlignment w:val="auto"/>
        <w:rPr>
          <w:rFonts w:ascii="仿宋" w:hAnsi="仿宋" w:eastAsia="仿宋" w:cs="仿宋_GB2312"/>
          <w:spacing w:val="6"/>
          <w:sz w:val="32"/>
          <w:szCs w:val="32"/>
          <w:shd w:val="clear" w:color="auto" w:fill="FFFFFF"/>
        </w:rPr>
      </w:pPr>
      <w:r>
        <w:rPr>
          <w:rFonts w:hint="eastAsia" w:ascii="仿宋" w:hAnsi="仿宋" w:eastAsia="仿宋" w:cs="仿宋_GB2312"/>
          <w:spacing w:val="6"/>
          <w:sz w:val="32"/>
          <w:szCs w:val="32"/>
          <w:shd w:val="clear" w:color="auto" w:fill="FFFFFF"/>
        </w:rPr>
        <w:t>（一）《中华人民共和国安全生产法》；</w:t>
      </w:r>
    </w:p>
    <w:p w14:paraId="3C8F5EAC">
      <w:pPr>
        <w:keepNext w:val="0"/>
        <w:keepLines w:val="0"/>
        <w:pageBreakBefore w:val="0"/>
        <w:kinsoku/>
        <w:wordWrap w:val="0"/>
        <w:overflowPunct/>
        <w:topLinePunct w:val="0"/>
        <w:autoSpaceDE/>
        <w:autoSpaceDN/>
        <w:bidi w:val="0"/>
        <w:adjustRightInd/>
        <w:spacing w:line="560" w:lineRule="exact"/>
        <w:ind w:firstLine="664" w:firstLineChars="200"/>
        <w:jc w:val="left"/>
        <w:textAlignment w:val="auto"/>
        <w:rPr>
          <w:rFonts w:ascii="仿宋" w:hAnsi="仿宋" w:eastAsia="仿宋" w:cs="仿宋_GB2312"/>
          <w:spacing w:val="6"/>
          <w:sz w:val="32"/>
          <w:szCs w:val="32"/>
          <w:shd w:val="clear" w:color="auto" w:fill="FFFFFF"/>
        </w:rPr>
      </w:pPr>
      <w:r>
        <w:rPr>
          <w:rFonts w:hint="eastAsia" w:ascii="仿宋" w:hAnsi="仿宋" w:eastAsia="仿宋" w:cs="仿宋_GB2312"/>
          <w:spacing w:val="6"/>
          <w:sz w:val="32"/>
          <w:szCs w:val="32"/>
          <w:shd w:val="clear" w:color="auto" w:fill="FFFFFF"/>
        </w:rPr>
        <w:t>（二）《中华人民共和国消防法》；</w:t>
      </w:r>
    </w:p>
    <w:p w14:paraId="5274A0B4">
      <w:pPr>
        <w:keepNext w:val="0"/>
        <w:keepLines w:val="0"/>
        <w:pageBreakBefore w:val="0"/>
        <w:kinsoku/>
        <w:wordWrap w:val="0"/>
        <w:overflowPunct/>
        <w:topLinePunct w:val="0"/>
        <w:autoSpaceDE/>
        <w:autoSpaceDN/>
        <w:bidi w:val="0"/>
        <w:adjustRightInd/>
        <w:spacing w:line="560" w:lineRule="exact"/>
        <w:ind w:firstLine="664" w:firstLineChars="200"/>
        <w:jc w:val="left"/>
        <w:textAlignment w:val="auto"/>
        <w:rPr>
          <w:rFonts w:ascii="仿宋" w:hAnsi="仿宋" w:eastAsia="仿宋" w:cs="仿宋_GB2312"/>
          <w:spacing w:val="6"/>
          <w:sz w:val="32"/>
          <w:szCs w:val="32"/>
          <w:shd w:val="clear" w:color="auto" w:fill="FFFFFF"/>
        </w:rPr>
      </w:pPr>
      <w:r>
        <w:rPr>
          <w:rFonts w:hint="eastAsia" w:ascii="仿宋" w:hAnsi="仿宋" w:eastAsia="仿宋" w:cs="仿宋_GB2312"/>
          <w:spacing w:val="6"/>
          <w:sz w:val="32"/>
          <w:szCs w:val="32"/>
          <w:shd w:val="clear" w:color="auto" w:fill="FFFFFF"/>
        </w:rPr>
        <w:t>（三）《烟花爆竹安全管理条例》（国务院令第455号）；</w:t>
      </w:r>
    </w:p>
    <w:p w14:paraId="0C64C298">
      <w:pPr>
        <w:keepNext w:val="0"/>
        <w:keepLines w:val="0"/>
        <w:pageBreakBefore w:val="0"/>
        <w:kinsoku/>
        <w:wordWrap w:val="0"/>
        <w:overflowPunct/>
        <w:topLinePunct w:val="0"/>
        <w:autoSpaceDE/>
        <w:autoSpaceDN/>
        <w:bidi w:val="0"/>
        <w:adjustRightInd/>
        <w:spacing w:line="560" w:lineRule="exact"/>
        <w:ind w:firstLine="664" w:firstLineChars="200"/>
        <w:jc w:val="left"/>
        <w:textAlignment w:val="auto"/>
        <w:rPr>
          <w:rFonts w:ascii="仿宋" w:hAnsi="仿宋" w:eastAsia="仿宋" w:cs="仿宋_GB2312"/>
          <w:spacing w:val="6"/>
          <w:sz w:val="32"/>
          <w:szCs w:val="32"/>
          <w:shd w:val="clear" w:color="auto" w:fill="FFFFFF"/>
        </w:rPr>
      </w:pPr>
      <w:r>
        <w:rPr>
          <w:rFonts w:hint="eastAsia" w:ascii="仿宋" w:hAnsi="仿宋" w:eastAsia="仿宋" w:cs="仿宋_GB2312"/>
          <w:spacing w:val="6"/>
          <w:sz w:val="32"/>
          <w:szCs w:val="32"/>
          <w:shd w:val="clear" w:color="auto" w:fill="FFFFFF"/>
        </w:rPr>
        <w:t>（四）《烟花爆竹经营许可实施办法》（原国家安监总局令第65号）；</w:t>
      </w:r>
    </w:p>
    <w:p w14:paraId="700422B9">
      <w:pPr>
        <w:keepNext w:val="0"/>
        <w:keepLines w:val="0"/>
        <w:pageBreakBefore w:val="0"/>
        <w:kinsoku/>
        <w:wordWrap w:val="0"/>
        <w:overflowPunct/>
        <w:topLinePunct w:val="0"/>
        <w:autoSpaceDE/>
        <w:autoSpaceDN/>
        <w:bidi w:val="0"/>
        <w:adjustRightInd/>
        <w:spacing w:line="560" w:lineRule="exact"/>
        <w:ind w:firstLine="664" w:firstLineChars="200"/>
        <w:jc w:val="left"/>
        <w:textAlignment w:val="auto"/>
        <w:rPr>
          <w:rFonts w:ascii="仿宋" w:hAnsi="仿宋" w:eastAsia="仿宋" w:cs="仿宋_GB2312"/>
          <w:spacing w:val="6"/>
          <w:sz w:val="32"/>
          <w:szCs w:val="32"/>
          <w:shd w:val="clear" w:color="auto" w:fill="FFFFFF"/>
        </w:rPr>
      </w:pPr>
      <w:r>
        <w:rPr>
          <w:rFonts w:hint="eastAsia" w:ascii="仿宋" w:hAnsi="仿宋" w:eastAsia="仿宋" w:cs="仿宋_GB2312"/>
          <w:spacing w:val="6"/>
          <w:sz w:val="32"/>
          <w:szCs w:val="32"/>
          <w:shd w:val="clear" w:color="auto" w:fill="FFFFFF"/>
        </w:rPr>
        <w:t>（五）《烟花爆竹生产经营安全规定》（原国家安监总局令第93号）；</w:t>
      </w:r>
    </w:p>
    <w:p w14:paraId="415D8DA0">
      <w:pPr>
        <w:keepNext w:val="0"/>
        <w:keepLines w:val="0"/>
        <w:pageBreakBefore w:val="0"/>
        <w:kinsoku/>
        <w:wordWrap w:val="0"/>
        <w:overflowPunct/>
        <w:topLinePunct w:val="0"/>
        <w:autoSpaceDE/>
        <w:autoSpaceDN/>
        <w:bidi w:val="0"/>
        <w:adjustRightInd/>
        <w:spacing w:line="560" w:lineRule="exact"/>
        <w:ind w:firstLine="664" w:firstLineChars="200"/>
        <w:jc w:val="left"/>
        <w:textAlignment w:val="auto"/>
        <w:rPr>
          <w:rFonts w:hint="eastAsia" w:ascii="仿宋" w:hAnsi="仿宋" w:eastAsia="仿宋" w:cs="仿宋_GB2312"/>
          <w:spacing w:val="6"/>
          <w:sz w:val="32"/>
          <w:szCs w:val="32"/>
          <w:shd w:val="clear" w:color="auto" w:fill="FFFFFF"/>
        </w:rPr>
      </w:pPr>
      <w:r>
        <w:rPr>
          <w:rFonts w:hint="eastAsia" w:ascii="仿宋" w:hAnsi="仿宋" w:eastAsia="仿宋" w:cs="仿宋_GB2312"/>
          <w:spacing w:val="6"/>
          <w:sz w:val="32"/>
          <w:szCs w:val="32"/>
          <w:shd w:val="clear" w:color="auto" w:fill="FFFFFF"/>
        </w:rPr>
        <w:t>（六）《烟花爆竹零售店（点）安全技术规范》（AQ4128—2019）。</w:t>
      </w:r>
    </w:p>
    <w:p w14:paraId="0F856C4E">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outlineLvl w:val="9"/>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（七）《强化烟花爆竹管理和问题管控推动大气环境质量持续改善工作方案》（湘应急联发</w:t>
      </w:r>
      <w:r>
        <w:rPr>
          <w:rFonts w:hint="eastAsia" w:ascii="仿宋" w:hAnsi="仿宋" w:eastAsia="仿宋" w:cs="仿宋_GB2312"/>
          <w:spacing w:val="6"/>
          <w:sz w:val="32"/>
          <w:szCs w:val="32"/>
          <w:shd w:val="clear" w:color="auto" w:fill="FFFFFF"/>
          <w:lang w:val="en-US" w:eastAsia="zh-CN"/>
        </w:rPr>
        <w:t>[</w:t>
      </w:r>
      <w:r>
        <w:rPr>
          <w:rFonts w:hint="eastAsia" w:ascii="仿宋_GB2312" w:hAnsi="仿宋_GB2312" w:eastAsia="仿宋_GB2312" w:cs="仿宋_GB2312"/>
          <w:color w:val="auto"/>
          <w:sz w:val="32"/>
          <w:szCs w:val="32"/>
          <w:lang w:val="en-US" w:eastAsia="zh-CN"/>
        </w:rPr>
        <w:t>2025</w:t>
      </w:r>
      <w:r>
        <w:rPr>
          <w:rFonts w:hint="eastAsia" w:ascii="仿宋" w:hAnsi="仿宋" w:eastAsia="仿宋" w:cs="仿宋_GB2312"/>
          <w:spacing w:val="6"/>
          <w:sz w:val="32"/>
          <w:szCs w:val="32"/>
          <w:shd w:val="clear" w:color="auto" w:fill="FFFFFF"/>
          <w:lang w:val="en-US" w:eastAsia="zh-CN"/>
        </w:rPr>
        <w:t>]</w:t>
      </w:r>
      <w:r>
        <w:rPr>
          <w:rFonts w:hint="eastAsia" w:ascii="仿宋_GB2312" w:hAnsi="仿宋_GB2312" w:eastAsia="仿宋_GB2312" w:cs="仿宋_GB2312"/>
          <w:color w:val="auto"/>
          <w:sz w:val="32"/>
          <w:szCs w:val="32"/>
          <w:lang w:val="en-US" w:eastAsia="zh-CN"/>
        </w:rPr>
        <w:t>14号）</w:t>
      </w:r>
    </w:p>
    <w:p w14:paraId="60AD50D1">
      <w:pPr>
        <w:keepNext w:val="0"/>
        <w:keepLines w:val="0"/>
        <w:pageBreakBefore w:val="0"/>
        <w:widowControl w:val="0"/>
        <w:kinsoku/>
        <w:overflowPunct/>
        <w:topLinePunct w:val="0"/>
        <w:autoSpaceDE/>
        <w:autoSpaceDN/>
        <w:bidi w:val="0"/>
        <w:adjustRightInd/>
        <w:snapToGrid/>
        <w:spacing w:line="560" w:lineRule="exact"/>
        <w:ind w:firstLine="664" w:firstLineChars="200"/>
        <w:textAlignment w:val="auto"/>
        <w:outlineLvl w:val="9"/>
        <w:rPr>
          <w:rFonts w:hint="eastAsia" w:ascii="仿宋" w:hAnsi="仿宋" w:eastAsia="仿宋" w:cs="仿宋_GB2312"/>
          <w:spacing w:val="6"/>
          <w:sz w:val="32"/>
          <w:szCs w:val="32"/>
          <w:shd w:val="clear" w:color="auto" w:fill="FFFFFF"/>
          <w:lang w:val="en-US" w:eastAsia="zh-CN"/>
        </w:rPr>
      </w:pPr>
      <w:r>
        <w:rPr>
          <w:rFonts w:hint="eastAsia" w:ascii="仿宋" w:hAnsi="仿宋" w:eastAsia="仿宋" w:cs="仿宋_GB2312"/>
          <w:spacing w:val="6"/>
          <w:sz w:val="32"/>
          <w:szCs w:val="32"/>
          <w:shd w:val="clear" w:color="auto" w:fill="FFFFFF"/>
          <w:lang w:val="en-US" w:eastAsia="zh-CN"/>
        </w:rPr>
        <w:t>（八）《湘潭县人民政府关于市城区禁止燃放烟花爆竹的通告》（潭县政通[2024]2号）</w:t>
      </w:r>
    </w:p>
    <w:p w14:paraId="0323D519">
      <w:pPr>
        <w:keepNext w:val="0"/>
        <w:keepLines w:val="0"/>
        <w:pageBreakBefore w:val="0"/>
        <w:kinsoku/>
        <w:wordWrap w:val="0"/>
        <w:overflowPunct/>
        <w:topLinePunct w:val="0"/>
        <w:autoSpaceDE/>
        <w:autoSpaceDN/>
        <w:bidi w:val="0"/>
        <w:adjustRightInd/>
        <w:spacing w:line="560" w:lineRule="exact"/>
        <w:ind w:firstLine="664" w:firstLineChars="200"/>
        <w:jc w:val="left"/>
        <w:textAlignment w:val="auto"/>
        <w:rPr>
          <w:rFonts w:hint="eastAsia" w:ascii="仿宋" w:hAnsi="仿宋" w:eastAsia="仿宋" w:cs="仿宋_GB2312"/>
          <w:spacing w:val="6"/>
          <w:sz w:val="32"/>
          <w:szCs w:val="32"/>
          <w:shd w:val="clear" w:color="auto" w:fill="FFFFFF"/>
          <w:lang w:val="en-US" w:eastAsia="zh-CN"/>
        </w:rPr>
      </w:pPr>
      <w:r>
        <w:rPr>
          <w:rFonts w:hint="eastAsia" w:ascii="仿宋" w:hAnsi="仿宋" w:eastAsia="仿宋" w:cs="仿宋_GB2312"/>
          <w:spacing w:val="6"/>
          <w:sz w:val="32"/>
          <w:szCs w:val="32"/>
          <w:shd w:val="clear" w:color="auto" w:fill="FFFFFF"/>
          <w:lang w:val="en-US" w:eastAsia="zh-CN"/>
        </w:rPr>
        <w:t>（九）《湘潭市应急管理局关于进一步优化完善烟花爆竹零售店（点）布点规划的通知》（潭应急函[2025]40号）</w:t>
      </w:r>
    </w:p>
    <w:p w14:paraId="34B85977">
      <w:pPr>
        <w:keepNext w:val="0"/>
        <w:keepLines w:val="0"/>
        <w:pageBreakBefore w:val="0"/>
        <w:kinsoku/>
        <w:wordWrap w:val="0"/>
        <w:overflowPunct/>
        <w:topLinePunct w:val="0"/>
        <w:autoSpaceDE/>
        <w:autoSpaceDN/>
        <w:bidi w:val="0"/>
        <w:adjustRightInd/>
        <w:spacing w:line="560" w:lineRule="exact"/>
        <w:ind w:firstLine="664" w:firstLineChars="200"/>
        <w:jc w:val="left"/>
        <w:textAlignment w:val="auto"/>
        <w:rPr>
          <w:rFonts w:hint="eastAsia" w:ascii="仿宋" w:hAnsi="仿宋" w:eastAsia="仿宋" w:cs="仿宋_GB2312"/>
          <w:b w:val="0"/>
          <w:bCs w:val="0"/>
          <w:spacing w:val="6"/>
          <w:sz w:val="32"/>
          <w:szCs w:val="32"/>
          <w:shd w:val="clear" w:color="auto" w:fill="FFFFFF"/>
          <w:lang w:val="en-US" w:eastAsia="zh-CN"/>
        </w:rPr>
      </w:pPr>
      <w:r>
        <w:rPr>
          <w:rFonts w:hint="eastAsia" w:ascii="仿宋" w:hAnsi="仿宋" w:eastAsia="仿宋" w:cs="仿宋_GB2312"/>
          <w:spacing w:val="6"/>
          <w:sz w:val="32"/>
          <w:szCs w:val="32"/>
          <w:shd w:val="clear" w:color="auto" w:fill="FFFFFF"/>
          <w:lang w:val="en-US" w:eastAsia="zh-CN"/>
        </w:rPr>
        <w:t>（十）《湘潭市烟花爆竹零售经营店设立指南》（潭应急发[2025]9</w:t>
      </w:r>
      <w:r>
        <w:rPr>
          <w:rFonts w:hint="eastAsia" w:ascii="仿宋" w:hAnsi="仿宋" w:eastAsia="仿宋" w:cs="仿宋_GB2312"/>
          <w:b w:val="0"/>
          <w:bCs w:val="0"/>
          <w:spacing w:val="6"/>
          <w:sz w:val="32"/>
          <w:szCs w:val="32"/>
          <w:shd w:val="clear" w:color="auto" w:fill="FFFFFF"/>
          <w:lang w:val="en-US" w:eastAsia="zh-CN"/>
        </w:rPr>
        <w:t>号）</w:t>
      </w:r>
    </w:p>
    <w:p w14:paraId="4AE1FFCC">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outlineLvl w:val="9"/>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（十一）规划制定后，上级行政机关设立了其他规定的从其规定。</w:t>
      </w:r>
    </w:p>
    <w:p w14:paraId="0089B9D5">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三、</w:t>
      </w:r>
      <w:r>
        <w:rPr>
          <w:rFonts w:hint="eastAsia" w:ascii="黑体" w:hAnsi="黑体" w:eastAsia="黑体" w:cs="黑体"/>
          <w:color w:val="000000" w:themeColor="text1"/>
          <w:sz w:val="32"/>
          <w:szCs w:val="32"/>
          <w14:textFill>
            <w14:solidFill>
              <w14:schemeClr w14:val="tx1"/>
            </w14:solidFill>
          </w14:textFill>
        </w:rPr>
        <w:t>布点要求</w:t>
      </w:r>
    </w:p>
    <w:p w14:paraId="51EA050E">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w:t>
      </w:r>
      <w:r>
        <w:rPr>
          <w:rFonts w:hint="eastAsia" w:ascii="仿宋_GB2312" w:hAnsi="仿宋_GB2312" w:eastAsia="仿宋_GB2312" w:cs="仿宋_GB2312"/>
          <w:color w:val="000000" w:themeColor="text1"/>
          <w:sz w:val="32"/>
          <w:szCs w:val="32"/>
          <w:lang w:eastAsia="zh-CN"/>
          <w14:textFill>
            <w14:solidFill>
              <w14:schemeClr w14:val="tx1"/>
            </w14:solidFill>
          </w14:textFill>
        </w:rPr>
        <w:t>零售经营者应符合</w:t>
      </w:r>
      <w:r>
        <w:rPr>
          <w:rFonts w:hint="eastAsia" w:ascii="仿宋_GB2312" w:hAnsi="仿宋_GB2312" w:eastAsia="仿宋_GB2312" w:cs="仿宋_GB2312"/>
          <w:color w:val="000000" w:themeColor="text1"/>
          <w:sz w:val="32"/>
          <w:szCs w:val="32"/>
          <w14:textFill>
            <w14:solidFill>
              <w14:schemeClr w14:val="tx1"/>
            </w14:solidFill>
          </w14:textFill>
        </w:rPr>
        <w:t>《烟花爆竹经营许可实施办法》</w:t>
      </w:r>
      <w:r>
        <w:rPr>
          <w:rFonts w:hint="eastAsia" w:ascii="仿宋_GB2312" w:hAnsi="仿宋_GB2312" w:eastAsia="仿宋_GB2312" w:cs="仿宋_GB2312"/>
          <w:color w:val="000000" w:themeColor="text1"/>
          <w:sz w:val="32"/>
          <w:szCs w:val="32"/>
          <w:lang w:eastAsia="zh-CN"/>
          <w14:textFill>
            <w14:solidFill>
              <w14:schemeClr w14:val="tx1"/>
            </w14:solidFill>
          </w14:textFill>
        </w:rPr>
        <w:t>的</w:t>
      </w:r>
      <w:r>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t>相关</w:t>
      </w:r>
      <w:r>
        <w:rPr>
          <w:rFonts w:hint="eastAsia" w:ascii="仿宋_GB2312" w:hAnsi="仿宋_GB2312" w:eastAsia="仿宋_GB2312" w:cs="仿宋_GB2312"/>
          <w:color w:val="000000" w:themeColor="text1"/>
          <w:sz w:val="32"/>
          <w:szCs w:val="32"/>
          <w:lang w:eastAsia="zh-CN"/>
          <w14:textFill>
            <w14:solidFill>
              <w14:schemeClr w14:val="tx1"/>
            </w14:solidFill>
          </w14:textFill>
        </w:rPr>
        <w:t>要求；</w:t>
      </w:r>
    </w:p>
    <w:p w14:paraId="4F0120A6">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14:textFill>
            <w14:solidFill>
              <w14:schemeClr w14:val="tx1"/>
            </w14:solidFill>
          </w14:textFill>
        </w:rPr>
        <w:t>）烟花爆竹</w:t>
      </w:r>
      <w:r>
        <w:rPr>
          <w:rFonts w:hint="eastAsia" w:ascii="仿宋_GB2312" w:hAnsi="仿宋_GB2312" w:eastAsia="仿宋_GB2312" w:cs="仿宋_GB2312"/>
          <w:color w:val="000000" w:themeColor="text1"/>
          <w:sz w:val="32"/>
          <w:szCs w:val="32"/>
          <w:lang w:eastAsia="zh-CN"/>
          <w14:textFill>
            <w14:solidFill>
              <w14:schemeClr w14:val="tx1"/>
            </w14:solidFill>
          </w14:textFill>
        </w:rPr>
        <w:t>零售</w:t>
      </w:r>
      <w:r>
        <w:rPr>
          <w:rFonts w:hint="eastAsia" w:ascii="仿宋_GB2312" w:hAnsi="仿宋_GB2312" w:eastAsia="仿宋_GB2312" w:cs="仿宋_GB2312"/>
          <w:color w:val="000000" w:themeColor="text1"/>
          <w:sz w:val="32"/>
          <w:szCs w:val="32"/>
          <w14:textFill>
            <w14:solidFill>
              <w14:schemeClr w14:val="tx1"/>
            </w14:solidFill>
          </w14:textFill>
        </w:rPr>
        <w:t>经营场所选址必须符合《烟花爆竹零售店(点)安全技术规范》</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《湘潭市烟花爆竹零售经营店设立指南》的安全条件;</w:t>
      </w:r>
    </w:p>
    <w:p w14:paraId="485F0E72">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color w:val="000000" w:themeColor="text1"/>
          <w:sz w:val="32"/>
          <w:szCs w:val="32"/>
          <w14:textFill>
            <w14:solidFill>
              <w14:schemeClr w14:val="tx1"/>
            </w14:solidFill>
          </w14:textFill>
        </w:rPr>
        <w:t>）申请经营零售</w:t>
      </w:r>
      <w:r>
        <w:rPr>
          <w:rFonts w:hint="eastAsia" w:ascii="仿宋_GB2312" w:hAnsi="仿宋_GB2312" w:eastAsia="仿宋_GB2312" w:cs="仿宋_GB2312"/>
          <w:color w:val="000000" w:themeColor="text1"/>
          <w:sz w:val="32"/>
          <w:szCs w:val="32"/>
          <w:lang w:eastAsia="zh-CN"/>
          <w14:textFill>
            <w14:solidFill>
              <w14:schemeClr w14:val="tx1"/>
            </w14:solidFill>
          </w14:textFill>
        </w:rPr>
        <w:t>许可范围的等级：</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符合《烟花爆竹 安全与质量》（GB10631）规定的个人燃放类产品</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14:paraId="179EBD10">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color w:val="000000" w:themeColor="text1"/>
          <w:sz w:val="32"/>
          <w:szCs w:val="32"/>
          <w14:textFill>
            <w14:solidFill>
              <w14:schemeClr w14:val="tx1"/>
            </w14:solidFill>
          </w14:textFill>
        </w:rPr>
        <w:t>）不</w:t>
      </w:r>
      <w:r>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t>得</w:t>
      </w:r>
      <w:r>
        <w:rPr>
          <w:rFonts w:hint="eastAsia" w:ascii="仿宋_GB2312" w:hAnsi="仿宋_GB2312" w:eastAsia="仿宋_GB2312" w:cs="仿宋_GB2312"/>
          <w:color w:val="000000" w:themeColor="text1"/>
          <w:sz w:val="32"/>
          <w:szCs w:val="32"/>
          <w14:textFill>
            <w14:solidFill>
              <w14:schemeClr w14:val="tx1"/>
            </w14:solidFill>
          </w14:textFill>
        </w:rPr>
        <w:t>在城</w:t>
      </w:r>
      <w:r>
        <w:rPr>
          <w:rFonts w:hint="eastAsia" w:ascii="仿宋_GB2312" w:hAnsi="仿宋_GB2312" w:eastAsia="仿宋_GB2312" w:cs="仿宋_GB2312"/>
          <w:color w:val="000000" w:themeColor="text1"/>
          <w:sz w:val="32"/>
          <w:szCs w:val="32"/>
          <w:lang w:eastAsia="zh-CN"/>
          <w14:textFill>
            <w14:solidFill>
              <w14:schemeClr w14:val="tx1"/>
            </w14:solidFill>
          </w14:textFill>
        </w:rPr>
        <w:t>市</w:t>
      </w:r>
      <w:r>
        <w:rPr>
          <w:rFonts w:hint="eastAsia" w:ascii="仿宋_GB2312" w:hAnsi="仿宋_GB2312" w:eastAsia="仿宋_GB2312" w:cs="仿宋_GB2312"/>
          <w:color w:val="000000" w:themeColor="text1"/>
          <w:sz w:val="32"/>
          <w:szCs w:val="32"/>
          <w14:textFill>
            <w14:solidFill>
              <w14:schemeClr w14:val="tx1"/>
            </w14:solidFill>
          </w14:textFill>
        </w:rPr>
        <w:t>建成区、易燃易爆物品生产储存经营场所和</w:t>
      </w:r>
      <w:r>
        <w:rPr>
          <w:rFonts w:hint="eastAsia" w:ascii="仿宋_GB2312" w:hAnsi="仿宋_GB2312" w:eastAsia="仿宋_GB2312" w:cs="仿宋_GB2312"/>
          <w:color w:val="000000" w:themeColor="text1"/>
          <w:sz w:val="32"/>
          <w:szCs w:val="32"/>
          <w:lang w:eastAsia="zh-CN"/>
          <w14:textFill>
            <w14:solidFill>
              <w14:schemeClr w14:val="tx1"/>
            </w14:solidFill>
          </w14:textFill>
        </w:rPr>
        <w:t>湘潭县人民政府</w:t>
      </w:r>
      <w:r>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t>确定的</w:t>
      </w:r>
      <w:r>
        <w:rPr>
          <w:rFonts w:hint="eastAsia" w:ascii="仿宋_GB2312" w:hAnsi="仿宋_GB2312" w:eastAsia="仿宋_GB2312" w:cs="仿宋_GB2312"/>
          <w:color w:val="000000" w:themeColor="text1"/>
          <w:sz w:val="32"/>
          <w:szCs w:val="32"/>
          <w14:textFill>
            <w14:solidFill>
              <w14:schemeClr w14:val="tx1"/>
            </w14:solidFill>
          </w14:textFill>
        </w:rPr>
        <w:t>烟花爆竹禁燃区域等</w:t>
      </w:r>
      <w:r>
        <w:rPr>
          <w:rFonts w:hint="eastAsia" w:ascii="仿宋_GB2312" w:hAnsi="仿宋_GB2312" w:eastAsia="仿宋_GB2312" w:cs="仿宋_GB2312"/>
          <w:color w:val="000000" w:themeColor="text1"/>
          <w:sz w:val="32"/>
          <w:szCs w:val="32"/>
          <w:lang w:eastAsia="zh-CN"/>
          <w14:textFill>
            <w14:solidFill>
              <w14:schemeClr w14:val="tx1"/>
            </w14:solidFill>
          </w14:textFill>
        </w:rPr>
        <w:t>范围内</w:t>
      </w:r>
      <w:r>
        <w:rPr>
          <w:rFonts w:hint="eastAsia" w:ascii="仿宋_GB2312" w:hAnsi="仿宋_GB2312" w:eastAsia="仿宋_GB2312" w:cs="仿宋_GB2312"/>
          <w:color w:val="000000" w:themeColor="text1"/>
          <w:sz w:val="32"/>
          <w:szCs w:val="32"/>
          <w14:textFill>
            <w14:solidFill>
              <w14:schemeClr w14:val="tx1"/>
            </w14:solidFill>
          </w14:textFill>
        </w:rPr>
        <w:t>布点；</w:t>
      </w:r>
    </w:p>
    <w:p w14:paraId="67594968">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申请人应当</w:t>
      </w:r>
      <w:r>
        <w:rPr>
          <w:rFonts w:hint="eastAsia" w:ascii="仿宋_GB2312" w:hAnsi="仿宋_GB2312" w:eastAsia="仿宋_GB2312" w:cs="仿宋_GB2312"/>
          <w:color w:val="000000" w:themeColor="text1"/>
          <w:sz w:val="32"/>
          <w:szCs w:val="32"/>
          <w14:textFill>
            <w14:solidFill>
              <w14:schemeClr w14:val="tx1"/>
            </w14:solidFill>
          </w14:textFill>
        </w:rPr>
        <w:t>取</w:t>
      </w:r>
      <w:r>
        <w:rPr>
          <w:rFonts w:hint="eastAsia" w:ascii="仿宋_GB2312" w:hAnsi="仿宋_GB2312" w:eastAsia="仿宋_GB2312" w:cs="仿宋_GB2312"/>
          <w:color w:val="000000" w:themeColor="text1"/>
          <w:sz w:val="32"/>
          <w:szCs w:val="32"/>
          <w:lang w:eastAsia="zh-CN"/>
          <w14:textFill>
            <w14:solidFill>
              <w14:schemeClr w14:val="tx1"/>
            </w14:solidFill>
          </w14:textFill>
        </w:rPr>
        <w:t>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安全生产管理人员考核合格证书</w:t>
      </w:r>
      <w:r>
        <w:rPr>
          <w:rFonts w:hint="eastAsia" w:ascii="仿宋_GB2312" w:hAnsi="仿宋_GB2312" w:eastAsia="仿宋_GB2312" w:cs="仿宋_GB2312"/>
          <w:color w:val="000000" w:themeColor="text1"/>
          <w:sz w:val="32"/>
          <w:szCs w:val="32"/>
          <w:lang w:eastAsia="zh-CN"/>
          <w14:textFill>
            <w14:solidFill>
              <w14:schemeClr w14:val="tx1"/>
            </w14:solidFill>
          </w14:textFill>
        </w:rPr>
        <w:t>》并按规定参加培训</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每人仅可申请</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一处烟花爆竹零售店</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14:paraId="7C937CBE">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禁燃区外延200米（垂直距离）内不设点；</w:t>
      </w:r>
    </w:p>
    <w:p w14:paraId="02490E6B">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（八）</w:t>
      </w:r>
      <w:r>
        <w:rPr>
          <w:rFonts w:hint="eastAsia" w:ascii="仿宋_GB2312" w:hAnsi="仿宋_GB2312" w:eastAsia="仿宋_GB2312" w:cs="仿宋_GB2312"/>
          <w:strike w:val="0"/>
          <w:dstrike w:val="0"/>
          <w:color w:val="000000" w:themeColor="text1"/>
          <w:sz w:val="32"/>
          <w:szCs w:val="32"/>
          <w:lang w:val="en-US" w:eastAsia="zh-CN"/>
          <w14:textFill>
            <w14:solidFill>
              <w14:schemeClr w14:val="tx1"/>
            </w14:solidFill>
          </w14:textFill>
        </w:rPr>
        <w:t>调整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布点规划或情况复杂的许可事项由湘潭县应急管理局局长办公会确定。</w:t>
      </w:r>
    </w:p>
    <w:p w14:paraId="25B709BB">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（九）湘潭县应急管理局应当根据实际情况适当调整各乡镇零售店数量。</w:t>
      </w:r>
    </w:p>
    <w:p w14:paraId="4DD35B80">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（十）其他行政机关设立了其他规定的从其规定。</w:t>
      </w:r>
    </w:p>
    <w:p w14:paraId="2BF5EBAE">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四、布点数量</w:t>
      </w:r>
    </w:p>
    <w:p w14:paraId="469E6696">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湘潭县行政区域范围内烟花爆竹零售经营布点规划为220家，结合目前实际情况，2025年控制在340家以内、2026年控制在260家以内、2027年及后续时间控制在220家以内，各乡镇布点缩减后数量见附件2。</w:t>
      </w:r>
    </w:p>
    <w:p w14:paraId="4C53FAE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附件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申</w:t>
      </w:r>
      <w:r>
        <w:rPr>
          <w:rFonts w:hint="eastAsia" w:ascii="仿宋_GB2312" w:hAnsi="仿宋_GB2312" w:eastAsia="仿宋_GB2312" w:cs="仿宋_GB2312"/>
          <w:color w:val="000000" w:themeColor="text1"/>
          <w:sz w:val="32"/>
          <w:szCs w:val="32"/>
          <w:lang w:eastAsia="zh-CN"/>
          <w14:textFill>
            <w14:solidFill>
              <w14:schemeClr w14:val="tx1"/>
            </w14:solidFill>
          </w14:textFill>
        </w:rPr>
        <w:t>请《</w:t>
      </w:r>
      <w:r>
        <w:rPr>
          <w:rFonts w:hint="eastAsia" w:ascii="仿宋_GB2312" w:hAnsi="仿宋_GB2312" w:eastAsia="仿宋_GB2312" w:cs="仿宋_GB2312"/>
          <w:color w:val="000000" w:themeColor="text1"/>
          <w:sz w:val="32"/>
          <w:szCs w:val="32"/>
          <w14:textFill>
            <w14:solidFill>
              <w14:schemeClr w14:val="tx1"/>
            </w14:solidFill>
          </w14:textFill>
        </w:rPr>
        <w:t>烟花爆竹经营</w:t>
      </w:r>
      <w:r>
        <w:rPr>
          <w:rFonts w:hint="eastAsia" w:ascii="仿宋_GB2312" w:hAnsi="仿宋_GB2312" w:eastAsia="仿宋_GB2312" w:cs="仿宋_GB2312"/>
          <w:color w:val="000000" w:themeColor="text1"/>
          <w:sz w:val="32"/>
          <w:szCs w:val="32"/>
          <w:lang w:eastAsia="zh-CN"/>
          <w14:textFill>
            <w14:solidFill>
              <w14:schemeClr w14:val="tx1"/>
            </w14:solidFill>
          </w14:textFill>
        </w:rPr>
        <w:t>（零售）</w:t>
      </w:r>
      <w:r>
        <w:rPr>
          <w:rFonts w:hint="eastAsia" w:ascii="仿宋_GB2312" w:hAnsi="仿宋_GB2312" w:eastAsia="仿宋_GB2312" w:cs="仿宋_GB2312"/>
          <w:color w:val="000000" w:themeColor="text1"/>
          <w:sz w:val="32"/>
          <w:szCs w:val="32"/>
          <w14:textFill>
            <w14:solidFill>
              <w14:schemeClr w14:val="tx1"/>
            </w14:solidFill>
          </w14:textFill>
        </w:rPr>
        <w:t>许可证</w:t>
      </w:r>
      <w:r>
        <w:rPr>
          <w:rFonts w:hint="eastAsia" w:ascii="仿宋_GB2312" w:hAnsi="仿宋_GB2312" w:eastAsia="仿宋_GB2312" w:cs="仿宋_GB2312"/>
          <w:color w:val="000000" w:themeColor="text1"/>
          <w:sz w:val="32"/>
          <w:szCs w:val="32"/>
          <w:lang w:eastAsia="zh-CN"/>
          <w14:textFill>
            <w14:solidFill>
              <w14:schemeClr w14:val="tx1"/>
            </w14:solidFill>
          </w14:textFill>
        </w:rPr>
        <w:t>》需提供</w:t>
      </w:r>
    </w:p>
    <w:p w14:paraId="3F677808">
      <w:pPr>
        <w:keepNext w:val="0"/>
        <w:keepLines w:val="0"/>
        <w:pageBreakBefore w:val="0"/>
        <w:widowControl w:val="0"/>
        <w:kinsoku/>
        <w:wordWrap/>
        <w:overflowPunct/>
        <w:topLinePunct w:val="0"/>
        <w:autoSpaceDE/>
        <w:autoSpaceDN/>
        <w:bidi w:val="0"/>
        <w:adjustRightInd/>
        <w:snapToGrid w:val="0"/>
        <w:spacing w:line="560" w:lineRule="exact"/>
        <w:ind w:firstLine="1920" w:firstLineChars="6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14:textFill>
            <w14:solidFill>
              <w14:schemeClr w14:val="tx1"/>
            </w14:solidFill>
          </w14:textFill>
        </w:rPr>
        <w:t>材料</w:t>
      </w:r>
    </w:p>
    <w:p w14:paraId="7D58BE12">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1600" w:firstLineChars="5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湘潭县烟花爆竹零售</w:t>
      </w:r>
      <w:r>
        <w:rPr>
          <w:rFonts w:hint="eastAsia" w:ascii="仿宋_GB2312" w:hAnsi="仿宋_GB2312" w:eastAsia="仿宋_GB2312" w:cs="仿宋_GB2312"/>
          <w:color w:val="000000" w:themeColor="text1"/>
          <w:sz w:val="32"/>
          <w:szCs w:val="32"/>
          <w:lang w:eastAsia="zh-CN"/>
          <w14:textFill>
            <w14:solidFill>
              <w14:schemeClr w14:val="tx1"/>
            </w14:solidFill>
          </w14:textFill>
        </w:rPr>
        <w:t>经营</w:t>
      </w:r>
      <w:r>
        <w:rPr>
          <w:rFonts w:hint="eastAsia" w:ascii="仿宋_GB2312" w:hAnsi="仿宋_GB2312" w:eastAsia="仿宋_GB2312" w:cs="仿宋_GB2312"/>
          <w:color w:val="000000" w:themeColor="text1"/>
          <w:sz w:val="32"/>
          <w:szCs w:val="32"/>
          <w14:textFill>
            <w14:solidFill>
              <w14:schemeClr w14:val="tx1"/>
            </w14:solidFill>
          </w14:textFill>
        </w:rPr>
        <w:t>布点</w:t>
      </w:r>
      <w:r>
        <w:rPr>
          <w:rFonts w:hint="eastAsia" w:ascii="仿宋_GB2312" w:hAnsi="仿宋_GB2312" w:eastAsia="仿宋_GB2312" w:cs="仿宋_GB2312"/>
          <w:color w:val="000000" w:themeColor="text1"/>
          <w:sz w:val="32"/>
          <w:szCs w:val="32"/>
          <w:lang w:eastAsia="zh-CN"/>
          <w14:textFill>
            <w14:solidFill>
              <w14:schemeClr w14:val="tx1"/>
            </w14:solidFill>
          </w14:textFill>
        </w:rPr>
        <w:t>数</w:t>
      </w:r>
      <w:r>
        <w:rPr>
          <w:rFonts w:hint="eastAsia" w:ascii="仿宋_GB2312" w:hAnsi="仿宋_GB2312" w:eastAsia="仿宋_GB2312" w:cs="仿宋_GB2312"/>
          <w:color w:val="000000" w:themeColor="text1"/>
          <w:sz w:val="32"/>
          <w:szCs w:val="32"/>
          <w14:textFill>
            <w14:solidFill>
              <w14:schemeClr w14:val="tx1"/>
            </w14:solidFill>
          </w14:textFill>
        </w:rPr>
        <w:t>量控制表</w:t>
      </w:r>
    </w:p>
    <w:p w14:paraId="24C6D4C0">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1600" w:firstLineChars="5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湘潭市烟花爆竹零售经营店设立指南</w:t>
      </w:r>
    </w:p>
    <w:p w14:paraId="47F72546">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14:paraId="7E84EEEE">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440" w:firstLineChars="17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湘潭县应急管理局</w:t>
      </w:r>
    </w:p>
    <w:p w14:paraId="3156F214">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440" w:firstLineChars="17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2025年10月15日    </w:t>
      </w:r>
    </w:p>
    <w:p w14:paraId="483D7872">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440" w:firstLineChars="17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14:paraId="0B4970BC">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440" w:firstLineChars="17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14:paraId="5C9BB65F">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440" w:firstLineChars="17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14:paraId="09F8E69C">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w:t>
      </w:r>
      <w:r>
        <w:rPr>
          <w:rFonts w:hint="eastAsia" w:ascii="黑体" w:hAnsi="黑体" w:eastAsia="黑体" w:cs="黑体"/>
          <w:color w:val="000000" w:themeColor="text1"/>
          <w:sz w:val="32"/>
          <w:szCs w:val="32"/>
          <w:lang w:val="en-US" w:eastAsia="zh-CN"/>
          <w14:textFill>
            <w14:solidFill>
              <w14:schemeClr w14:val="tx1"/>
            </w14:solidFill>
          </w14:textFill>
        </w:rPr>
        <w:t>1</w:t>
      </w:r>
    </w:p>
    <w:p w14:paraId="29951C7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申</w:t>
      </w:r>
      <w:r>
        <w:rPr>
          <w:rFonts w:hint="eastAsia" w:ascii="黑体" w:hAnsi="黑体" w:eastAsia="黑体" w:cs="黑体"/>
          <w:color w:val="000000" w:themeColor="text1"/>
          <w:sz w:val="32"/>
          <w:szCs w:val="32"/>
          <w:lang w:eastAsia="zh-CN"/>
          <w14:textFill>
            <w14:solidFill>
              <w14:schemeClr w14:val="tx1"/>
            </w14:solidFill>
          </w14:textFill>
        </w:rPr>
        <w:t>请《</w:t>
      </w:r>
      <w:r>
        <w:rPr>
          <w:rFonts w:hint="eastAsia" w:ascii="黑体" w:hAnsi="黑体" w:eastAsia="黑体" w:cs="黑体"/>
          <w:color w:val="000000" w:themeColor="text1"/>
          <w:sz w:val="32"/>
          <w:szCs w:val="32"/>
          <w14:textFill>
            <w14:solidFill>
              <w14:schemeClr w14:val="tx1"/>
            </w14:solidFill>
          </w14:textFill>
        </w:rPr>
        <w:t>烟花爆竹经营</w:t>
      </w:r>
      <w:r>
        <w:rPr>
          <w:rFonts w:hint="eastAsia" w:ascii="黑体" w:hAnsi="黑体" w:eastAsia="黑体" w:cs="黑体"/>
          <w:color w:val="000000" w:themeColor="text1"/>
          <w:sz w:val="32"/>
          <w:szCs w:val="32"/>
          <w:lang w:eastAsia="zh-CN"/>
          <w14:textFill>
            <w14:solidFill>
              <w14:schemeClr w14:val="tx1"/>
            </w14:solidFill>
          </w14:textFill>
        </w:rPr>
        <w:t>（零售）</w:t>
      </w:r>
      <w:r>
        <w:rPr>
          <w:rFonts w:hint="eastAsia" w:ascii="黑体" w:hAnsi="黑体" w:eastAsia="黑体" w:cs="黑体"/>
          <w:color w:val="000000" w:themeColor="text1"/>
          <w:sz w:val="32"/>
          <w:szCs w:val="32"/>
          <w14:textFill>
            <w14:solidFill>
              <w14:schemeClr w14:val="tx1"/>
            </w14:solidFill>
          </w14:textFill>
        </w:rPr>
        <w:t>许可证</w:t>
      </w:r>
      <w:r>
        <w:rPr>
          <w:rFonts w:hint="eastAsia" w:ascii="黑体" w:hAnsi="黑体" w:eastAsia="黑体" w:cs="黑体"/>
          <w:color w:val="000000" w:themeColor="text1"/>
          <w:sz w:val="32"/>
          <w:szCs w:val="32"/>
          <w:lang w:eastAsia="zh-CN"/>
          <w14:textFill>
            <w14:solidFill>
              <w14:schemeClr w14:val="tx1"/>
            </w14:solidFill>
          </w14:textFill>
        </w:rPr>
        <w:t>》需提交的</w:t>
      </w:r>
      <w:r>
        <w:rPr>
          <w:rFonts w:hint="eastAsia" w:ascii="黑体" w:hAnsi="黑体" w:eastAsia="黑体" w:cs="黑体"/>
          <w:color w:val="000000" w:themeColor="text1"/>
          <w:sz w:val="32"/>
          <w:szCs w:val="32"/>
          <w14:textFill>
            <w14:solidFill>
              <w14:schemeClr w14:val="tx1"/>
            </w14:solidFill>
          </w14:textFill>
        </w:rPr>
        <w:t>材料</w:t>
      </w:r>
    </w:p>
    <w:p w14:paraId="719953F6">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14:paraId="61072222">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1.《烟花爆竹经营（零售）许可证申请审批表》1份；</w:t>
      </w:r>
    </w:p>
    <w:p w14:paraId="4A71CF40">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2.营业执照副本复印件1份；</w:t>
      </w:r>
    </w:p>
    <w:p w14:paraId="469EE8FE">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3.零售店（点）主要负责人、销售人员身份证复印件1份；</w:t>
      </w:r>
    </w:p>
    <w:p w14:paraId="47251AD5">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4.零售店（点）主要负责人安全培训合格证复印件1份；</w:t>
      </w:r>
    </w:p>
    <w:p w14:paraId="15B176F0">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5.零售经营场所及周围安全条件说明；</w:t>
      </w:r>
    </w:p>
    <w:p w14:paraId="6A53E126">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.安全生产责任保险</w:t>
      </w:r>
      <w:r>
        <w:rPr>
          <w:rFonts w:hint="eastAsia" w:ascii="仿宋_GB2312" w:hAnsi="仿宋_GB2312" w:eastAsia="仿宋_GB2312" w:cs="仿宋_GB2312"/>
          <w:color w:val="000000" w:themeColor="text1"/>
          <w:sz w:val="32"/>
          <w:szCs w:val="32"/>
          <w:lang w:eastAsia="zh-CN"/>
          <w14:textFill>
            <w14:solidFill>
              <w14:schemeClr w14:val="tx1"/>
            </w14:solidFill>
          </w14:textFill>
        </w:rPr>
        <w:t>保单</w:t>
      </w:r>
      <w:r>
        <w:rPr>
          <w:rFonts w:hint="eastAsia" w:ascii="仿宋_GB2312" w:hAnsi="仿宋_GB2312" w:eastAsia="仿宋_GB2312" w:cs="仿宋_GB2312"/>
          <w:color w:val="000000" w:themeColor="text1"/>
          <w:sz w:val="32"/>
          <w:szCs w:val="32"/>
          <w14:textFill>
            <w14:solidFill>
              <w14:schemeClr w14:val="tx1"/>
            </w14:solidFill>
          </w14:textFill>
        </w:rPr>
        <w:t>复印件；</w:t>
      </w:r>
    </w:p>
    <w:p w14:paraId="58E9BB38">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sz w:val="32"/>
          <w:szCs w:val="32"/>
          <w14:textFill>
            <w14:solidFill>
              <w14:schemeClr w14:val="tx1"/>
            </w14:solidFill>
          </w14:textFill>
        </w:rPr>
        <w:t>.委托他人办理的，受委托人需出具授权委托书及受委托人身份证复印件</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14:paraId="4268FA75">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14:paraId="39B2C512">
      <w:pPr>
        <w:keepNext w:val="0"/>
        <w:keepLines w:val="0"/>
        <w:pageBreakBefore w:val="0"/>
        <w:widowControl w:val="0"/>
        <w:kinsoku/>
        <w:wordWrap/>
        <w:overflowPunct/>
        <w:topLinePunct w:val="0"/>
        <w:autoSpaceDE/>
        <w:autoSpaceDN/>
        <w:bidi w:val="0"/>
        <w:adjustRightInd/>
        <w:snapToGrid w:val="0"/>
        <w:spacing w:line="560" w:lineRule="exact"/>
        <w:ind w:firstLine="623"/>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说明：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1.所有复印件均需核验原件；</w:t>
      </w:r>
    </w:p>
    <w:p w14:paraId="2728695E">
      <w:pPr>
        <w:keepNext w:val="0"/>
        <w:keepLines w:val="0"/>
        <w:pageBreakBefore w:val="0"/>
        <w:widowControl w:val="0"/>
        <w:kinsoku/>
        <w:wordWrap/>
        <w:overflowPunct/>
        <w:topLinePunct w:val="0"/>
        <w:autoSpaceDE/>
        <w:autoSpaceDN/>
        <w:bidi w:val="0"/>
        <w:adjustRightInd/>
        <w:snapToGrid w:val="0"/>
        <w:spacing w:line="560" w:lineRule="exact"/>
        <w:ind w:firstLine="1587" w:firstLineChars="496"/>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所有复印件必须盖章或者负责人签字按手印并注明“与原件一致”字样。</w:t>
      </w:r>
    </w:p>
    <w:p w14:paraId="15970A9F">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hint="eastAsia" w:ascii="黑体" w:hAnsi="黑体" w:eastAsia="黑体" w:cs="黑体"/>
          <w:color w:val="000000" w:themeColor="text1"/>
          <w:sz w:val="32"/>
          <w:szCs w:val="32"/>
          <w:lang w:eastAsia="zh-CN"/>
          <w14:textFill>
            <w14:solidFill>
              <w14:schemeClr w14:val="tx1"/>
            </w14:solidFill>
          </w14:textFill>
        </w:rPr>
      </w:pPr>
    </w:p>
    <w:p w14:paraId="71F62D40">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hint="eastAsia" w:ascii="黑体" w:hAnsi="黑体" w:eastAsia="黑体" w:cs="黑体"/>
          <w:color w:val="000000" w:themeColor="text1"/>
          <w:sz w:val="32"/>
          <w:szCs w:val="32"/>
          <w:lang w:eastAsia="zh-CN"/>
          <w14:textFill>
            <w14:solidFill>
              <w14:schemeClr w14:val="tx1"/>
            </w14:solidFill>
          </w14:textFill>
        </w:rPr>
      </w:pPr>
    </w:p>
    <w:p w14:paraId="1E1135E8">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hint="eastAsia" w:ascii="黑体" w:hAnsi="黑体" w:eastAsia="黑体" w:cs="黑体"/>
          <w:color w:val="000000" w:themeColor="text1"/>
          <w:sz w:val="32"/>
          <w:szCs w:val="32"/>
          <w:lang w:eastAsia="zh-CN"/>
          <w14:textFill>
            <w14:solidFill>
              <w14:schemeClr w14:val="tx1"/>
            </w14:solidFill>
          </w14:textFill>
        </w:rPr>
      </w:pPr>
    </w:p>
    <w:p w14:paraId="29DCA95D">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hint="eastAsia" w:ascii="黑体" w:hAnsi="黑体" w:eastAsia="黑体" w:cs="黑体"/>
          <w:color w:val="000000" w:themeColor="text1"/>
          <w:sz w:val="32"/>
          <w:szCs w:val="32"/>
          <w:lang w:eastAsia="zh-CN"/>
          <w14:textFill>
            <w14:solidFill>
              <w14:schemeClr w14:val="tx1"/>
            </w14:solidFill>
          </w14:textFill>
        </w:rPr>
      </w:pPr>
    </w:p>
    <w:p w14:paraId="5917C9C0">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hint="eastAsia" w:ascii="黑体" w:hAnsi="黑体" w:eastAsia="黑体" w:cs="黑体"/>
          <w:color w:val="000000" w:themeColor="text1"/>
          <w:sz w:val="32"/>
          <w:szCs w:val="32"/>
          <w:lang w:eastAsia="zh-CN"/>
          <w14:textFill>
            <w14:solidFill>
              <w14:schemeClr w14:val="tx1"/>
            </w14:solidFill>
          </w14:textFill>
        </w:rPr>
      </w:pPr>
    </w:p>
    <w:p w14:paraId="23B276DE">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hint="eastAsia" w:ascii="黑体" w:hAnsi="黑体" w:eastAsia="黑体" w:cs="黑体"/>
          <w:color w:val="000000" w:themeColor="text1"/>
          <w:sz w:val="32"/>
          <w:szCs w:val="32"/>
          <w:lang w:eastAsia="zh-CN"/>
          <w14:textFill>
            <w14:solidFill>
              <w14:schemeClr w14:val="tx1"/>
            </w14:solidFill>
          </w14:textFill>
        </w:rPr>
      </w:pPr>
    </w:p>
    <w:p w14:paraId="3EDE0CB4">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hint="eastAsia" w:ascii="黑体" w:hAnsi="黑体" w:eastAsia="黑体" w:cs="黑体"/>
          <w:color w:val="000000" w:themeColor="text1"/>
          <w:sz w:val="32"/>
          <w:szCs w:val="32"/>
          <w:lang w:eastAsia="zh-CN"/>
          <w14:textFill>
            <w14:solidFill>
              <w14:schemeClr w14:val="tx1"/>
            </w14:solidFill>
          </w14:textFill>
        </w:rPr>
      </w:pPr>
    </w:p>
    <w:p w14:paraId="6A64D8DA">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附件</w:t>
      </w:r>
      <w:r>
        <w:rPr>
          <w:rFonts w:hint="eastAsia" w:ascii="黑体" w:hAnsi="黑体" w:eastAsia="黑体" w:cs="黑体"/>
          <w:color w:val="000000" w:themeColor="text1"/>
          <w:sz w:val="32"/>
          <w:szCs w:val="32"/>
          <w:lang w:val="en-US" w:eastAsia="zh-CN"/>
          <w14:textFill>
            <w14:solidFill>
              <w14:schemeClr w14:val="tx1"/>
            </w14:solidFill>
          </w14:textFill>
        </w:rPr>
        <w:t>2</w:t>
      </w:r>
    </w:p>
    <w:p w14:paraId="41286F8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湘潭县烟花爆竹零售</w:t>
      </w:r>
      <w:r>
        <w:rPr>
          <w:rFonts w:hint="eastAsia" w:ascii="黑体" w:hAnsi="黑体" w:eastAsia="黑体" w:cs="黑体"/>
          <w:color w:val="000000" w:themeColor="text1"/>
          <w:sz w:val="32"/>
          <w:szCs w:val="32"/>
          <w:lang w:eastAsia="zh-CN"/>
          <w14:textFill>
            <w14:solidFill>
              <w14:schemeClr w14:val="tx1"/>
            </w14:solidFill>
          </w14:textFill>
        </w:rPr>
        <w:t>经营</w:t>
      </w:r>
      <w:r>
        <w:rPr>
          <w:rFonts w:hint="eastAsia" w:ascii="黑体" w:hAnsi="黑体" w:eastAsia="黑体" w:cs="黑体"/>
          <w:color w:val="000000" w:themeColor="text1"/>
          <w:sz w:val="32"/>
          <w:szCs w:val="32"/>
          <w14:textFill>
            <w14:solidFill>
              <w14:schemeClr w14:val="tx1"/>
            </w14:solidFill>
          </w14:textFill>
        </w:rPr>
        <w:t>布点</w:t>
      </w:r>
      <w:r>
        <w:rPr>
          <w:rFonts w:hint="eastAsia" w:ascii="黑体" w:hAnsi="黑体" w:eastAsia="黑体" w:cs="黑体"/>
          <w:color w:val="000000" w:themeColor="text1"/>
          <w:sz w:val="32"/>
          <w:szCs w:val="32"/>
          <w:lang w:eastAsia="zh-CN"/>
          <w14:textFill>
            <w14:solidFill>
              <w14:schemeClr w14:val="tx1"/>
            </w14:solidFill>
          </w14:textFill>
        </w:rPr>
        <w:t>数</w:t>
      </w:r>
      <w:r>
        <w:rPr>
          <w:rFonts w:hint="eastAsia" w:ascii="黑体" w:hAnsi="黑体" w:eastAsia="黑体" w:cs="黑体"/>
          <w:color w:val="000000" w:themeColor="text1"/>
          <w:sz w:val="32"/>
          <w:szCs w:val="32"/>
          <w14:textFill>
            <w14:solidFill>
              <w14:schemeClr w14:val="tx1"/>
            </w14:solidFill>
          </w14:textFill>
        </w:rPr>
        <w:t>量控制表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1812"/>
        <w:gridCol w:w="1812"/>
        <w:gridCol w:w="1812"/>
        <w:gridCol w:w="1812"/>
      </w:tblGrid>
      <w:tr w14:paraId="04707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top"/>
          </w:tcPr>
          <w:p w14:paraId="5E54004B">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eastAsia="zh-CN"/>
                <w14:textFill>
                  <w14:solidFill>
                    <w14:schemeClr w14:val="tx1"/>
                  </w14:solidFill>
                </w14:textFill>
              </w:rPr>
              <w:t>乡镇</w:t>
            </w:r>
          </w:p>
        </w:tc>
        <w:tc>
          <w:tcPr>
            <w:tcW w:w="1812" w:type="dxa"/>
            <w:vAlign w:val="top"/>
          </w:tcPr>
          <w:p w14:paraId="11359CF2">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2024年</w:t>
            </w:r>
            <w:r>
              <w:rPr>
                <w:rFonts w:hint="eastAsia" w:ascii="仿宋_GB2312" w:hAnsi="仿宋_GB2312" w:eastAsia="仿宋_GB2312" w:cs="仿宋_GB2312"/>
                <w:color w:val="000000" w:themeColor="text1"/>
                <w:sz w:val="32"/>
                <w:szCs w:val="32"/>
                <w:vertAlign w:val="baseline"/>
                <w:lang w:eastAsia="zh-CN"/>
                <w14:textFill>
                  <w14:solidFill>
                    <w14:schemeClr w14:val="tx1"/>
                  </w14:solidFill>
                </w14:textFill>
              </w:rPr>
              <w:t>零售店数量</w:t>
            </w:r>
          </w:p>
        </w:tc>
        <w:tc>
          <w:tcPr>
            <w:tcW w:w="1812" w:type="dxa"/>
            <w:vAlign w:val="top"/>
          </w:tcPr>
          <w:p w14:paraId="399FC25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2025年</w:t>
            </w:r>
            <w:r>
              <w:rPr>
                <w:rFonts w:hint="eastAsia" w:ascii="仿宋_GB2312" w:hAnsi="仿宋_GB2312" w:eastAsia="仿宋_GB2312" w:cs="仿宋_GB2312"/>
                <w:color w:val="000000" w:themeColor="text1"/>
                <w:sz w:val="32"/>
                <w:szCs w:val="32"/>
                <w:vertAlign w:val="baseline"/>
                <w:lang w:eastAsia="zh-CN"/>
                <w14:textFill>
                  <w14:solidFill>
                    <w14:schemeClr w14:val="tx1"/>
                  </w14:solidFill>
                </w14:textFill>
              </w:rPr>
              <w:t>零售店数量</w:t>
            </w:r>
          </w:p>
        </w:tc>
        <w:tc>
          <w:tcPr>
            <w:tcW w:w="1812" w:type="dxa"/>
            <w:vAlign w:val="top"/>
          </w:tcPr>
          <w:p w14:paraId="5560B2DC">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2026年</w:t>
            </w:r>
            <w:r>
              <w:rPr>
                <w:rFonts w:hint="eastAsia" w:ascii="仿宋_GB2312" w:hAnsi="仿宋_GB2312" w:eastAsia="仿宋_GB2312" w:cs="仿宋_GB2312"/>
                <w:color w:val="000000" w:themeColor="text1"/>
                <w:sz w:val="32"/>
                <w:szCs w:val="32"/>
                <w:vertAlign w:val="baseline"/>
                <w:lang w:eastAsia="zh-CN"/>
                <w14:textFill>
                  <w14:solidFill>
                    <w14:schemeClr w14:val="tx1"/>
                  </w14:solidFill>
                </w14:textFill>
              </w:rPr>
              <w:t>零售店数量</w:t>
            </w:r>
          </w:p>
        </w:tc>
        <w:tc>
          <w:tcPr>
            <w:tcW w:w="1812" w:type="dxa"/>
          </w:tcPr>
          <w:p w14:paraId="41C299C4">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2027年</w:t>
            </w:r>
            <w:r>
              <w:rPr>
                <w:rFonts w:hint="eastAsia" w:ascii="仿宋_GB2312" w:hAnsi="仿宋_GB2312" w:eastAsia="仿宋_GB2312" w:cs="仿宋_GB2312"/>
                <w:color w:val="000000" w:themeColor="text1"/>
                <w:sz w:val="32"/>
                <w:szCs w:val="32"/>
                <w:vertAlign w:val="baseline"/>
                <w:lang w:eastAsia="zh-CN"/>
                <w14:textFill>
                  <w14:solidFill>
                    <w14:schemeClr w14:val="tx1"/>
                  </w14:solidFill>
                </w14:textFill>
              </w:rPr>
              <w:t>零售店数量</w:t>
            </w:r>
          </w:p>
        </w:tc>
      </w:tr>
      <w:tr w14:paraId="5462F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4B46E3BF">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云湖桥</w:t>
            </w:r>
          </w:p>
        </w:tc>
        <w:tc>
          <w:tcPr>
            <w:tcW w:w="1812" w:type="dxa"/>
            <w:vAlign w:val="top"/>
          </w:tcPr>
          <w:p w14:paraId="4260C8C7">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35</w:t>
            </w:r>
          </w:p>
        </w:tc>
        <w:tc>
          <w:tcPr>
            <w:tcW w:w="1812" w:type="dxa"/>
            <w:vAlign w:val="top"/>
          </w:tcPr>
          <w:p w14:paraId="78EE120D">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22</w:t>
            </w:r>
          </w:p>
        </w:tc>
        <w:tc>
          <w:tcPr>
            <w:tcW w:w="1812" w:type="dxa"/>
            <w:vAlign w:val="center"/>
          </w:tcPr>
          <w:p w14:paraId="5A9610B6">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17</w:t>
            </w:r>
          </w:p>
        </w:tc>
        <w:tc>
          <w:tcPr>
            <w:tcW w:w="1812" w:type="dxa"/>
            <w:vAlign w:val="center"/>
          </w:tcPr>
          <w:p w14:paraId="527505E8">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14</w:t>
            </w:r>
          </w:p>
        </w:tc>
      </w:tr>
      <w:tr w14:paraId="4E07F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7EC77DC7">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石　潭</w:t>
            </w:r>
          </w:p>
        </w:tc>
        <w:tc>
          <w:tcPr>
            <w:tcW w:w="1812" w:type="dxa"/>
            <w:vAlign w:val="top"/>
          </w:tcPr>
          <w:p w14:paraId="3C87B54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39</w:t>
            </w:r>
          </w:p>
        </w:tc>
        <w:tc>
          <w:tcPr>
            <w:tcW w:w="1812" w:type="dxa"/>
            <w:vAlign w:val="top"/>
          </w:tcPr>
          <w:p w14:paraId="16FDEA9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24</w:t>
            </w:r>
          </w:p>
        </w:tc>
        <w:tc>
          <w:tcPr>
            <w:tcW w:w="1812" w:type="dxa"/>
            <w:vAlign w:val="center"/>
          </w:tcPr>
          <w:p w14:paraId="057C4D09">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19</w:t>
            </w:r>
          </w:p>
        </w:tc>
        <w:tc>
          <w:tcPr>
            <w:tcW w:w="1812" w:type="dxa"/>
            <w:vAlign w:val="center"/>
          </w:tcPr>
          <w:p w14:paraId="7A17248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16</w:t>
            </w:r>
          </w:p>
        </w:tc>
      </w:tr>
      <w:tr w14:paraId="79227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5409866A">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乌　石</w:t>
            </w:r>
          </w:p>
        </w:tc>
        <w:tc>
          <w:tcPr>
            <w:tcW w:w="1812" w:type="dxa"/>
            <w:vAlign w:val="top"/>
          </w:tcPr>
          <w:p w14:paraId="53E2206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23</w:t>
            </w:r>
          </w:p>
        </w:tc>
        <w:tc>
          <w:tcPr>
            <w:tcW w:w="1812" w:type="dxa"/>
            <w:vAlign w:val="top"/>
          </w:tcPr>
          <w:p w14:paraId="70B858A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14</w:t>
            </w:r>
          </w:p>
        </w:tc>
        <w:tc>
          <w:tcPr>
            <w:tcW w:w="1812" w:type="dxa"/>
            <w:vAlign w:val="center"/>
          </w:tcPr>
          <w:p w14:paraId="160F3F8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11</w:t>
            </w:r>
          </w:p>
        </w:tc>
        <w:tc>
          <w:tcPr>
            <w:tcW w:w="1812" w:type="dxa"/>
            <w:vAlign w:val="center"/>
          </w:tcPr>
          <w:p w14:paraId="2916CB7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9</w:t>
            </w:r>
          </w:p>
        </w:tc>
      </w:tr>
      <w:tr w14:paraId="03865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6CE82765">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杨嘉桥</w:t>
            </w:r>
          </w:p>
        </w:tc>
        <w:tc>
          <w:tcPr>
            <w:tcW w:w="1812" w:type="dxa"/>
            <w:vAlign w:val="top"/>
          </w:tcPr>
          <w:p w14:paraId="608616BC">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28</w:t>
            </w:r>
          </w:p>
        </w:tc>
        <w:tc>
          <w:tcPr>
            <w:tcW w:w="1812" w:type="dxa"/>
            <w:vAlign w:val="top"/>
          </w:tcPr>
          <w:p w14:paraId="6FDC01C6">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21</w:t>
            </w:r>
            <w:bookmarkStart w:id="0" w:name="_GoBack"/>
            <w:bookmarkEnd w:id="0"/>
          </w:p>
        </w:tc>
        <w:tc>
          <w:tcPr>
            <w:tcW w:w="1812" w:type="dxa"/>
            <w:vAlign w:val="center"/>
          </w:tcPr>
          <w:p w14:paraId="0F29EFE2">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16</w:t>
            </w:r>
          </w:p>
        </w:tc>
        <w:tc>
          <w:tcPr>
            <w:tcW w:w="1812" w:type="dxa"/>
            <w:vAlign w:val="center"/>
          </w:tcPr>
          <w:p w14:paraId="544350B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14</w:t>
            </w:r>
          </w:p>
        </w:tc>
      </w:tr>
      <w:tr w14:paraId="684D3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376155A5">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河　口</w:t>
            </w:r>
          </w:p>
        </w:tc>
        <w:tc>
          <w:tcPr>
            <w:tcW w:w="1812" w:type="dxa"/>
            <w:vAlign w:val="top"/>
          </w:tcPr>
          <w:p w14:paraId="7E8F38B9">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41</w:t>
            </w:r>
          </w:p>
        </w:tc>
        <w:tc>
          <w:tcPr>
            <w:tcW w:w="1812" w:type="dxa"/>
            <w:vAlign w:val="top"/>
          </w:tcPr>
          <w:p w14:paraId="44ECABA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23</w:t>
            </w:r>
          </w:p>
        </w:tc>
        <w:tc>
          <w:tcPr>
            <w:tcW w:w="1812" w:type="dxa"/>
            <w:vAlign w:val="center"/>
          </w:tcPr>
          <w:p w14:paraId="740E39C4">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17</w:t>
            </w:r>
          </w:p>
        </w:tc>
        <w:tc>
          <w:tcPr>
            <w:tcW w:w="1812" w:type="dxa"/>
            <w:vAlign w:val="center"/>
          </w:tcPr>
          <w:p w14:paraId="2E72C1E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14</w:t>
            </w:r>
          </w:p>
        </w:tc>
      </w:tr>
      <w:tr w14:paraId="6D7CA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06B73041">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射　埠</w:t>
            </w:r>
          </w:p>
        </w:tc>
        <w:tc>
          <w:tcPr>
            <w:tcW w:w="1812" w:type="dxa"/>
            <w:vAlign w:val="top"/>
          </w:tcPr>
          <w:p w14:paraId="6C87BCF9">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33</w:t>
            </w:r>
          </w:p>
        </w:tc>
        <w:tc>
          <w:tcPr>
            <w:tcW w:w="1812" w:type="dxa"/>
            <w:vAlign w:val="top"/>
          </w:tcPr>
          <w:p w14:paraId="1CD1A966">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21</w:t>
            </w:r>
          </w:p>
        </w:tc>
        <w:tc>
          <w:tcPr>
            <w:tcW w:w="1812" w:type="dxa"/>
            <w:vAlign w:val="center"/>
          </w:tcPr>
          <w:p w14:paraId="5221867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16</w:t>
            </w:r>
          </w:p>
        </w:tc>
        <w:tc>
          <w:tcPr>
            <w:tcW w:w="1812" w:type="dxa"/>
            <w:vAlign w:val="center"/>
          </w:tcPr>
          <w:p w14:paraId="51A3D726">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14</w:t>
            </w:r>
          </w:p>
        </w:tc>
      </w:tr>
      <w:tr w14:paraId="7286B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2F3E9D61">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锦　石</w:t>
            </w:r>
          </w:p>
        </w:tc>
        <w:tc>
          <w:tcPr>
            <w:tcW w:w="1812" w:type="dxa"/>
            <w:vAlign w:val="top"/>
          </w:tcPr>
          <w:p w14:paraId="5A7C7874">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19</w:t>
            </w:r>
          </w:p>
        </w:tc>
        <w:tc>
          <w:tcPr>
            <w:tcW w:w="1812" w:type="dxa"/>
            <w:vAlign w:val="top"/>
          </w:tcPr>
          <w:p w14:paraId="5944F726">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12</w:t>
            </w:r>
          </w:p>
        </w:tc>
        <w:tc>
          <w:tcPr>
            <w:tcW w:w="1812" w:type="dxa"/>
            <w:vAlign w:val="center"/>
          </w:tcPr>
          <w:p w14:paraId="36232B64">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9</w:t>
            </w:r>
          </w:p>
        </w:tc>
        <w:tc>
          <w:tcPr>
            <w:tcW w:w="1812" w:type="dxa"/>
            <w:vAlign w:val="center"/>
          </w:tcPr>
          <w:p w14:paraId="4EA5F63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8</w:t>
            </w:r>
          </w:p>
        </w:tc>
      </w:tr>
      <w:tr w14:paraId="08F95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0C2ED053">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排　头</w:t>
            </w:r>
          </w:p>
        </w:tc>
        <w:tc>
          <w:tcPr>
            <w:tcW w:w="1812" w:type="dxa"/>
            <w:vAlign w:val="top"/>
          </w:tcPr>
          <w:p w14:paraId="4079DBCC">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35</w:t>
            </w:r>
          </w:p>
        </w:tc>
        <w:tc>
          <w:tcPr>
            <w:tcW w:w="1812" w:type="dxa"/>
            <w:vAlign w:val="top"/>
          </w:tcPr>
          <w:p w14:paraId="4508F66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22</w:t>
            </w:r>
          </w:p>
        </w:tc>
        <w:tc>
          <w:tcPr>
            <w:tcW w:w="1812" w:type="dxa"/>
            <w:vAlign w:val="center"/>
          </w:tcPr>
          <w:p w14:paraId="05A6FEF8">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17</w:t>
            </w:r>
          </w:p>
        </w:tc>
        <w:tc>
          <w:tcPr>
            <w:tcW w:w="1812" w:type="dxa"/>
            <w:vAlign w:val="center"/>
          </w:tcPr>
          <w:p w14:paraId="1326BBE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14</w:t>
            </w:r>
          </w:p>
        </w:tc>
      </w:tr>
      <w:tr w14:paraId="39124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4B3B6428">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花　石</w:t>
            </w:r>
          </w:p>
        </w:tc>
        <w:tc>
          <w:tcPr>
            <w:tcW w:w="1812" w:type="dxa"/>
            <w:vAlign w:val="top"/>
          </w:tcPr>
          <w:p w14:paraId="33ABBFF2">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52</w:t>
            </w:r>
          </w:p>
        </w:tc>
        <w:tc>
          <w:tcPr>
            <w:tcW w:w="1812" w:type="dxa"/>
            <w:vAlign w:val="top"/>
          </w:tcPr>
          <w:p w14:paraId="529401B4">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33</w:t>
            </w:r>
          </w:p>
        </w:tc>
        <w:tc>
          <w:tcPr>
            <w:tcW w:w="1812" w:type="dxa"/>
            <w:vAlign w:val="center"/>
          </w:tcPr>
          <w:p w14:paraId="762A8C7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25</w:t>
            </w:r>
          </w:p>
        </w:tc>
        <w:tc>
          <w:tcPr>
            <w:tcW w:w="1812" w:type="dxa"/>
            <w:vAlign w:val="center"/>
          </w:tcPr>
          <w:p w14:paraId="1561436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21</w:t>
            </w:r>
          </w:p>
        </w:tc>
      </w:tr>
      <w:tr w14:paraId="664CD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4030C92A">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青山桥</w:t>
            </w:r>
          </w:p>
        </w:tc>
        <w:tc>
          <w:tcPr>
            <w:tcW w:w="1812" w:type="dxa"/>
            <w:vAlign w:val="top"/>
          </w:tcPr>
          <w:p w14:paraId="0C1549E9">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39</w:t>
            </w:r>
          </w:p>
        </w:tc>
        <w:tc>
          <w:tcPr>
            <w:tcW w:w="1812" w:type="dxa"/>
            <w:vAlign w:val="top"/>
          </w:tcPr>
          <w:p w14:paraId="5FDD7E0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24</w:t>
            </w:r>
          </w:p>
        </w:tc>
        <w:tc>
          <w:tcPr>
            <w:tcW w:w="1812" w:type="dxa"/>
            <w:vAlign w:val="center"/>
          </w:tcPr>
          <w:p w14:paraId="213C5BF7">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19</w:t>
            </w:r>
          </w:p>
        </w:tc>
        <w:tc>
          <w:tcPr>
            <w:tcW w:w="1812" w:type="dxa"/>
            <w:vAlign w:val="center"/>
          </w:tcPr>
          <w:p w14:paraId="02F4EED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16</w:t>
            </w:r>
          </w:p>
        </w:tc>
      </w:tr>
      <w:tr w14:paraId="24432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7256C06C">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石　鼓</w:t>
            </w:r>
          </w:p>
        </w:tc>
        <w:tc>
          <w:tcPr>
            <w:tcW w:w="1812" w:type="dxa"/>
            <w:vAlign w:val="top"/>
          </w:tcPr>
          <w:p w14:paraId="14138B29">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32</w:t>
            </w:r>
          </w:p>
        </w:tc>
        <w:tc>
          <w:tcPr>
            <w:tcW w:w="1812" w:type="dxa"/>
            <w:vAlign w:val="top"/>
          </w:tcPr>
          <w:p w14:paraId="25E675C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20</w:t>
            </w:r>
          </w:p>
        </w:tc>
        <w:tc>
          <w:tcPr>
            <w:tcW w:w="1812" w:type="dxa"/>
            <w:vAlign w:val="center"/>
          </w:tcPr>
          <w:p w14:paraId="610658E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15</w:t>
            </w:r>
          </w:p>
        </w:tc>
        <w:tc>
          <w:tcPr>
            <w:tcW w:w="1812" w:type="dxa"/>
            <w:vAlign w:val="center"/>
          </w:tcPr>
          <w:p w14:paraId="6FC6F172">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13</w:t>
            </w:r>
          </w:p>
        </w:tc>
      </w:tr>
      <w:tr w14:paraId="3920E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4992FE5D">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分　水</w:t>
            </w:r>
          </w:p>
        </w:tc>
        <w:tc>
          <w:tcPr>
            <w:tcW w:w="1812" w:type="dxa"/>
            <w:vAlign w:val="top"/>
          </w:tcPr>
          <w:p w14:paraId="755786E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25</w:t>
            </w:r>
          </w:p>
        </w:tc>
        <w:tc>
          <w:tcPr>
            <w:tcW w:w="1812" w:type="dxa"/>
            <w:vAlign w:val="top"/>
          </w:tcPr>
          <w:p w14:paraId="3E8A80F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16</w:t>
            </w:r>
          </w:p>
        </w:tc>
        <w:tc>
          <w:tcPr>
            <w:tcW w:w="1812" w:type="dxa"/>
            <w:vAlign w:val="center"/>
          </w:tcPr>
          <w:p w14:paraId="1A7E281C">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12</w:t>
            </w:r>
          </w:p>
        </w:tc>
        <w:tc>
          <w:tcPr>
            <w:tcW w:w="1812" w:type="dxa"/>
            <w:vAlign w:val="center"/>
          </w:tcPr>
          <w:p w14:paraId="1C60F41B">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10</w:t>
            </w:r>
          </w:p>
        </w:tc>
      </w:tr>
      <w:tr w14:paraId="01D79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6E52C03A">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易俗河</w:t>
            </w:r>
          </w:p>
        </w:tc>
        <w:tc>
          <w:tcPr>
            <w:tcW w:w="1812" w:type="dxa"/>
            <w:vAlign w:val="top"/>
          </w:tcPr>
          <w:p w14:paraId="04316A67">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44</w:t>
            </w:r>
          </w:p>
        </w:tc>
        <w:tc>
          <w:tcPr>
            <w:tcW w:w="1812" w:type="dxa"/>
            <w:vAlign w:val="top"/>
          </w:tcPr>
          <w:p w14:paraId="71E7EC3D">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28</w:t>
            </w:r>
          </w:p>
        </w:tc>
        <w:tc>
          <w:tcPr>
            <w:tcW w:w="1812" w:type="dxa"/>
            <w:vAlign w:val="center"/>
          </w:tcPr>
          <w:p w14:paraId="6A643DD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21</w:t>
            </w:r>
          </w:p>
        </w:tc>
        <w:tc>
          <w:tcPr>
            <w:tcW w:w="1812" w:type="dxa"/>
            <w:vAlign w:val="center"/>
          </w:tcPr>
          <w:p w14:paraId="6EC4FA56">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18</w:t>
            </w:r>
          </w:p>
        </w:tc>
      </w:tr>
      <w:tr w14:paraId="307F2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5C00AC13">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谭家山</w:t>
            </w:r>
          </w:p>
        </w:tc>
        <w:tc>
          <w:tcPr>
            <w:tcW w:w="1812" w:type="dxa"/>
            <w:vAlign w:val="top"/>
          </w:tcPr>
          <w:p w14:paraId="01FD6209">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22</w:t>
            </w:r>
          </w:p>
        </w:tc>
        <w:tc>
          <w:tcPr>
            <w:tcW w:w="1812" w:type="dxa"/>
            <w:vAlign w:val="top"/>
          </w:tcPr>
          <w:p w14:paraId="4F74B972">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14</w:t>
            </w:r>
          </w:p>
        </w:tc>
        <w:tc>
          <w:tcPr>
            <w:tcW w:w="1812" w:type="dxa"/>
            <w:vAlign w:val="center"/>
          </w:tcPr>
          <w:p w14:paraId="0F34A84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11</w:t>
            </w:r>
          </w:p>
        </w:tc>
        <w:tc>
          <w:tcPr>
            <w:tcW w:w="1812" w:type="dxa"/>
            <w:vAlign w:val="center"/>
          </w:tcPr>
          <w:p w14:paraId="1B3807F4">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9</w:t>
            </w:r>
          </w:p>
        </w:tc>
      </w:tr>
      <w:tr w14:paraId="59C2B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5D6DAD75">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中路铺</w:t>
            </w:r>
          </w:p>
        </w:tc>
        <w:tc>
          <w:tcPr>
            <w:tcW w:w="1812" w:type="dxa"/>
            <w:vAlign w:val="top"/>
          </w:tcPr>
          <w:p w14:paraId="0EE9D32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30</w:t>
            </w:r>
          </w:p>
        </w:tc>
        <w:tc>
          <w:tcPr>
            <w:tcW w:w="1812" w:type="dxa"/>
            <w:vAlign w:val="top"/>
          </w:tcPr>
          <w:p w14:paraId="108E5E1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19</w:t>
            </w:r>
          </w:p>
        </w:tc>
        <w:tc>
          <w:tcPr>
            <w:tcW w:w="1812" w:type="dxa"/>
            <w:vAlign w:val="center"/>
          </w:tcPr>
          <w:p w14:paraId="71F4E5C7">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14</w:t>
            </w:r>
          </w:p>
        </w:tc>
        <w:tc>
          <w:tcPr>
            <w:tcW w:w="1812" w:type="dxa"/>
            <w:vAlign w:val="center"/>
          </w:tcPr>
          <w:p w14:paraId="44D5987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12</w:t>
            </w:r>
          </w:p>
        </w:tc>
      </w:tr>
      <w:tr w14:paraId="2D546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center"/>
          </w:tcPr>
          <w:p w14:paraId="1B718672">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白　石</w:t>
            </w:r>
          </w:p>
        </w:tc>
        <w:tc>
          <w:tcPr>
            <w:tcW w:w="1812" w:type="dxa"/>
            <w:vAlign w:val="top"/>
          </w:tcPr>
          <w:p w14:paraId="7D6C3E0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17</w:t>
            </w:r>
          </w:p>
        </w:tc>
        <w:tc>
          <w:tcPr>
            <w:tcW w:w="1812" w:type="dxa"/>
            <w:vAlign w:val="top"/>
          </w:tcPr>
          <w:p w14:paraId="3B807D3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11</w:t>
            </w:r>
          </w:p>
        </w:tc>
        <w:tc>
          <w:tcPr>
            <w:tcW w:w="1812" w:type="dxa"/>
            <w:vAlign w:val="center"/>
          </w:tcPr>
          <w:p w14:paraId="3A90ABF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8</w:t>
            </w:r>
          </w:p>
        </w:tc>
        <w:tc>
          <w:tcPr>
            <w:tcW w:w="1812" w:type="dxa"/>
            <w:vAlign w:val="center"/>
          </w:tcPr>
          <w:p w14:paraId="4285F77C">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7</w:t>
            </w:r>
          </w:p>
        </w:tc>
      </w:tr>
      <w:tr w14:paraId="5F634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top"/>
          </w:tcPr>
          <w:p w14:paraId="4C97431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eastAsia="zh-CN"/>
                <w14:textFill>
                  <w14:solidFill>
                    <w14:schemeClr w14:val="tx1"/>
                  </w14:solidFill>
                </w14:textFill>
              </w:rPr>
              <w:t>茶恩寺</w:t>
            </w:r>
          </w:p>
        </w:tc>
        <w:tc>
          <w:tcPr>
            <w:tcW w:w="1812" w:type="dxa"/>
            <w:vAlign w:val="top"/>
          </w:tcPr>
          <w:p w14:paraId="5C18C366">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26</w:t>
            </w:r>
          </w:p>
        </w:tc>
        <w:tc>
          <w:tcPr>
            <w:tcW w:w="1812" w:type="dxa"/>
            <w:vAlign w:val="top"/>
          </w:tcPr>
          <w:p w14:paraId="2F974E5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16</w:t>
            </w:r>
          </w:p>
        </w:tc>
        <w:tc>
          <w:tcPr>
            <w:tcW w:w="1812" w:type="dxa"/>
            <w:vAlign w:val="center"/>
          </w:tcPr>
          <w:p w14:paraId="743A305C">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13</w:t>
            </w:r>
          </w:p>
        </w:tc>
        <w:tc>
          <w:tcPr>
            <w:tcW w:w="1812" w:type="dxa"/>
            <w:vAlign w:val="center"/>
          </w:tcPr>
          <w:p w14:paraId="55D628B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11</w:t>
            </w:r>
          </w:p>
        </w:tc>
      </w:tr>
      <w:tr w14:paraId="5F803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vAlign w:val="top"/>
          </w:tcPr>
          <w:p w14:paraId="5071F30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eastAsia="zh-CN"/>
                <w14:textFill>
                  <w14:solidFill>
                    <w14:schemeClr w14:val="tx1"/>
                  </w14:solidFill>
                </w14:textFill>
              </w:rPr>
              <w:t>合计</w:t>
            </w:r>
          </w:p>
        </w:tc>
        <w:tc>
          <w:tcPr>
            <w:tcW w:w="1812" w:type="dxa"/>
            <w:vAlign w:val="top"/>
          </w:tcPr>
          <w:p w14:paraId="41D4D36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黑体" w:eastAsia="黑体" w:cs="黑体"/>
                <w:color w:val="000000" w:themeColor="text1"/>
                <w:sz w:val="32"/>
                <w:szCs w:val="32"/>
                <w:vertAlign w:val="baseline"/>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540</w:t>
            </w:r>
          </w:p>
        </w:tc>
        <w:tc>
          <w:tcPr>
            <w:tcW w:w="1812" w:type="dxa"/>
            <w:vAlign w:val="top"/>
          </w:tcPr>
          <w:p w14:paraId="355EA4F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黑体" w:hAnsi="黑体" w:eastAsia="黑体" w:cs="黑体"/>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340</w:t>
            </w:r>
          </w:p>
        </w:tc>
        <w:tc>
          <w:tcPr>
            <w:tcW w:w="1812" w:type="dxa"/>
            <w:vAlign w:val="top"/>
          </w:tcPr>
          <w:p w14:paraId="1EF43266">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260</w:t>
            </w:r>
          </w:p>
        </w:tc>
        <w:tc>
          <w:tcPr>
            <w:tcW w:w="1812" w:type="dxa"/>
          </w:tcPr>
          <w:p w14:paraId="5C7D0B0D">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t>220</w:t>
            </w:r>
          </w:p>
        </w:tc>
      </w:tr>
    </w:tbl>
    <w:p w14:paraId="1A70911D">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hint="default"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附件3</w:t>
      </w:r>
    </w:p>
    <w:p w14:paraId="0A00955C">
      <w:pPr>
        <w:keepNext w:val="0"/>
        <w:keepLines w:val="0"/>
        <w:pageBreakBefore w:val="0"/>
        <w:kinsoku/>
        <w:overflowPunct/>
        <w:topLinePunct w:val="0"/>
        <w:autoSpaceDE/>
        <w:autoSpaceDN/>
        <w:bidi w:val="0"/>
        <w:adjustRightInd/>
        <w:spacing w:before="160" w:line="560" w:lineRule="exact"/>
        <w:ind w:left="889"/>
        <w:textAlignment w:val="auto"/>
        <w:outlineLvl w:val="1"/>
        <w:rPr>
          <w:rFonts w:ascii="方正小标宋简体" w:hAnsi="方正小标宋简体" w:eastAsia="方正小标宋简体" w:cs="方正小标宋简体"/>
          <w:sz w:val="43"/>
          <w:szCs w:val="43"/>
        </w:rPr>
      </w:pPr>
      <w:r>
        <w:rPr>
          <w:rFonts w:ascii="方正小标宋简体" w:hAnsi="方正小标宋简体" w:eastAsia="方正小标宋简体" w:cs="方正小标宋简体"/>
          <w:spacing w:val="9"/>
          <w:position w:val="5"/>
          <w:sz w:val="43"/>
          <w:szCs w:val="43"/>
        </w:rPr>
        <w:t>湘潭市烟花爆竹零售经营店设立指南</w:t>
      </w:r>
    </w:p>
    <w:p w14:paraId="3C6F6DC5">
      <w:pPr>
        <w:pStyle w:val="2"/>
        <w:keepNext w:val="0"/>
        <w:keepLines w:val="0"/>
        <w:pageBreakBefore w:val="0"/>
        <w:kinsoku/>
        <w:overflowPunct/>
        <w:topLinePunct w:val="0"/>
        <w:autoSpaceDE/>
        <w:autoSpaceDN/>
        <w:bidi w:val="0"/>
        <w:adjustRightInd/>
        <w:spacing w:line="560" w:lineRule="exact"/>
        <w:textAlignment w:val="auto"/>
      </w:pPr>
    </w:p>
    <w:p w14:paraId="6F36AB4D">
      <w:pPr>
        <w:keepNext w:val="0"/>
        <w:keepLines w:val="0"/>
        <w:pageBreakBefore w:val="0"/>
        <w:widowControl w:val="0"/>
        <w:kinsoku/>
        <w:wordWrap/>
        <w:overflowPunct/>
        <w:topLinePunct w:val="0"/>
        <w:autoSpaceDE/>
        <w:autoSpaceDN/>
        <w:bidi w:val="0"/>
        <w:adjustRightInd/>
        <w:snapToGrid/>
        <w:spacing w:line="560" w:lineRule="exact"/>
        <w:ind w:left="0" w:firstLine="644" w:firstLineChars="200"/>
        <w:textAlignment w:val="auto"/>
        <w:outlineLvl w:val="2"/>
        <w:rPr>
          <w:rFonts w:ascii="黑体" w:hAnsi="黑体" w:eastAsia="黑体" w:cs="黑体"/>
          <w:spacing w:val="6"/>
          <w:sz w:val="31"/>
          <w:szCs w:val="31"/>
        </w:rPr>
      </w:pPr>
      <w:r>
        <w:rPr>
          <w:rFonts w:ascii="黑体" w:hAnsi="黑体" w:eastAsia="黑体" w:cs="黑体"/>
          <w:spacing w:val="6"/>
          <w:sz w:val="31"/>
          <w:szCs w:val="31"/>
        </w:rPr>
        <w:t>一、选址</w:t>
      </w:r>
    </w:p>
    <w:p w14:paraId="63419CF7">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z w:val="31"/>
          <w:szCs w:val="31"/>
        </w:rPr>
      </w:pPr>
      <w:r>
        <w:rPr>
          <w:rFonts w:ascii="FangSong_GB2312" w:hAnsi="FangSong_GB2312" w:eastAsia="FangSong_GB2312" w:cs="FangSong_GB2312"/>
          <w:spacing w:val="2"/>
          <w:sz w:val="31"/>
          <w:szCs w:val="31"/>
        </w:rPr>
        <w:t>1.不应设置在烟花爆竹禁燃区外延200米（垂直距离）范围</w:t>
      </w:r>
      <w:r>
        <w:rPr>
          <w:rFonts w:ascii="FangSong_GB2312" w:hAnsi="FangSong_GB2312" w:eastAsia="FangSong_GB2312" w:cs="FangSong_GB2312"/>
          <w:spacing w:val="-25"/>
          <w:sz w:val="31"/>
          <w:szCs w:val="31"/>
        </w:rPr>
        <w:t>内。</w:t>
      </w:r>
    </w:p>
    <w:p w14:paraId="164D2078">
      <w:pPr>
        <w:keepNext w:val="0"/>
        <w:keepLines w:val="0"/>
        <w:pageBreakBefore w:val="0"/>
        <w:widowControl w:val="0"/>
        <w:kinsoku/>
        <w:wordWrap/>
        <w:overflowPunct/>
        <w:topLinePunct w:val="0"/>
        <w:autoSpaceDE/>
        <w:autoSpaceDN/>
        <w:bidi w:val="0"/>
        <w:adjustRightInd/>
        <w:snapToGrid/>
        <w:spacing w:line="560" w:lineRule="exact"/>
        <w:ind w:left="0" w:right="0" w:firstLine="636" w:firstLineChars="200"/>
        <w:textAlignment w:val="auto"/>
        <w:rPr>
          <w:rFonts w:ascii="FangSong_GB2312" w:hAnsi="FangSong_GB2312" w:eastAsia="FangSong_GB2312" w:cs="FangSong_GB2312"/>
          <w:sz w:val="31"/>
          <w:szCs w:val="31"/>
        </w:rPr>
      </w:pPr>
      <w:r>
        <w:rPr>
          <w:rFonts w:ascii="FangSong_GB2312" w:hAnsi="FangSong_GB2312" w:eastAsia="FangSong_GB2312" w:cs="FangSong_GB2312"/>
          <w:spacing w:val="4"/>
          <w:sz w:val="31"/>
          <w:szCs w:val="31"/>
        </w:rPr>
        <w:t>2.不应设置在军事管理区、文物保护区等禁止燃放烟花爆竹</w:t>
      </w:r>
      <w:r>
        <w:rPr>
          <w:rFonts w:ascii="FangSong_GB2312" w:hAnsi="FangSong_GB2312" w:eastAsia="FangSong_GB2312" w:cs="FangSong_GB2312"/>
          <w:spacing w:val="-7"/>
          <w:sz w:val="31"/>
          <w:szCs w:val="31"/>
        </w:rPr>
        <w:t>区域内。</w:t>
      </w:r>
    </w:p>
    <w:p w14:paraId="4C719A18">
      <w:pPr>
        <w:keepNext w:val="0"/>
        <w:keepLines w:val="0"/>
        <w:pageBreakBefore w:val="0"/>
        <w:widowControl w:val="0"/>
        <w:kinsoku/>
        <w:wordWrap/>
        <w:overflowPunct/>
        <w:topLinePunct w:val="0"/>
        <w:autoSpaceDE/>
        <w:autoSpaceDN/>
        <w:bidi w:val="0"/>
        <w:adjustRightInd/>
        <w:snapToGrid/>
        <w:spacing w:line="560" w:lineRule="exact"/>
        <w:ind w:left="0" w:right="0" w:firstLine="644" w:firstLineChars="200"/>
        <w:textAlignment w:val="auto"/>
        <w:rPr>
          <w:rFonts w:ascii="FangSong_GB2312" w:hAnsi="FangSong_GB2312" w:eastAsia="FangSong_GB2312" w:cs="FangSong_GB2312"/>
          <w:sz w:val="31"/>
          <w:szCs w:val="31"/>
        </w:rPr>
      </w:pPr>
      <w:r>
        <w:rPr>
          <w:rFonts w:ascii="FangSong_GB2312" w:hAnsi="FangSong_GB2312" w:eastAsia="FangSong_GB2312" w:cs="FangSong_GB2312"/>
          <w:spacing w:val="6"/>
          <w:sz w:val="31"/>
          <w:szCs w:val="31"/>
        </w:rPr>
        <w:t>3.不应设置在居民集中居住小区内。</w:t>
      </w:r>
    </w:p>
    <w:p w14:paraId="6FBCD61D">
      <w:pPr>
        <w:keepNext w:val="0"/>
        <w:keepLines w:val="0"/>
        <w:pageBreakBefore w:val="0"/>
        <w:widowControl w:val="0"/>
        <w:kinsoku/>
        <w:wordWrap/>
        <w:overflowPunct/>
        <w:topLinePunct w:val="0"/>
        <w:autoSpaceDE/>
        <w:autoSpaceDN/>
        <w:bidi w:val="0"/>
        <w:adjustRightInd/>
        <w:snapToGrid/>
        <w:spacing w:line="560" w:lineRule="exact"/>
        <w:ind w:left="0" w:right="0" w:firstLine="644" w:firstLineChars="200"/>
        <w:textAlignment w:val="auto"/>
        <w:rPr>
          <w:rFonts w:ascii="FangSong_GB2312" w:hAnsi="FangSong_GB2312" w:eastAsia="FangSong_GB2312" w:cs="FangSong_GB2312"/>
          <w:sz w:val="31"/>
          <w:szCs w:val="31"/>
        </w:rPr>
      </w:pPr>
      <w:r>
        <w:rPr>
          <w:rFonts w:ascii="FangSong_GB2312" w:hAnsi="FangSong_GB2312" w:eastAsia="FangSong_GB2312" w:cs="FangSong_GB2312"/>
          <w:spacing w:val="6"/>
          <w:sz w:val="31"/>
          <w:szCs w:val="31"/>
        </w:rPr>
        <w:t>4.不应设置在桥下与涵洞内。</w:t>
      </w:r>
    </w:p>
    <w:p w14:paraId="7CBCAE8D">
      <w:pPr>
        <w:keepNext w:val="0"/>
        <w:keepLines w:val="0"/>
        <w:pageBreakBefore w:val="0"/>
        <w:widowControl w:val="0"/>
        <w:kinsoku/>
        <w:wordWrap/>
        <w:overflowPunct/>
        <w:topLinePunct w:val="0"/>
        <w:autoSpaceDE/>
        <w:autoSpaceDN/>
        <w:bidi w:val="0"/>
        <w:adjustRightInd/>
        <w:snapToGrid/>
        <w:spacing w:line="560" w:lineRule="exact"/>
        <w:ind w:left="0" w:right="0" w:firstLine="636" w:firstLineChars="200"/>
        <w:textAlignment w:val="auto"/>
        <w:rPr>
          <w:rFonts w:ascii="FangSong_GB2312" w:hAnsi="FangSong_GB2312" w:eastAsia="FangSong_GB2312" w:cs="FangSong_GB2312"/>
          <w:sz w:val="31"/>
          <w:szCs w:val="31"/>
        </w:rPr>
      </w:pPr>
      <w:r>
        <w:rPr>
          <w:rFonts w:ascii="FangSong_GB2312" w:hAnsi="FangSong_GB2312" w:eastAsia="FangSong_GB2312" w:cs="FangSong_GB2312"/>
          <w:spacing w:val="4"/>
          <w:sz w:val="31"/>
          <w:szCs w:val="31"/>
        </w:rPr>
        <w:t>5.不应与居民居住场所设置在同一建筑物内，不应设置在地</w:t>
      </w:r>
      <w:r>
        <w:rPr>
          <w:rFonts w:ascii="FangSong_GB2312" w:hAnsi="FangSong_GB2312" w:eastAsia="FangSong_GB2312" w:cs="FangSong_GB2312"/>
          <w:spacing w:val="5"/>
          <w:sz w:val="31"/>
          <w:szCs w:val="31"/>
        </w:rPr>
        <w:t>下室及半地下室内。</w:t>
      </w:r>
    </w:p>
    <w:p w14:paraId="3A04974F">
      <w:pPr>
        <w:keepNext w:val="0"/>
        <w:keepLines w:val="0"/>
        <w:pageBreakBefore w:val="0"/>
        <w:widowControl w:val="0"/>
        <w:kinsoku/>
        <w:wordWrap/>
        <w:overflowPunct/>
        <w:topLinePunct w:val="0"/>
        <w:autoSpaceDE/>
        <w:autoSpaceDN/>
        <w:bidi w:val="0"/>
        <w:adjustRightInd/>
        <w:snapToGrid/>
        <w:spacing w:line="560" w:lineRule="exact"/>
        <w:ind w:left="0" w:right="0" w:firstLine="636" w:firstLineChars="200"/>
        <w:textAlignment w:val="auto"/>
        <w:rPr>
          <w:rFonts w:ascii="FangSong_GB2312" w:hAnsi="FangSong_GB2312" w:eastAsia="FangSong_GB2312" w:cs="FangSong_GB2312"/>
          <w:sz w:val="31"/>
          <w:szCs w:val="31"/>
        </w:rPr>
      </w:pPr>
      <w:r>
        <w:rPr>
          <w:rFonts w:ascii="FangSong_GB2312" w:hAnsi="FangSong_GB2312" w:eastAsia="FangSong_GB2312" w:cs="FangSong_GB2312"/>
          <w:spacing w:val="4"/>
          <w:sz w:val="31"/>
          <w:szCs w:val="31"/>
        </w:rPr>
        <w:t>6.不应设置在其地下、室内或上方有输送石油、天然气等易</w:t>
      </w:r>
      <w:r>
        <w:rPr>
          <w:rFonts w:ascii="FangSong_GB2312" w:hAnsi="FangSong_GB2312" w:eastAsia="FangSong_GB2312" w:cs="FangSong_GB2312"/>
          <w:spacing w:val="8"/>
          <w:sz w:val="31"/>
          <w:szCs w:val="31"/>
        </w:rPr>
        <w:t>燃易爆物质管道的建筑物内。</w:t>
      </w:r>
    </w:p>
    <w:p w14:paraId="6C79FFAD">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7.不应设置在电压高于1KV的电力线路下方。</w:t>
      </w:r>
    </w:p>
    <w:p w14:paraId="37DA305F">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8.应设置在消防车辆能顺畅到达的区域。</w:t>
      </w:r>
    </w:p>
    <w:p w14:paraId="65DDAD9C">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9.不应设置在法律法规规定禁止设置易燃易爆物品生产、经营、储存场所的区域内。</w:t>
      </w:r>
    </w:p>
    <w:p w14:paraId="29748E94">
      <w:pPr>
        <w:keepNext w:val="0"/>
        <w:keepLines w:val="0"/>
        <w:pageBreakBefore w:val="0"/>
        <w:widowControl w:val="0"/>
        <w:kinsoku/>
        <w:wordWrap/>
        <w:overflowPunct/>
        <w:topLinePunct w:val="0"/>
        <w:autoSpaceDE/>
        <w:autoSpaceDN/>
        <w:bidi w:val="0"/>
        <w:adjustRightInd/>
        <w:snapToGrid/>
        <w:spacing w:line="560" w:lineRule="exact"/>
        <w:ind w:left="0" w:firstLine="644" w:firstLineChars="200"/>
        <w:textAlignment w:val="auto"/>
        <w:outlineLvl w:val="2"/>
        <w:rPr>
          <w:rFonts w:ascii="黑体" w:hAnsi="黑体" w:eastAsia="黑体" w:cs="黑体"/>
          <w:spacing w:val="6"/>
          <w:sz w:val="31"/>
          <w:szCs w:val="31"/>
        </w:rPr>
      </w:pPr>
      <w:r>
        <w:rPr>
          <w:rFonts w:ascii="黑体" w:hAnsi="黑体" w:eastAsia="黑体" w:cs="黑体"/>
          <w:spacing w:val="6"/>
          <w:sz w:val="31"/>
          <w:szCs w:val="31"/>
        </w:rPr>
        <w:t>二、外部距离</w:t>
      </w:r>
    </w:p>
    <w:p w14:paraId="6635ED47">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10.距离220KV及以上的区域变电站围墙，220KV架空输电线路不得小于65m。</w:t>
      </w:r>
    </w:p>
    <w:p w14:paraId="411E63D8">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hint="eastAsia" w:ascii="FangSong_GB2312" w:hAnsi="FangSong_GB2312" w:eastAsia="FangSong_GB2312" w:cs="FangSong_GB2312"/>
          <w:spacing w:val="2"/>
          <w:sz w:val="31"/>
          <w:szCs w:val="31"/>
        </w:rPr>
      </w:pPr>
      <w:r>
        <w:rPr>
          <w:rFonts w:hint="eastAsia" w:ascii="FangSong_GB2312" w:hAnsi="FangSong_GB2312" w:eastAsia="FangSong_GB2312" w:cs="FangSong_GB2312"/>
          <w:spacing w:val="2"/>
          <w:sz w:val="31"/>
          <w:szCs w:val="31"/>
        </w:rPr>
        <w:t>11.距离其他烟花爆竹零售店不小于50m；两个烟花爆竹零售店之间门、窗等洞口直接相对时，两个烟花爆竹零售店之间距离不应小于80m。</w:t>
      </w:r>
    </w:p>
    <w:p w14:paraId="4B2C033C">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hint="eastAsia" w:ascii="FangSong_GB2312" w:hAnsi="FangSong_GB2312" w:eastAsia="FangSong_GB2312" w:cs="FangSong_GB2312"/>
          <w:spacing w:val="2"/>
          <w:sz w:val="31"/>
          <w:szCs w:val="31"/>
          <w:lang w:val="en-US" w:eastAsia="zh-CN"/>
        </w:rPr>
      </w:pPr>
      <w:r>
        <w:rPr>
          <w:rFonts w:ascii="FangSong_GB2312" w:hAnsi="FangSong_GB2312" w:eastAsia="FangSong_GB2312" w:cs="FangSong_GB2312"/>
          <w:spacing w:val="2"/>
          <w:sz w:val="31"/>
          <w:szCs w:val="31"/>
        </w:rPr>
        <w:t>12.距离学校、医院、幼儿园、养老院、集贸市场等人员密集场所，文物古迹、博物馆、展览馆、档案馆等重要建筑物，危险品生产、储存及加油站、加气站等易燃易爆场所边缘不得小于100m。</w:t>
      </w:r>
    </w:p>
    <w:p w14:paraId="24EF6FF1">
      <w:pPr>
        <w:keepNext w:val="0"/>
        <w:keepLines w:val="0"/>
        <w:pageBreakBefore w:val="0"/>
        <w:widowControl w:val="0"/>
        <w:kinsoku/>
        <w:wordWrap/>
        <w:overflowPunct/>
        <w:topLinePunct w:val="0"/>
        <w:autoSpaceDE/>
        <w:autoSpaceDN/>
        <w:bidi w:val="0"/>
        <w:adjustRightInd/>
        <w:snapToGrid/>
        <w:spacing w:line="560" w:lineRule="exact"/>
        <w:ind w:left="0" w:firstLine="644" w:firstLineChars="200"/>
        <w:textAlignment w:val="auto"/>
        <w:outlineLvl w:val="2"/>
        <w:rPr>
          <w:rFonts w:ascii="黑体" w:hAnsi="黑体" w:eastAsia="黑体" w:cs="黑体"/>
          <w:spacing w:val="6"/>
          <w:sz w:val="31"/>
          <w:szCs w:val="31"/>
        </w:rPr>
      </w:pPr>
      <w:r>
        <w:rPr>
          <w:rFonts w:ascii="黑体" w:hAnsi="黑体" w:eastAsia="黑体" w:cs="黑体"/>
          <w:spacing w:val="6"/>
          <w:sz w:val="31"/>
          <w:szCs w:val="31"/>
        </w:rPr>
        <w:t>三、建筑结构</w:t>
      </w:r>
    </w:p>
    <w:p w14:paraId="3AF9987C">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13.零售场所使用面积不应小于35㎡，且不应大于200㎡。使用面积不大于100㎡的，可设1个安全出口；使用面积大于100㎡的，安全出口不得少于2个；零售场所内任意一点至安全出口的距离不应大于15m。顾客进出门宽不得小于1.5m，门应符合安全疏散要求。</w:t>
      </w:r>
    </w:p>
    <w:p w14:paraId="3B8F827D">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14.零售场所应为固定建筑物，可采用现浇钢筋混凝土框架结构、钢筋混凝土柱、梁承重结构、砌体承重结构、刚架结构等。</w:t>
      </w:r>
    </w:p>
    <w:p w14:paraId="5F14E0B5">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z w:val="31"/>
          <w:szCs w:val="31"/>
        </w:rPr>
      </w:pPr>
      <w:r>
        <w:rPr>
          <w:rFonts w:ascii="FangSong_GB2312" w:hAnsi="FangSong_GB2312" w:eastAsia="FangSong_GB2312" w:cs="FangSong_GB2312"/>
          <w:spacing w:val="2"/>
          <w:sz w:val="31"/>
          <w:szCs w:val="31"/>
        </w:rPr>
        <w:t>15.零售场所建筑物与其他场所联建时，其隔墙应为厚度不小于180mm的密实砖墙，隔墙不得设置门窗和洞口。</w:t>
      </w:r>
    </w:p>
    <w:p w14:paraId="6B151B67">
      <w:pPr>
        <w:keepNext w:val="0"/>
        <w:keepLines w:val="0"/>
        <w:pageBreakBefore w:val="0"/>
        <w:widowControl w:val="0"/>
        <w:kinsoku/>
        <w:wordWrap/>
        <w:overflowPunct/>
        <w:topLinePunct w:val="0"/>
        <w:autoSpaceDE/>
        <w:autoSpaceDN/>
        <w:bidi w:val="0"/>
        <w:adjustRightInd/>
        <w:snapToGrid/>
        <w:spacing w:line="560" w:lineRule="exact"/>
        <w:ind w:left="0" w:firstLine="644" w:firstLineChars="200"/>
        <w:textAlignment w:val="auto"/>
        <w:outlineLvl w:val="2"/>
        <w:rPr>
          <w:rFonts w:ascii="黑体" w:hAnsi="黑体" w:eastAsia="黑体" w:cs="黑体"/>
          <w:spacing w:val="6"/>
          <w:sz w:val="31"/>
          <w:szCs w:val="31"/>
        </w:rPr>
      </w:pPr>
      <w:r>
        <w:rPr>
          <w:rFonts w:ascii="黑体" w:hAnsi="黑体" w:eastAsia="黑体" w:cs="黑体"/>
          <w:spacing w:val="6"/>
          <w:sz w:val="31"/>
          <w:szCs w:val="31"/>
        </w:rPr>
        <w:t>四、平面布置</w:t>
      </w:r>
    </w:p>
    <w:p w14:paraId="0C31D3CE">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16.零售场所与其他房间之间不应有楼梯或洞口相通。</w:t>
      </w:r>
    </w:p>
    <w:p w14:paraId="3C50A043">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17.零售场所正上方房间不应作为营业场所，不应作为培训教室、会议室，不应有人员留宿。</w:t>
      </w:r>
    </w:p>
    <w:p w14:paraId="759698CD">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18.零售场所不得作为其他生产、经营和生活等场所通道，严禁“下店上宅”“前店后宅”。</w:t>
      </w:r>
    </w:p>
    <w:p w14:paraId="0EFD6359">
      <w:pPr>
        <w:keepNext w:val="0"/>
        <w:keepLines w:val="0"/>
        <w:pageBreakBefore w:val="0"/>
        <w:widowControl w:val="0"/>
        <w:kinsoku/>
        <w:wordWrap/>
        <w:overflowPunct/>
        <w:topLinePunct w:val="0"/>
        <w:autoSpaceDE/>
        <w:autoSpaceDN/>
        <w:bidi w:val="0"/>
        <w:adjustRightInd/>
        <w:snapToGrid/>
        <w:spacing w:line="560" w:lineRule="exact"/>
        <w:ind w:left="0" w:firstLine="644" w:firstLineChars="200"/>
        <w:textAlignment w:val="auto"/>
        <w:outlineLvl w:val="2"/>
        <w:rPr>
          <w:rFonts w:ascii="黑体" w:hAnsi="黑体" w:eastAsia="黑体" w:cs="黑体"/>
          <w:spacing w:val="6"/>
          <w:sz w:val="31"/>
          <w:szCs w:val="31"/>
        </w:rPr>
      </w:pPr>
      <w:r>
        <w:rPr>
          <w:rFonts w:ascii="黑体" w:hAnsi="黑体" w:eastAsia="黑体" w:cs="黑体"/>
          <w:spacing w:val="6"/>
          <w:sz w:val="31"/>
          <w:szCs w:val="31"/>
        </w:rPr>
        <w:t>五、消防和电气</w:t>
      </w:r>
    </w:p>
    <w:p w14:paraId="5CEF487B">
      <w:pPr>
        <w:keepNext w:val="0"/>
        <w:keepLines w:val="0"/>
        <w:pageBreakBefore w:val="0"/>
        <w:widowControl w:val="0"/>
        <w:kinsoku/>
        <w:wordWrap/>
        <w:overflowPunct/>
        <w:topLinePunct w:val="0"/>
        <w:autoSpaceDE/>
        <w:autoSpaceDN/>
        <w:bidi w:val="0"/>
        <w:adjustRightInd/>
        <w:snapToGrid/>
        <w:spacing w:line="560" w:lineRule="exact"/>
        <w:ind w:left="0" w:firstLine="628" w:firstLineChars="200"/>
        <w:textAlignment w:val="auto"/>
        <w:outlineLvl w:val="2"/>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19.零售场所内严禁有明火，不得采用产生明火和强热辐射的采暖设备。</w:t>
      </w:r>
    </w:p>
    <w:p w14:paraId="0CB3DF49">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20.零售场所周围25m范围内若有明火和散发火花地点，两者之间应有不燃材料实体隔挡。</w:t>
      </w:r>
    </w:p>
    <w:p w14:paraId="074DA7A6">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21.零售场所应当至少配备2具5KG及以上的磷酸铵盐干粉灭火器，放置在便于取用位置。使用面积大于100㎡的，应当至少配备4具且分为2个设置点。</w:t>
      </w:r>
    </w:p>
    <w:p w14:paraId="22DF7B40">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22.零售场所的电气线路不应有明接头，不应使用白炽灯、射灯等容易产生高温的灯具。</w:t>
      </w:r>
    </w:p>
    <w:p w14:paraId="385F0FA6">
      <w:pPr>
        <w:keepNext w:val="0"/>
        <w:keepLines w:val="0"/>
        <w:pageBreakBefore w:val="0"/>
        <w:widowControl w:val="0"/>
        <w:kinsoku/>
        <w:wordWrap/>
        <w:overflowPunct/>
        <w:topLinePunct w:val="0"/>
        <w:autoSpaceDE/>
        <w:autoSpaceDN/>
        <w:bidi w:val="0"/>
        <w:adjustRightInd/>
        <w:snapToGrid/>
        <w:spacing w:line="560" w:lineRule="exact"/>
        <w:ind w:left="0" w:firstLine="644" w:firstLineChars="200"/>
        <w:textAlignment w:val="auto"/>
        <w:outlineLvl w:val="2"/>
        <w:rPr>
          <w:rFonts w:ascii="黑体" w:hAnsi="黑体" w:eastAsia="黑体" w:cs="黑体"/>
          <w:spacing w:val="6"/>
          <w:sz w:val="31"/>
          <w:szCs w:val="31"/>
        </w:rPr>
      </w:pPr>
      <w:r>
        <w:rPr>
          <w:rFonts w:ascii="黑体" w:hAnsi="黑体" w:eastAsia="黑体" w:cs="黑体"/>
          <w:spacing w:val="6"/>
          <w:sz w:val="31"/>
          <w:szCs w:val="31"/>
        </w:rPr>
        <w:t>六、安全管理</w:t>
      </w:r>
    </w:p>
    <w:p w14:paraId="710D5F46">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23.主要负责人、安全管理人员应依法参加安全教育培训并经考核合格。</w:t>
      </w:r>
    </w:p>
    <w:p w14:paraId="77180CBB">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24.零售经营者应当使用“全国烟花爆竹流向信息登记系统”线上下单采购烟花爆竹，并如实登记烟花爆竹流向信息。</w:t>
      </w:r>
    </w:p>
    <w:p w14:paraId="6BEB5C49">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25.零售场所设置符合标准规范的视频监控系统，并纳入24小时不间断在线监测预警管控，视频监控资料应保存不少于30天。</w:t>
      </w:r>
    </w:p>
    <w:p w14:paraId="24C8ABE6">
      <w:pPr>
        <w:keepNext w:val="0"/>
        <w:keepLines w:val="0"/>
        <w:pageBreakBefore w:val="0"/>
        <w:widowControl w:val="0"/>
        <w:kinsoku/>
        <w:wordWrap/>
        <w:overflowPunct/>
        <w:topLinePunct w:val="0"/>
        <w:autoSpaceDE/>
        <w:autoSpaceDN/>
        <w:bidi w:val="0"/>
        <w:adjustRightInd/>
        <w:snapToGrid/>
        <w:spacing w:line="560" w:lineRule="exact"/>
        <w:ind w:left="0" w:firstLine="644" w:firstLineChars="200"/>
        <w:textAlignment w:val="auto"/>
        <w:outlineLvl w:val="2"/>
        <w:rPr>
          <w:rFonts w:ascii="黑体" w:hAnsi="黑体" w:eastAsia="黑体" w:cs="黑体"/>
          <w:spacing w:val="6"/>
          <w:sz w:val="31"/>
          <w:szCs w:val="31"/>
        </w:rPr>
      </w:pPr>
      <w:r>
        <w:rPr>
          <w:rFonts w:ascii="黑体" w:hAnsi="黑体" w:eastAsia="黑体" w:cs="黑体"/>
          <w:spacing w:val="6"/>
          <w:sz w:val="31"/>
          <w:szCs w:val="31"/>
        </w:rPr>
        <w:t>七、其他要求</w:t>
      </w:r>
    </w:p>
    <w:p w14:paraId="5A0E714E">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26.《烟花爆竹经营（零售）许可证》的有效期一般为1年。</w:t>
      </w:r>
    </w:p>
    <w:p w14:paraId="7FC5E93F">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ascii="FangSong_GB2312" w:hAnsi="FangSong_GB2312" w:eastAsia="FangSong_GB2312" w:cs="FangSong_GB2312"/>
          <w:spacing w:val="2"/>
          <w:sz w:val="31"/>
          <w:szCs w:val="31"/>
        </w:rPr>
      </w:pPr>
      <w:r>
        <w:rPr>
          <w:rFonts w:ascii="FangSong_GB2312" w:hAnsi="FangSong_GB2312" w:eastAsia="FangSong_GB2312" w:cs="FangSong_GB2312"/>
          <w:spacing w:val="2"/>
          <w:sz w:val="31"/>
          <w:szCs w:val="31"/>
        </w:rPr>
        <w:t>27.本发证周期内因安全生产违法行为被行政处罚3次及以上的，不受理下一周期的办证申请。</w:t>
      </w:r>
    </w:p>
    <w:p w14:paraId="722A0064">
      <w:pPr>
        <w:keepNext w:val="0"/>
        <w:keepLines w:val="0"/>
        <w:pageBreakBefore w:val="0"/>
        <w:widowControl w:val="0"/>
        <w:kinsoku/>
        <w:wordWrap/>
        <w:overflowPunct/>
        <w:topLinePunct w:val="0"/>
        <w:autoSpaceDE/>
        <w:autoSpaceDN/>
        <w:bidi w:val="0"/>
        <w:adjustRightInd/>
        <w:snapToGrid/>
        <w:spacing w:line="560" w:lineRule="exact"/>
        <w:ind w:left="0" w:right="0" w:firstLine="628" w:firstLineChars="200"/>
        <w:textAlignment w:val="auto"/>
        <w:rPr>
          <w:rFonts w:hint="default" w:ascii="黑体" w:hAnsi="黑体" w:eastAsia="黑体" w:cs="黑体"/>
          <w:color w:val="000000" w:themeColor="text1"/>
          <w:sz w:val="32"/>
          <w:szCs w:val="32"/>
          <w:lang w:val="en-US"/>
          <w14:textFill>
            <w14:solidFill>
              <w14:schemeClr w14:val="tx1"/>
            </w14:solidFill>
          </w14:textFill>
        </w:rPr>
      </w:pPr>
      <w:r>
        <w:rPr>
          <w:rFonts w:ascii="FangSong_GB2312" w:hAnsi="FangSong_GB2312" w:eastAsia="FangSong_GB2312" w:cs="FangSong_GB2312"/>
          <w:spacing w:val="2"/>
          <w:sz w:val="31"/>
          <w:szCs w:val="31"/>
        </w:rPr>
        <w:t>28.本发证周期内被行政检查发现存在采购销售非法生产经营的烟花爆竹（含超出烟花爆竹标准范围的黑火药、烟火药制品）、违反相关法律法规规定采购烟花爆竹或者经营专业燃放类烟花爆竹行为的，不受理下一周期的办证申请</w:t>
      </w:r>
      <w:r>
        <w:rPr>
          <w:rFonts w:ascii="FangSong_GB2312" w:hAnsi="FangSong_GB2312" w:eastAsia="FangSong_GB2312" w:cs="FangSong_GB2312"/>
          <w:spacing w:val="8"/>
          <w:sz w:val="31"/>
          <w:szCs w:val="31"/>
        </w:rPr>
        <w:t>。</w:t>
      </w:r>
    </w:p>
    <w:p w14:paraId="712C3094">
      <w:pPr>
        <w:rPr>
          <w:rFonts w:hint="default"/>
          <w:lang w:val="en-US"/>
        </w:rPr>
      </w:pPr>
    </w:p>
    <w:sectPr>
      <w:footerReference r:id="rId3" w:type="default"/>
      <w:pgSz w:w="11906" w:h="16838"/>
      <w:pgMar w:top="2098" w:right="1474" w:bottom="198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FangSong_GB2312">
    <w:altName w:val="仿宋_GB2312"/>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98AD3">
    <w:pPr>
      <w:spacing w:line="233" w:lineRule="auto"/>
      <w:ind w:left="7858"/>
      <w:rPr>
        <w:rFonts w:ascii="宋体" w:hAnsi="宋体" w:eastAsia="宋体" w:cs="宋体"/>
        <w:sz w:val="28"/>
        <w:szCs w:val="28"/>
      </w:rPr>
    </w:pPr>
    <w:r>
      <w:rPr>
        <w:rFonts w:ascii="宋体" w:hAnsi="宋体" w:eastAsia="宋体" w:cs="宋体"/>
        <w:spacing w:val="-8"/>
        <w:sz w:val="28"/>
        <w:szCs w:val="28"/>
      </w:rPr>
      <w:t>—</w:t>
    </w:r>
    <w:r>
      <w:rPr>
        <w:rFonts w:ascii="宋体" w:hAnsi="宋体" w:eastAsia="宋体" w:cs="宋体"/>
        <w:spacing w:val="15"/>
        <w:sz w:val="28"/>
        <w:szCs w:val="28"/>
      </w:rPr>
      <w:t xml:space="preserve"> </w:t>
    </w:r>
    <w:r>
      <w:rPr>
        <w:rFonts w:ascii="宋体" w:hAnsi="宋体" w:eastAsia="宋体" w:cs="宋体"/>
        <w:spacing w:val="-8"/>
        <w:sz w:val="28"/>
        <w:szCs w:val="28"/>
      </w:rPr>
      <w:t>5</w:t>
    </w:r>
    <w:r>
      <w:rPr>
        <w:rFonts w:ascii="宋体" w:hAnsi="宋体" w:eastAsia="宋体" w:cs="宋体"/>
        <w:spacing w:val="9"/>
        <w:sz w:val="28"/>
        <w:szCs w:val="28"/>
      </w:rPr>
      <w:t xml:space="preserve"> </w:t>
    </w:r>
    <w:r>
      <w:rPr>
        <w:rFonts w:ascii="宋体" w:hAnsi="宋体" w:eastAsia="宋体" w:cs="宋体"/>
        <w:spacing w:val="-8"/>
        <w:sz w:val="28"/>
        <w:szCs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78F860"/>
    <w:multiLevelType w:val="singleLevel"/>
    <w:tmpl w:val="C878F860"/>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0ZDg2OTA0Nzk4MzljOWEwODI4MzU0ZWU3MWE2OTYifQ=="/>
  </w:docVars>
  <w:rsids>
    <w:rsidRoot w:val="00172A27"/>
    <w:rsid w:val="00017BC3"/>
    <w:rsid w:val="000276B5"/>
    <w:rsid w:val="0002795F"/>
    <w:rsid w:val="000C3C63"/>
    <w:rsid w:val="000E0E60"/>
    <w:rsid w:val="000F4439"/>
    <w:rsid w:val="00102E2C"/>
    <w:rsid w:val="00115092"/>
    <w:rsid w:val="001249FE"/>
    <w:rsid w:val="0014542E"/>
    <w:rsid w:val="00151C10"/>
    <w:rsid w:val="00153650"/>
    <w:rsid w:val="00174820"/>
    <w:rsid w:val="001A14C1"/>
    <w:rsid w:val="001A3367"/>
    <w:rsid w:val="001C5121"/>
    <w:rsid w:val="001F02C6"/>
    <w:rsid w:val="00226E90"/>
    <w:rsid w:val="00230C01"/>
    <w:rsid w:val="00237C08"/>
    <w:rsid w:val="00242499"/>
    <w:rsid w:val="00286C12"/>
    <w:rsid w:val="002A5C0B"/>
    <w:rsid w:val="002A5E59"/>
    <w:rsid w:val="002C5727"/>
    <w:rsid w:val="0036034F"/>
    <w:rsid w:val="00391830"/>
    <w:rsid w:val="003A2980"/>
    <w:rsid w:val="003A794B"/>
    <w:rsid w:val="003B4F2A"/>
    <w:rsid w:val="003F7199"/>
    <w:rsid w:val="00427FC1"/>
    <w:rsid w:val="00454F18"/>
    <w:rsid w:val="00467E6B"/>
    <w:rsid w:val="004725E4"/>
    <w:rsid w:val="004954F6"/>
    <w:rsid w:val="004978C4"/>
    <w:rsid w:val="004D13DC"/>
    <w:rsid w:val="004E0873"/>
    <w:rsid w:val="004E4A4E"/>
    <w:rsid w:val="004F43E1"/>
    <w:rsid w:val="005025E7"/>
    <w:rsid w:val="00502F3D"/>
    <w:rsid w:val="00546EAF"/>
    <w:rsid w:val="00572B3F"/>
    <w:rsid w:val="00575F30"/>
    <w:rsid w:val="00577DE7"/>
    <w:rsid w:val="00596252"/>
    <w:rsid w:val="005B0933"/>
    <w:rsid w:val="005C2FA0"/>
    <w:rsid w:val="005C6D01"/>
    <w:rsid w:val="005D4BE4"/>
    <w:rsid w:val="005D793D"/>
    <w:rsid w:val="00614659"/>
    <w:rsid w:val="0064581E"/>
    <w:rsid w:val="00674F1C"/>
    <w:rsid w:val="006B789B"/>
    <w:rsid w:val="006E0648"/>
    <w:rsid w:val="00700176"/>
    <w:rsid w:val="0071554F"/>
    <w:rsid w:val="00730851"/>
    <w:rsid w:val="00735B5B"/>
    <w:rsid w:val="00781712"/>
    <w:rsid w:val="00781919"/>
    <w:rsid w:val="00782FEE"/>
    <w:rsid w:val="007A5725"/>
    <w:rsid w:val="007C6AFE"/>
    <w:rsid w:val="007E5EB6"/>
    <w:rsid w:val="008877A2"/>
    <w:rsid w:val="008A6A67"/>
    <w:rsid w:val="008B2B33"/>
    <w:rsid w:val="008C487F"/>
    <w:rsid w:val="008C6E73"/>
    <w:rsid w:val="008D342B"/>
    <w:rsid w:val="008F5A85"/>
    <w:rsid w:val="009025C8"/>
    <w:rsid w:val="00923DF3"/>
    <w:rsid w:val="009616DD"/>
    <w:rsid w:val="009A2F35"/>
    <w:rsid w:val="009B280A"/>
    <w:rsid w:val="00A51C25"/>
    <w:rsid w:val="00A56AB3"/>
    <w:rsid w:val="00A9293F"/>
    <w:rsid w:val="00AC243B"/>
    <w:rsid w:val="00AC3138"/>
    <w:rsid w:val="00B303BF"/>
    <w:rsid w:val="00B45DF5"/>
    <w:rsid w:val="00B539D1"/>
    <w:rsid w:val="00B5754B"/>
    <w:rsid w:val="00BE44EC"/>
    <w:rsid w:val="00BE4C2C"/>
    <w:rsid w:val="00C04FD2"/>
    <w:rsid w:val="00C2247B"/>
    <w:rsid w:val="00C2482B"/>
    <w:rsid w:val="00C348DC"/>
    <w:rsid w:val="00C37896"/>
    <w:rsid w:val="00C5720E"/>
    <w:rsid w:val="00C63BEB"/>
    <w:rsid w:val="00C80F9A"/>
    <w:rsid w:val="00C818C5"/>
    <w:rsid w:val="00C91C52"/>
    <w:rsid w:val="00CE42A8"/>
    <w:rsid w:val="00CF7832"/>
    <w:rsid w:val="00D7249E"/>
    <w:rsid w:val="00D84F20"/>
    <w:rsid w:val="00DB28CE"/>
    <w:rsid w:val="00DB2E2B"/>
    <w:rsid w:val="00DD7F9E"/>
    <w:rsid w:val="00DE1DC4"/>
    <w:rsid w:val="00E157EF"/>
    <w:rsid w:val="00E17369"/>
    <w:rsid w:val="00E26053"/>
    <w:rsid w:val="00E75915"/>
    <w:rsid w:val="00E83C96"/>
    <w:rsid w:val="00EC11F4"/>
    <w:rsid w:val="00F15F1E"/>
    <w:rsid w:val="00F3367C"/>
    <w:rsid w:val="00F62EF8"/>
    <w:rsid w:val="00F7486A"/>
    <w:rsid w:val="00FA3B23"/>
    <w:rsid w:val="00FE4A4B"/>
    <w:rsid w:val="01ED39CB"/>
    <w:rsid w:val="02703130"/>
    <w:rsid w:val="03C5135C"/>
    <w:rsid w:val="04905677"/>
    <w:rsid w:val="0E4324C4"/>
    <w:rsid w:val="0E4F7435"/>
    <w:rsid w:val="0E704250"/>
    <w:rsid w:val="155B282E"/>
    <w:rsid w:val="1A467982"/>
    <w:rsid w:val="1D93080B"/>
    <w:rsid w:val="26AC5187"/>
    <w:rsid w:val="27225449"/>
    <w:rsid w:val="28C47D8C"/>
    <w:rsid w:val="2B3D4F92"/>
    <w:rsid w:val="2B5C6D9A"/>
    <w:rsid w:val="2CB43679"/>
    <w:rsid w:val="2EB272C8"/>
    <w:rsid w:val="2FE61569"/>
    <w:rsid w:val="32D33A39"/>
    <w:rsid w:val="34940621"/>
    <w:rsid w:val="38570D81"/>
    <w:rsid w:val="388C51FC"/>
    <w:rsid w:val="3F74240C"/>
    <w:rsid w:val="455335B6"/>
    <w:rsid w:val="4DA52F31"/>
    <w:rsid w:val="4E7476E8"/>
    <w:rsid w:val="51384450"/>
    <w:rsid w:val="544A5F44"/>
    <w:rsid w:val="57CA63B1"/>
    <w:rsid w:val="5CA6258E"/>
    <w:rsid w:val="5E3B2A02"/>
    <w:rsid w:val="60730CE0"/>
    <w:rsid w:val="618137DA"/>
    <w:rsid w:val="61983352"/>
    <w:rsid w:val="63053881"/>
    <w:rsid w:val="66666353"/>
    <w:rsid w:val="68153A4A"/>
    <w:rsid w:val="6AEE11C0"/>
    <w:rsid w:val="7EAE4002"/>
    <w:rsid w:val="7F0B7D77"/>
    <w:rsid w:val="7FFFD7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2774</Words>
  <Characters>3034</Characters>
  <Lines>10</Lines>
  <Paragraphs>2</Paragraphs>
  <TotalTime>2</TotalTime>
  <ScaleCrop>false</ScaleCrop>
  <LinksUpToDate>false</LinksUpToDate>
  <CharactersWithSpaces>3049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2023-08-25T01:10:00Z</dcterms:created>
  <dc:creator>李磊1</dc:creator>
  <cp:lastModifiedBy>虎虎生威</cp:lastModifiedBy>
  <cp:lastPrinted>2025-10-20T03:48:00Z</cp:lastPrinted>
  <dcterms:modified xsi:type="dcterms:W3CDTF">2025-10-27T09:12:09Z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2F342FF25240421FA8652912475B90F9_13</vt:lpwstr>
  </property>
  <property fmtid="{D5CDD505-2E9C-101B-9397-08002B2CF9AE}" pid="4" name="KSOTemplateDocerSaveRecord">
    <vt:lpwstr>eyJoZGlkIjoiODQ1MzBkZGE2NGU5OTVlMGIxY2E0ZGMwZjg0ZGY5NjUiLCJ1c2VySWQiOiIzMjE3OTQxMTkifQ==</vt:lpwstr>
  </property>
</Properties>
</file>