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7116E">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505DEA3">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3B753B67">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786DC135">
      <w:pPr>
        <w:pStyle w:val="18"/>
        <w:shd w:val="clear"/>
        <w:jc w:val="center"/>
        <w:rPr>
          <w:rFonts w:hint="eastAsia" w:ascii="仿宋" w:hAnsi="仿宋" w:eastAsia="仿宋" w:cs="仿宋"/>
          <w:color w:val="000000" w:themeColor="text1"/>
          <w:sz w:val="60"/>
          <w:szCs w:val="60"/>
          <w:u w:val="none"/>
          <w:lang w:eastAsia="zh-CN"/>
          <w14:textFill>
            <w14:solidFill>
              <w14:schemeClr w14:val="tx1"/>
            </w14:solidFill>
          </w14:textFill>
        </w:rPr>
      </w:pPr>
    </w:p>
    <w:p w14:paraId="02E43D82">
      <w:pPr>
        <w:pStyle w:val="18"/>
        <w:shd w:val="clear"/>
        <w:jc w:val="center"/>
        <w:rPr>
          <w:rFonts w:hint="eastAsia" w:ascii="仿宋" w:hAnsi="仿宋" w:eastAsia="仿宋" w:cs="仿宋"/>
          <w:color w:val="000000" w:themeColor="text1"/>
          <w:sz w:val="60"/>
          <w:szCs w:val="60"/>
          <w:u w:val="none"/>
          <w:lang w:eastAsia="zh-CN"/>
          <w14:textFill>
            <w14:solidFill>
              <w14:schemeClr w14:val="tx1"/>
            </w14:solidFill>
          </w14:textFill>
        </w:rPr>
      </w:pPr>
    </w:p>
    <w:p w14:paraId="0221740A">
      <w:pPr>
        <w:pStyle w:val="18"/>
        <w:shd w:val="clear"/>
        <w:jc w:val="center"/>
        <w:rPr>
          <w:rFonts w:hint="eastAsia" w:ascii="仿宋" w:hAnsi="仿宋" w:eastAsia="仿宋" w:cs="仿宋"/>
          <w:color w:val="000000" w:themeColor="text1"/>
          <w:sz w:val="60"/>
          <w:szCs w:val="60"/>
          <w:u w:val="none"/>
          <w14:textFill>
            <w14:solidFill>
              <w14:schemeClr w14:val="tx1"/>
            </w14:solidFill>
          </w14:textFill>
        </w:rPr>
      </w:pPr>
      <w:r>
        <w:rPr>
          <w:rFonts w:hint="eastAsia" w:ascii="仿宋" w:hAnsi="仿宋" w:eastAsia="仿宋" w:cs="仿宋"/>
          <w:color w:val="000000" w:themeColor="text1"/>
          <w:sz w:val="60"/>
          <w:szCs w:val="60"/>
          <w:u w:val="none"/>
          <w:lang w:eastAsia="zh-CN"/>
          <w14:textFill>
            <w14:solidFill>
              <w14:schemeClr w14:val="tx1"/>
            </w14:solidFill>
          </w14:textFill>
        </w:rPr>
        <w:t>2024</w:t>
      </w:r>
      <w:r>
        <w:rPr>
          <w:rFonts w:hint="eastAsia" w:ascii="仿宋" w:hAnsi="仿宋" w:eastAsia="仿宋" w:cs="仿宋"/>
          <w:color w:val="000000" w:themeColor="text1"/>
          <w:sz w:val="60"/>
          <w:szCs w:val="60"/>
          <w:u w:val="none"/>
          <w14:textFill>
            <w14:solidFill>
              <w14:schemeClr w14:val="tx1"/>
            </w14:solidFill>
          </w14:textFill>
        </w:rPr>
        <w:t>年度</w:t>
      </w:r>
    </w:p>
    <w:p w14:paraId="0B03EDF8">
      <w:pPr>
        <w:pStyle w:val="18"/>
        <w:shd w:val="clear"/>
        <w:jc w:val="center"/>
        <w:rPr>
          <w:rFonts w:hint="eastAsia" w:ascii="仿宋" w:hAnsi="仿宋" w:eastAsia="仿宋" w:cs="仿宋"/>
          <w:color w:val="000000" w:themeColor="text1"/>
          <w:sz w:val="60"/>
          <w:szCs w:val="60"/>
          <w:u w:val="none"/>
          <w14:textFill>
            <w14:solidFill>
              <w14:schemeClr w14:val="tx1"/>
            </w14:solidFill>
          </w14:textFill>
        </w:rPr>
      </w:pPr>
      <w:r>
        <w:rPr>
          <w:rFonts w:hint="eastAsia" w:ascii="仿宋" w:hAnsi="仿宋" w:eastAsia="仿宋" w:cs="仿宋"/>
          <w:color w:val="000000" w:themeColor="text1"/>
          <w:sz w:val="60"/>
          <w:szCs w:val="60"/>
          <w:u w:val="none"/>
          <w14:textFill>
            <w14:solidFill>
              <w14:schemeClr w14:val="tx1"/>
            </w14:solidFill>
          </w14:textFill>
        </w:rPr>
        <w:t>分水乡人民政府</w:t>
      </w:r>
    </w:p>
    <w:p w14:paraId="79D06A54">
      <w:pPr>
        <w:pStyle w:val="18"/>
        <w:shd w:val="clear"/>
        <w:jc w:val="center"/>
        <w:rPr>
          <w:rFonts w:hint="eastAsia" w:ascii="仿宋" w:hAnsi="仿宋" w:eastAsia="仿宋" w:cs="仿宋"/>
          <w:color w:val="000000" w:themeColor="text1"/>
          <w:sz w:val="60"/>
          <w:szCs w:val="60"/>
          <w:u w:val="none"/>
          <w14:textFill>
            <w14:solidFill>
              <w14:schemeClr w14:val="tx1"/>
            </w14:solidFill>
          </w14:textFill>
        </w:rPr>
      </w:pPr>
      <w:r>
        <w:rPr>
          <w:rFonts w:hint="eastAsia" w:ascii="仿宋" w:hAnsi="仿宋" w:eastAsia="仿宋" w:cs="仿宋"/>
          <w:color w:val="000000" w:themeColor="text1"/>
          <w:sz w:val="60"/>
          <w:szCs w:val="60"/>
          <w:u w:val="none"/>
          <w14:textFill>
            <w14:solidFill>
              <w14:schemeClr w14:val="tx1"/>
            </w14:solidFill>
          </w14:textFill>
        </w:rPr>
        <w:t>部门决算</w:t>
      </w:r>
    </w:p>
    <w:p w14:paraId="58D5CD6B">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E7DDA2D">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5869E4C8">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672BE4A">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6496B76">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2D5D12A">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22A2A9E4">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333A468">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E874CCF">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08A1A9F8">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49B3E52">
      <w:pPr>
        <w:pStyle w:val="18"/>
        <w:shd w:val="clear"/>
        <w:spacing w:line="500" w:lineRule="exact"/>
        <w:rPr>
          <w:rFonts w:hint="eastAsia" w:ascii="仿宋" w:hAnsi="仿宋" w:eastAsia="仿宋" w:cs="仿宋"/>
          <w:b/>
          <w:bCs/>
          <w:color w:val="000000" w:themeColor="text1"/>
          <w:sz w:val="32"/>
          <w:szCs w:val="32"/>
          <w:u w:val="none"/>
          <w14:textFill>
            <w14:solidFill>
              <w14:schemeClr w14:val="tx1"/>
            </w14:solidFill>
          </w14:textFill>
        </w:rPr>
      </w:pPr>
    </w:p>
    <w:p w14:paraId="30915774">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p>
    <w:p w14:paraId="51C92AA0">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jc w:val="both"/>
        <w:textAlignment w:val="auto"/>
        <w:rPr>
          <w:rFonts w:hint="eastAsia" w:ascii="仿宋" w:hAnsi="仿宋" w:eastAsia="仿宋" w:cs="仿宋"/>
          <w:b/>
          <w:bCs/>
          <w:color w:val="000000" w:themeColor="text1"/>
          <w:sz w:val="32"/>
          <w:szCs w:val="32"/>
          <w:u w:val="none"/>
          <w14:textFill>
            <w14:solidFill>
              <w14:schemeClr w14:val="tx1"/>
            </w14:solidFill>
          </w14:textFill>
        </w:rPr>
      </w:pPr>
    </w:p>
    <w:p w14:paraId="23514421">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p>
    <w:p w14:paraId="1651FEFD">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目录</w:t>
      </w:r>
    </w:p>
    <w:p w14:paraId="6F22094F">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第一部分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u w:val="none"/>
          <w14:textFill>
            <w14:solidFill>
              <w14:schemeClr w14:val="tx1"/>
            </w14:solidFill>
          </w14:textFill>
        </w:rPr>
        <w:t>单位概况</w:t>
      </w:r>
    </w:p>
    <w:p w14:paraId="43FAEB6E">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一、部门职责</w:t>
      </w:r>
    </w:p>
    <w:p w14:paraId="37B736DA">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二、机构设置</w:t>
      </w:r>
    </w:p>
    <w:p w14:paraId="129F525B">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第二部分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u w:val="none"/>
          <w14:textFill>
            <w14:solidFill>
              <w14:schemeClr w14:val="tx1"/>
            </w14:solidFill>
          </w14:textFill>
        </w:rPr>
        <w:t>部门决算表</w:t>
      </w:r>
    </w:p>
    <w:p w14:paraId="2BAD60C0">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一、收入支出决算总表</w:t>
      </w:r>
    </w:p>
    <w:p w14:paraId="36A09324">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二、收入决算表</w:t>
      </w:r>
    </w:p>
    <w:p w14:paraId="72C06E2D">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三、支出决算表</w:t>
      </w:r>
    </w:p>
    <w:p w14:paraId="50446937">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四、财政拨款收入支出决算总表</w:t>
      </w:r>
    </w:p>
    <w:p w14:paraId="0DBC0A9B">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五、一般公共预算财政拨款</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收入</w:t>
      </w:r>
      <w:r>
        <w:rPr>
          <w:rFonts w:hint="eastAsia" w:ascii="仿宋" w:hAnsi="仿宋" w:eastAsia="仿宋" w:cs="仿宋"/>
          <w:color w:val="000000" w:themeColor="text1"/>
          <w:kern w:val="0"/>
          <w:sz w:val="32"/>
          <w:szCs w:val="32"/>
          <w:u w:val="none"/>
          <w14:textFill>
            <w14:solidFill>
              <w14:schemeClr w14:val="tx1"/>
            </w14:solidFill>
          </w14:textFill>
        </w:rPr>
        <w:t>支出决算表</w:t>
      </w:r>
    </w:p>
    <w:p w14:paraId="08048213">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六、一般公共预算财政拨款基本支出决算表</w:t>
      </w:r>
    </w:p>
    <w:p w14:paraId="2EC0FEA0">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lang w:eastAsia="zh-CN"/>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七</w:t>
      </w:r>
      <w:r>
        <w:rPr>
          <w:rFonts w:hint="eastAsia" w:ascii="仿宋" w:hAnsi="仿宋" w:eastAsia="仿宋" w:cs="仿宋"/>
          <w:color w:val="000000" w:themeColor="text1"/>
          <w:kern w:val="0"/>
          <w:sz w:val="32"/>
          <w:szCs w:val="32"/>
          <w:u w:val="none"/>
          <w14:textFill>
            <w14:solidFill>
              <w14:schemeClr w14:val="tx1"/>
            </w14:solidFill>
          </w14:textFill>
        </w:rPr>
        <w:t>、政府性基金预算财政拨款收入支出决算表</w:t>
      </w:r>
    </w:p>
    <w:p w14:paraId="72E8BBDA">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八</w:t>
      </w:r>
      <w:r>
        <w:rPr>
          <w:rFonts w:hint="eastAsia" w:ascii="仿宋" w:hAnsi="仿宋" w:eastAsia="仿宋" w:cs="仿宋"/>
          <w:color w:val="000000" w:themeColor="text1"/>
          <w:kern w:val="0"/>
          <w:sz w:val="32"/>
          <w:szCs w:val="32"/>
          <w:u w:val="none"/>
          <w14:textFill>
            <w14:solidFill>
              <w14:schemeClr w14:val="tx1"/>
            </w14:solidFill>
          </w14:textFill>
        </w:rPr>
        <w:t>、国有资本经营预算财政拨款支出决算表</w:t>
      </w:r>
    </w:p>
    <w:p w14:paraId="4A9C055F">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九</w:t>
      </w:r>
      <w:r>
        <w:rPr>
          <w:rFonts w:hint="eastAsia" w:ascii="仿宋" w:hAnsi="仿宋" w:eastAsia="仿宋" w:cs="仿宋"/>
          <w:color w:val="000000" w:themeColor="text1"/>
          <w:kern w:val="0"/>
          <w:sz w:val="32"/>
          <w:szCs w:val="32"/>
          <w:u w:val="none"/>
          <w14:textFill>
            <w14:solidFill>
              <w14:schemeClr w14:val="tx1"/>
            </w14:solidFill>
          </w14:textFill>
        </w:rPr>
        <w:t>、一般公共预算财政拨款“三公”经费支出决算表</w:t>
      </w:r>
    </w:p>
    <w:p w14:paraId="42A6AE23">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第三部分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u w:val="none"/>
          <w14:textFill>
            <w14:solidFill>
              <w14:schemeClr w14:val="tx1"/>
            </w14:solidFill>
          </w14:textFill>
        </w:rPr>
        <w:t>部门决算情况说明</w:t>
      </w:r>
    </w:p>
    <w:p w14:paraId="5A47EEE5">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一、收入支出决算总体情况说明</w:t>
      </w:r>
    </w:p>
    <w:p w14:paraId="4A11935E">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二、收入决算情况说明</w:t>
      </w:r>
    </w:p>
    <w:p w14:paraId="4823C621">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三、支出决算情况说明</w:t>
      </w:r>
    </w:p>
    <w:p w14:paraId="10A0C24D">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四、财政拨款收入支出决算总体情况说明</w:t>
      </w:r>
    </w:p>
    <w:p w14:paraId="12803A40">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五、一般公共预算财政拨款支出决算情况说明</w:t>
      </w:r>
    </w:p>
    <w:p w14:paraId="352CA4F2">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六、一般公共预算财政拨款基本支出决算情况说明</w:t>
      </w:r>
    </w:p>
    <w:p w14:paraId="09BCE4B2">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七、一般公共预算财政拨款三公经费支出决算情况说明</w:t>
      </w:r>
    </w:p>
    <w:p w14:paraId="38780076">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八、政府性基金预算收入支出决算情况</w:t>
      </w:r>
    </w:p>
    <w:p w14:paraId="3BA1840C">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九、关于机关运行经费支出说明</w:t>
      </w:r>
    </w:p>
    <w:p w14:paraId="1DFE0ED4">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十、一般性支出情况</w:t>
      </w:r>
    </w:p>
    <w:p w14:paraId="0562BCB7">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十一、关于政府采购支出说明</w:t>
      </w:r>
    </w:p>
    <w:p w14:paraId="4C5011E5">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十二、关于国有资产占用情况说明</w:t>
      </w:r>
    </w:p>
    <w:p w14:paraId="7D268521">
      <w:pPr>
        <w:pStyle w:val="18"/>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十三、关于</w:t>
      </w:r>
      <w:r>
        <w:rPr>
          <w:rFonts w:hint="eastAsia" w:ascii="仿宋" w:hAnsi="仿宋" w:eastAsia="仿宋" w:cs="仿宋"/>
          <w:color w:val="000000" w:themeColor="text1"/>
          <w:kern w:val="0"/>
          <w:sz w:val="32"/>
          <w:szCs w:val="32"/>
          <w:u w:val="none"/>
          <w:lang w:eastAsia="zh-CN"/>
          <w14:textFill>
            <w14:solidFill>
              <w14:schemeClr w14:val="tx1"/>
            </w14:solidFill>
          </w14:textFill>
        </w:rPr>
        <w:t>2024</w:t>
      </w:r>
      <w:r>
        <w:rPr>
          <w:rFonts w:hint="eastAsia" w:ascii="仿宋" w:hAnsi="仿宋" w:eastAsia="仿宋" w:cs="仿宋"/>
          <w:color w:val="000000" w:themeColor="text1"/>
          <w:kern w:val="0"/>
          <w:sz w:val="32"/>
          <w:szCs w:val="32"/>
          <w:u w:val="none"/>
          <w14:textFill>
            <w14:solidFill>
              <w14:schemeClr w14:val="tx1"/>
            </w14:solidFill>
          </w14:textFill>
        </w:rPr>
        <w:t>年度预算绩效情况的说明</w:t>
      </w:r>
    </w:p>
    <w:p w14:paraId="7D9AD9D3">
      <w:pPr>
        <w:keepNext w:val="0"/>
        <w:keepLines w:val="0"/>
        <w:pageBreakBefore w:val="0"/>
        <w:widowControl w:val="0"/>
        <w:shd w:val="clear"/>
        <w:kinsoku/>
        <w:wordWrap/>
        <w:overflowPunct/>
        <w:topLinePunct w:val="0"/>
        <w:autoSpaceDE w:val="0"/>
        <w:autoSpaceDN w:val="0"/>
        <w:bidi w:val="0"/>
        <w:adjustRightInd w:val="0"/>
        <w:snapToGrid/>
        <w:spacing w:line="240" w:lineRule="atLeast"/>
        <w:jc w:val="left"/>
        <w:textAlignment w:val="auto"/>
        <w:rPr>
          <w:rFonts w:hint="eastAsia" w:ascii="仿宋" w:hAnsi="仿宋" w:eastAsia="仿宋" w:cs="仿宋"/>
          <w:b/>
          <w:bCs/>
          <w:color w:val="000000" w:themeColor="text1"/>
          <w:kern w:val="0"/>
          <w:sz w:val="32"/>
          <w:szCs w:val="32"/>
          <w:u w:val="none"/>
          <w14:textFill>
            <w14:solidFill>
              <w14:schemeClr w14:val="tx1"/>
            </w14:solidFill>
          </w14:textFill>
        </w:rPr>
      </w:pPr>
      <w:r>
        <w:rPr>
          <w:rFonts w:hint="eastAsia" w:ascii="仿宋" w:hAnsi="仿宋" w:eastAsia="仿宋" w:cs="仿宋"/>
          <w:b/>
          <w:bCs/>
          <w:color w:val="000000" w:themeColor="text1"/>
          <w:kern w:val="0"/>
          <w:sz w:val="32"/>
          <w:szCs w:val="32"/>
          <w:u w:val="none"/>
          <w14:textFill>
            <w14:solidFill>
              <w14:schemeClr w14:val="tx1"/>
            </w14:solidFill>
          </w14:textFill>
        </w:rPr>
        <w:t>第四部分</w:t>
      </w:r>
      <w:r>
        <w:rPr>
          <w:rFonts w:hint="eastAsia" w:ascii="仿宋" w:hAnsi="仿宋" w:eastAsia="仿宋" w:cs="仿宋"/>
          <w:b/>
          <w:bCs/>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kern w:val="0"/>
          <w:sz w:val="32"/>
          <w:szCs w:val="32"/>
          <w:u w:val="none"/>
          <w14:textFill>
            <w14:solidFill>
              <w14:schemeClr w14:val="tx1"/>
            </w14:solidFill>
          </w14:textFill>
        </w:rPr>
        <w:t>名词解释</w:t>
      </w:r>
    </w:p>
    <w:p w14:paraId="7F42409F">
      <w:pPr>
        <w:keepNext w:val="0"/>
        <w:keepLines w:val="0"/>
        <w:pageBreakBefore w:val="0"/>
        <w:widowControl w:val="0"/>
        <w:shd w:val="clear"/>
        <w:kinsoku/>
        <w:wordWrap/>
        <w:overflowPunct/>
        <w:topLinePunct w:val="0"/>
        <w:autoSpaceDE w:val="0"/>
        <w:autoSpaceDN w:val="0"/>
        <w:bidi w:val="0"/>
        <w:adjustRightInd w:val="0"/>
        <w:snapToGrid/>
        <w:spacing w:line="240" w:lineRule="atLeast"/>
        <w:jc w:val="left"/>
        <w:textAlignment w:val="auto"/>
        <w:rPr>
          <w:rFonts w:hint="eastAsia" w:ascii="仿宋" w:hAnsi="仿宋" w:eastAsia="仿宋" w:cs="仿宋"/>
          <w:b/>
          <w:bCs/>
          <w:color w:val="000000" w:themeColor="text1"/>
          <w:kern w:val="0"/>
          <w:sz w:val="32"/>
          <w:szCs w:val="32"/>
          <w:u w:val="none"/>
          <w14:textFill>
            <w14:solidFill>
              <w14:schemeClr w14:val="tx1"/>
            </w14:solidFill>
          </w14:textFill>
        </w:rPr>
      </w:pPr>
      <w:r>
        <w:rPr>
          <w:rFonts w:hint="eastAsia" w:ascii="仿宋" w:hAnsi="仿宋" w:eastAsia="仿宋" w:cs="仿宋"/>
          <w:b/>
          <w:bCs/>
          <w:color w:val="000000" w:themeColor="text1"/>
          <w:kern w:val="0"/>
          <w:sz w:val="32"/>
          <w:szCs w:val="32"/>
          <w:u w:val="none"/>
          <w14:textFill>
            <w14:solidFill>
              <w14:schemeClr w14:val="tx1"/>
            </w14:solidFill>
          </w14:textFill>
        </w:rPr>
        <w:t>第五部分</w:t>
      </w:r>
      <w:r>
        <w:rPr>
          <w:rFonts w:hint="eastAsia" w:ascii="仿宋" w:hAnsi="仿宋" w:eastAsia="仿宋" w:cs="仿宋"/>
          <w:b/>
          <w:bCs/>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kern w:val="0"/>
          <w:sz w:val="32"/>
          <w:szCs w:val="32"/>
          <w:u w:val="none"/>
          <w14:textFill>
            <w14:solidFill>
              <w14:schemeClr w14:val="tx1"/>
            </w14:solidFill>
          </w14:textFill>
        </w:rPr>
        <w:t>附件</w:t>
      </w:r>
    </w:p>
    <w:p w14:paraId="30893665">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4518EFD8">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22E5424F">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75D7ABD">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1C8D052">
      <w:pPr>
        <w:pStyle w:val="18"/>
        <w:shd w:val="clear"/>
        <w:jc w:val="both"/>
        <w:rPr>
          <w:rFonts w:hint="eastAsia" w:ascii="仿宋" w:hAnsi="仿宋" w:eastAsia="仿宋" w:cs="仿宋"/>
          <w:color w:val="000000" w:themeColor="text1"/>
          <w:sz w:val="32"/>
          <w:szCs w:val="32"/>
          <w:u w:val="none"/>
          <w14:textFill>
            <w14:solidFill>
              <w14:schemeClr w14:val="tx1"/>
            </w14:solidFill>
          </w14:textFill>
        </w:rPr>
      </w:pPr>
    </w:p>
    <w:p w14:paraId="37E9385A">
      <w:pPr>
        <w:pStyle w:val="18"/>
        <w:shd w:val="clear"/>
        <w:jc w:val="both"/>
        <w:rPr>
          <w:rFonts w:hint="eastAsia" w:ascii="仿宋" w:hAnsi="仿宋" w:eastAsia="仿宋" w:cs="仿宋"/>
          <w:color w:val="000000" w:themeColor="text1"/>
          <w:sz w:val="32"/>
          <w:szCs w:val="32"/>
          <w:u w:val="none"/>
          <w14:textFill>
            <w14:solidFill>
              <w14:schemeClr w14:val="tx1"/>
            </w14:solidFill>
          </w14:textFill>
        </w:rPr>
      </w:pPr>
    </w:p>
    <w:p w14:paraId="1CCB2ED5">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2ED68E88">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5F1A35C5">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0E318E90">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90635DC">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213EDBD">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29CDDCC0">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37835C5">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0EB19087">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4B95CCB7">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6D1F3381">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1D600C94">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30885171">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4D99DD32">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57682363">
      <w:pPr>
        <w:pStyle w:val="18"/>
        <w:shd w:val="clear"/>
        <w:ind w:firstLine="3534" w:firstLineChars="1100"/>
        <w:jc w:val="both"/>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第一部分</w:t>
      </w:r>
    </w:p>
    <w:p w14:paraId="0629F14E">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4D25E58C">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分水乡人民政府概况</w:t>
      </w:r>
    </w:p>
    <w:p w14:paraId="7E02C2BF">
      <w:pPr>
        <w:shd w:val="clear"/>
        <w:jc w:val="left"/>
        <w:rPr>
          <w:rFonts w:hint="eastAsia" w:ascii="仿宋" w:hAnsi="仿宋" w:eastAsia="仿宋" w:cs="仿宋"/>
          <w:color w:val="000000" w:themeColor="text1"/>
          <w:sz w:val="32"/>
          <w:szCs w:val="32"/>
          <w:u w:val="none"/>
          <w14:textFill>
            <w14:solidFill>
              <w14:schemeClr w14:val="tx1"/>
            </w14:solidFill>
          </w14:textFill>
        </w:rPr>
      </w:pPr>
    </w:p>
    <w:p w14:paraId="05EEE6BA">
      <w:pPr>
        <w:pStyle w:val="19"/>
        <w:numPr>
          <w:ilvl w:val="0"/>
          <w:numId w:val="0"/>
        </w:numPr>
        <w:shd w:val="clear"/>
        <w:ind w:leftChars="0"/>
        <w:jc w:val="left"/>
        <w:rPr>
          <w:rFonts w:hint="eastAsia" w:ascii="仿宋" w:hAnsi="仿宋" w:eastAsia="仿宋" w:cs="仿宋"/>
          <w:color w:val="000000" w:themeColor="text1"/>
          <w:sz w:val="32"/>
          <w:szCs w:val="32"/>
          <w:u w:val="none"/>
          <w14:textFill>
            <w14:solidFill>
              <w14:schemeClr w14:val="tx1"/>
            </w14:solidFill>
          </w14:textFill>
        </w:rPr>
      </w:pPr>
    </w:p>
    <w:p w14:paraId="13D31FBD">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307694E9">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7A1925C7">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329EEBAF">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18AD6509">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7992180C">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4526D1D3">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415016E3">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7640DAC8">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2A233FC6">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6DC6F0DC">
      <w:pPr>
        <w:pStyle w:val="19"/>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14:paraId="737BC0A9">
      <w:pPr>
        <w:pStyle w:val="19"/>
        <w:numPr>
          <w:ilvl w:val="0"/>
          <w:numId w:val="1"/>
        </w:numPr>
        <w:shd w:val="clear"/>
        <w:ind w:firstLineChars="0"/>
        <w:jc w:val="left"/>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部门职责</w:t>
      </w:r>
    </w:p>
    <w:p w14:paraId="162681C4">
      <w:pPr>
        <w:pStyle w:val="19"/>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制定和组织实施经济、科技和社会发展计划，制定产业结构调整方案，组织指导好各业生产，搞好商品流通，协调好本乡与外地区的经济交流与合作，抓好招商引资，人才引进项目开发，不断培育市场体系，组织经济运行，促进经济发展。</w:t>
      </w:r>
    </w:p>
    <w:p w14:paraId="271CE93B">
      <w:pPr>
        <w:pStyle w:val="19"/>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（二）制定并组织实施乡镇建设规划，部署重点工程建设，地方道路建设及公共设施，水利设施的管理，负责土地、林木、水等自然资源和生态环境的保护，做好护林防火工作。</w:t>
      </w:r>
    </w:p>
    <w:p w14:paraId="20AD11E4">
      <w:pPr>
        <w:pStyle w:val="19"/>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三）负责本行政区域内的民政、计划生育、文化教育、卫生、体育等社会公益事业的综合性工作，维护一切经济单位和个人的正当经济权益，取缔非法经济活动，调解和处理民事纠纷，打击刑事犯罪维护社会稳定。</w:t>
      </w:r>
    </w:p>
    <w:p w14:paraId="49965679">
      <w:pPr>
        <w:pStyle w:val="19"/>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（四）按计划组织本级财政收入和地方税的征收，完成国家财政计划，不断培植税源，管好财政资金，增强财政实力。</w:t>
      </w:r>
    </w:p>
    <w:p w14:paraId="34EB57AC">
      <w:pPr>
        <w:pStyle w:val="19"/>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（五）抓好精神文明建设，丰富群众文化生活，提倡移风易俗，反对封建迷信，破除陈规陋习，树立社会主义新风尚。</w:t>
      </w:r>
    </w:p>
    <w:p w14:paraId="4BBBB236">
      <w:pPr>
        <w:pStyle w:val="19"/>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p>
    <w:p w14:paraId="02F0177A">
      <w:pPr>
        <w:widowControl/>
        <w:shd w:val="clear"/>
        <w:spacing w:line="600" w:lineRule="exac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二、机构设置及决算单位构成</w:t>
      </w:r>
    </w:p>
    <w:p w14:paraId="58815A0C">
      <w:pPr>
        <w:widowControl/>
        <w:shd w:val="clear"/>
        <w:spacing w:line="600" w:lineRule="exac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内设机构设置。分水乡人民政府单位内设机构包括：党政综合办公室、财政所、经济发展办公室（扶贫工作办公室）、社会事务办公室（卫生健康办公室）、自然资源和生态环境办公室（村镇建设管理办公室）、社会治安和应急管理办公室、社会事务综合服务中心（文化综合服务站）、农业综合服务中心、政务（便民）服务中心、退役军人服务站、综合行政执法大队11个。</w:t>
      </w:r>
    </w:p>
    <w:p w14:paraId="140027FF">
      <w:pPr>
        <w:widowControl/>
        <w:shd w:val="clear"/>
        <w:spacing w:line="600" w:lineRule="exac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（二）决算单位构成。分水乡人民政府</w:t>
      </w:r>
      <w:r>
        <w:rPr>
          <w:rFonts w:hint="eastAsia" w:ascii="仿宋" w:hAnsi="仿宋" w:eastAsia="仿宋" w:cs="仿宋"/>
          <w:color w:val="000000" w:themeColor="text1"/>
          <w:kern w:val="0"/>
          <w:sz w:val="32"/>
          <w:szCs w:val="32"/>
          <w:u w:val="none"/>
          <w:lang w:eastAsia="zh-CN"/>
          <w14:textFill>
            <w14:solidFill>
              <w14:schemeClr w14:val="tx1"/>
            </w14:solidFill>
          </w14:textFill>
        </w:rPr>
        <w:t>2024</w:t>
      </w:r>
      <w:r>
        <w:rPr>
          <w:rFonts w:hint="eastAsia" w:ascii="仿宋" w:hAnsi="仿宋" w:eastAsia="仿宋" w:cs="仿宋"/>
          <w:color w:val="000000" w:themeColor="text1"/>
          <w:kern w:val="0"/>
          <w:sz w:val="32"/>
          <w:szCs w:val="32"/>
          <w:u w:val="none"/>
          <w14:textFill>
            <w14:solidFill>
              <w14:schemeClr w14:val="tx1"/>
            </w14:solidFill>
          </w14:textFill>
        </w:rPr>
        <w:t>年部门决算汇总公开单位构成包括：分水乡人民政府部门本级</w:t>
      </w:r>
      <w:r>
        <w:rPr>
          <w:rFonts w:hint="eastAsia" w:ascii="仿宋" w:hAnsi="仿宋" w:eastAsia="仿宋" w:cs="仿宋"/>
          <w:color w:val="000000" w:themeColor="text1"/>
          <w:kern w:val="0"/>
          <w:sz w:val="32"/>
          <w:szCs w:val="32"/>
          <w:u w:val="none"/>
          <w:lang w:eastAsia="zh-CN"/>
          <w14:textFill>
            <w14:solidFill>
              <w14:schemeClr w14:val="tx1"/>
            </w14:solidFill>
          </w14:textFill>
        </w:rPr>
        <w:t>。</w:t>
      </w:r>
    </w:p>
    <w:p w14:paraId="2E61AA80">
      <w:pPr>
        <w:shd w:val="clear"/>
        <w:jc w:val="left"/>
        <w:rPr>
          <w:rFonts w:hint="eastAsia" w:ascii="仿宋" w:hAnsi="仿宋" w:eastAsia="仿宋" w:cs="仿宋"/>
          <w:color w:val="000000" w:themeColor="text1"/>
          <w:sz w:val="32"/>
          <w:szCs w:val="32"/>
          <w:u w:val="none"/>
          <w14:textFill>
            <w14:solidFill>
              <w14:schemeClr w14:val="tx1"/>
            </w14:solidFill>
          </w14:textFill>
        </w:rPr>
      </w:pPr>
    </w:p>
    <w:p w14:paraId="53DD20CF">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5880A007">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C23AF0D">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09CB32DA">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146FE4D4">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3372ECC2">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34060396">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7E154C84">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72F5C7ED">
      <w:pPr>
        <w:shd w:val="clear"/>
        <w:jc w:val="center"/>
        <w:rPr>
          <w:rFonts w:hint="eastAsia" w:ascii="仿宋" w:hAnsi="仿宋" w:eastAsia="仿宋" w:cs="仿宋"/>
          <w:color w:val="000000" w:themeColor="text1"/>
          <w:sz w:val="32"/>
          <w:szCs w:val="32"/>
          <w:u w:val="none"/>
          <w14:textFill>
            <w14:solidFill>
              <w14:schemeClr w14:val="tx1"/>
            </w14:solidFill>
          </w14:textFill>
        </w:rPr>
      </w:pPr>
    </w:p>
    <w:p w14:paraId="5DF1BCD3">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160CFDD9">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69F7AEE3">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5E45F480">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1C9ED08A">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7273AC4C">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7FA18842">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第二部分</w:t>
      </w:r>
    </w:p>
    <w:p w14:paraId="5F69AD70">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573992D9">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6B2B7D2F">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1F154F4E">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 w:linePitch="312" w:charSpace="0"/>
        </w:sectPr>
      </w:pPr>
      <w:r>
        <w:rPr>
          <w:rFonts w:hint="eastAsia" w:ascii="仿宋" w:hAnsi="仿宋" w:eastAsia="仿宋" w:cs="仿宋"/>
          <w:b/>
          <w:bCs/>
          <w:color w:val="000000" w:themeColor="text1"/>
          <w:sz w:val="32"/>
          <w:szCs w:val="32"/>
          <w:u w:val="none"/>
          <w14:textFill>
            <w14:solidFill>
              <w14:schemeClr w14:val="tx1"/>
            </w14:solidFill>
          </w14:textFill>
        </w:rPr>
        <w:t>部门决算表</w:t>
      </w:r>
    </w:p>
    <w:tbl>
      <w:tblPr>
        <w:tblStyle w:val="12"/>
        <w:tblpPr w:leftFromText="180" w:rightFromText="180" w:vertAnchor="text" w:horzAnchor="page" w:tblpX="1150" w:tblpY="86"/>
        <w:tblOverlap w:val="never"/>
        <w:tblW w:w="150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6"/>
        <w:gridCol w:w="656"/>
        <w:gridCol w:w="3117"/>
        <w:gridCol w:w="2045"/>
        <w:gridCol w:w="656"/>
        <w:gridCol w:w="4431"/>
      </w:tblGrid>
      <w:tr w14:paraId="35BE4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5081" w:type="dxa"/>
            <w:gridSpan w:val="6"/>
            <w:tcBorders>
              <w:top w:val="nil"/>
              <w:left w:val="nil"/>
              <w:bottom w:val="nil"/>
              <w:right w:val="nil"/>
            </w:tcBorders>
            <w:shd w:val="clear" w:color="auto" w:fill="auto"/>
            <w:noWrap/>
            <w:vAlign w:val="bottom"/>
          </w:tcPr>
          <w:p w14:paraId="333ADBA1">
            <w:pPr>
              <w:keepNext w:val="0"/>
              <w:keepLines w:val="0"/>
              <w:widowControl/>
              <w:suppressLineNumbers w:val="0"/>
              <w:shd w:val="clear"/>
              <w:jc w:val="center"/>
              <w:textAlignment w:val="bottom"/>
              <w:rPr>
                <w:rFonts w:ascii="黑体" w:hAnsi="宋体" w:eastAsia="黑体" w:cs="黑体"/>
                <w:i w:val="0"/>
                <w:iCs w:val="0"/>
                <w:color w:val="000000" w:themeColor="text1"/>
                <w:sz w:val="30"/>
                <w:szCs w:val="30"/>
                <w:u w:val="none"/>
                <w:shd w:val="clear" w:color="auto" w:fill="auto"/>
                <w14:textFill>
                  <w14:solidFill>
                    <w14:schemeClr w14:val="tx1"/>
                  </w14:solidFill>
                </w14:textFill>
              </w:rPr>
            </w:pPr>
            <w:r>
              <w:rPr>
                <w:rFonts w:hint="eastAsia" w:ascii="黑体" w:hAnsi="宋体" w:eastAsia="黑体" w:cs="黑体"/>
                <w:i w:val="0"/>
                <w:iCs w:val="0"/>
                <w:color w:val="000000" w:themeColor="text1"/>
                <w:kern w:val="0"/>
                <w:sz w:val="30"/>
                <w:szCs w:val="30"/>
                <w:u w:val="none"/>
                <w:shd w:val="clear" w:color="auto" w:fill="auto"/>
                <w:lang w:val="en-US" w:eastAsia="zh-CN" w:bidi="ar"/>
                <w14:textFill>
                  <w14:solidFill>
                    <w14:schemeClr w14:val="tx1"/>
                  </w14:solidFill>
                </w14:textFill>
              </w:rPr>
              <w:t>部门收支决算总表</w:t>
            </w:r>
          </w:p>
        </w:tc>
      </w:tr>
      <w:tr w14:paraId="0F7D0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4176" w:type="dxa"/>
            <w:tcBorders>
              <w:top w:val="nil"/>
              <w:left w:val="nil"/>
              <w:bottom w:val="nil"/>
              <w:right w:val="nil"/>
            </w:tcBorders>
            <w:shd w:val="clear" w:color="auto" w:fill="auto"/>
            <w:noWrap/>
            <w:vAlign w:val="center"/>
          </w:tcPr>
          <w:p w14:paraId="5245AE47">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nil"/>
              <w:left w:val="nil"/>
              <w:bottom w:val="nil"/>
              <w:right w:val="nil"/>
            </w:tcBorders>
            <w:shd w:val="clear" w:color="auto" w:fill="auto"/>
            <w:noWrap/>
            <w:vAlign w:val="center"/>
          </w:tcPr>
          <w:p w14:paraId="1D34F9D8">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3117" w:type="dxa"/>
            <w:tcBorders>
              <w:top w:val="nil"/>
              <w:left w:val="nil"/>
              <w:bottom w:val="nil"/>
              <w:right w:val="nil"/>
            </w:tcBorders>
            <w:shd w:val="clear" w:color="auto" w:fill="auto"/>
            <w:noWrap/>
            <w:vAlign w:val="center"/>
          </w:tcPr>
          <w:p w14:paraId="5B65C599">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nil"/>
              <w:left w:val="nil"/>
              <w:bottom w:val="nil"/>
              <w:right w:val="nil"/>
            </w:tcBorders>
            <w:shd w:val="clear" w:color="auto" w:fill="auto"/>
            <w:noWrap/>
            <w:vAlign w:val="center"/>
          </w:tcPr>
          <w:p w14:paraId="3365D603">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nil"/>
              <w:left w:val="nil"/>
              <w:bottom w:val="nil"/>
              <w:right w:val="nil"/>
            </w:tcBorders>
            <w:shd w:val="clear" w:color="auto" w:fill="auto"/>
            <w:noWrap/>
            <w:vAlign w:val="center"/>
          </w:tcPr>
          <w:p w14:paraId="6383CDC3">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4431" w:type="dxa"/>
            <w:tcBorders>
              <w:top w:val="nil"/>
              <w:left w:val="nil"/>
              <w:bottom w:val="nil"/>
              <w:right w:val="nil"/>
            </w:tcBorders>
            <w:shd w:val="clear" w:color="auto" w:fill="auto"/>
            <w:noWrap/>
            <w:vAlign w:val="center"/>
          </w:tcPr>
          <w:p w14:paraId="05531A3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公开 01表</w:t>
            </w:r>
          </w:p>
        </w:tc>
      </w:tr>
      <w:tr w14:paraId="45A04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6" w:type="dxa"/>
            <w:tcBorders>
              <w:top w:val="nil"/>
              <w:left w:val="nil"/>
              <w:bottom w:val="nil"/>
              <w:right w:val="nil"/>
            </w:tcBorders>
            <w:shd w:val="clear" w:color="auto" w:fill="auto"/>
            <w:noWrap/>
            <w:vAlign w:val="bottom"/>
          </w:tcPr>
          <w:p w14:paraId="080621A9">
            <w:pPr>
              <w:keepNext w:val="0"/>
              <w:keepLines w:val="0"/>
              <w:widowControl/>
              <w:suppressLineNumbers w:val="0"/>
              <w:shd w:val="clear"/>
              <w:jc w:val="left"/>
              <w:textAlignment w:val="bottom"/>
              <w:rPr>
                <w:rFonts w:hint="eastAsia" w:ascii="宋体" w:hAnsi="宋体" w:eastAsia="宋体" w:cs="宋体"/>
                <w:i w:val="0"/>
                <w:iCs w:val="0"/>
                <w:color w:val="000000" w:themeColor="text1"/>
                <w:sz w:val="18"/>
                <w:szCs w:val="18"/>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8"/>
                <w:szCs w:val="28"/>
                <w:u w:val="none"/>
                <w:shd w:val="clear" w:color="auto" w:fill="auto"/>
                <w:lang w:val="en-US" w:eastAsia="zh-CN" w:bidi="ar"/>
                <w14:textFill>
                  <w14:solidFill>
                    <w14:schemeClr w14:val="tx1"/>
                  </w14:solidFill>
                </w14:textFill>
              </w:rPr>
              <w:t>部门：湘潭县分水乡人民政府</w:t>
            </w:r>
          </w:p>
        </w:tc>
        <w:tc>
          <w:tcPr>
            <w:tcW w:w="656" w:type="dxa"/>
            <w:tcBorders>
              <w:top w:val="nil"/>
              <w:left w:val="nil"/>
              <w:bottom w:val="nil"/>
              <w:right w:val="nil"/>
            </w:tcBorders>
            <w:shd w:val="clear" w:color="auto" w:fill="auto"/>
            <w:noWrap/>
            <w:vAlign w:val="center"/>
          </w:tcPr>
          <w:p w14:paraId="7EFAB384">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3117" w:type="dxa"/>
            <w:tcBorders>
              <w:top w:val="nil"/>
              <w:left w:val="nil"/>
              <w:bottom w:val="nil"/>
              <w:right w:val="nil"/>
            </w:tcBorders>
            <w:shd w:val="clear" w:color="auto" w:fill="auto"/>
            <w:noWrap/>
            <w:vAlign w:val="center"/>
          </w:tcPr>
          <w:p w14:paraId="51BD489E">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nil"/>
              <w:left w:val="nil"/>
              <w:bottom w:val="nil"/>
              <w:right w:val="nil"/>
            </w:tcBorders>
            <w:shd w:val="clear" w:color="auto" w:fill="auto"/>
            <w:noWrap/>
            <w:vAlign w:val="center"/>
          </w:tcPr>
          <w:p w14:paraId="4CECC799">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nil"/>
              <w:left w:val="nil"/>
              <w:bottom w:val="nil"/>
              <w:right w:val="nil"/>
            </w:tcBorders>
            <w:shd w:val="clear" w:color="auto" w:fill="auto"/>
            <w:noWrap/>
            <w:vAlign w:val="bottom"/>
          </w:tcPr>
          <w:p w14:paraId="462636B8">
            <w:pPr>
              <w:shd w:val="clear"/>
              <w:rPr>
                <w:rFonts w:hint="eastAsia" w:ascii="宋体" w:hAnsi="宋体" w:eastAsia="宋体" w:cs="宋体"/>
                <w:i w:val="0"/>
                <w:iCs w:val="0"/>
                <w:color w:val="000000" w:themeColor="text1"/>
                <w:sz w:val="18"/>
                <w:szCs w:val="18"/>
                <w:u w:val="none"/>
                <w:shd w:val="clear" w:color="auto" w:fill="auto"/>
                <w14:textFill>
                  <w14:solidFill>
                    <w14:schemeClr w14:val="tx1"/>
                  </w14:solidFill>
                </w14:textFill>
              </w:rPr>
            </w:pPr>
          </w:p>
        </w:tc>
        <w:tc>
          <w:tcPr>
            <w:tcW w:w="4431" w:type="dxa"/>
            <w:tcBorders>
              <w:top w:val="nil"/>
              <w:left w:val="nil"/>
              <w:bottom w:val="nil"/>
              <w:right w:val="nil"/>
            </w:tcBorders>
            <w:shd w:val="clear" w:color="auto" w:fill="auto"/>
            <w:noWrap/>
            <w:vAlign w:val="center"/>
          </w:tcPr>
          <w:p w14:paraId="6F87882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单位：万元</w:t>
            </w:r>
          </w:p>
        </w:tc>
      </w:tr>
      <w:tr w14:paraId="44608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94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C71AB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收入</w:t>
            </w: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200439B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支出</w:t>
            </w:r>
          </w:p>
        </w:tc>
      </w:tr>
      <w:tr w14:paraId="7F3D9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6527CF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项目</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7C1F19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行次</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B499B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决算数</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E42DF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项目(按功能分类)</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0272ED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行次</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5DA52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决算数</w:t>
            </w:r>
          </w:p>
        </w:tc>
      </w:tr>
      <w:tr w14:paraId="1C6FC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D66AA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栏次</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86F1F1">
            <w:pPr>
              <w:shd w:val="clear"/>
              <w:jc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A94493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32849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栏次</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C285543">
            <w:pPr>
              <w:shd w:val="clear"/>
              <w:jc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068B2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w:t>
            </w:r>
          </w:p>
        </w:tc>
      </w:tr>
      <w:tr w14:paraId="1517B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019FF8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一、一般公共预算财政拨款收入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82DAE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4902FF8">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2322</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.23</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CD8A88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一、一般公共服务支出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0EEF9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32</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89187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1980</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09</w:t>
            </w:r>
          </w:p>
        </w:tc>
      </w:tr>
      <w:tr w14:paraId="4109D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1C986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二、政府性基金预算财政拨款收入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5A3B69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D2048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30</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5C071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二、外交支出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00F35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33</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DD9F73">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19544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F10C49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三、国有资本经营预算财政拨款收入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3DFD2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BF6BBB">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0984B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三、国防支出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49149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34</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36FFE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w:t>
            </w:r>
          </w:p>
        </w:tc>
      </w:tr>
      <w:tr w14:paraId="37DDD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7BE42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四、上级补助收入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CEB167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18604D5">
            <w:pPr>
              <w:shd w:val="clear"/>
              <w:jc w:val="right"/>
              <w:rPr>
                <w:rFonts w:hint="eastAsia" w:ascii="宋体" w:hAnsi="宋体" w:eastAsia="宋体" w:cs="宋体"/>
                <w:i w:val="0"/>
                <w:iCs w:val="0"/>
                <w:color w:val="000000" w:themeColor="text1"/>
                <w:sz w:val="22"/>
                <w:szCs w:val="22"/>
                <w:u w:val="none"/>
                <w:shd w:val="clear" w:color="auto" w:fill="auto"/>
                <w:lang w:eastAsia="zh-CN"/>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F60F2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四、公共安全支出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EEEF3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35</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7EED27">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7881B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67FD8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五、事业收入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B498A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F13F86">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4750E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五、教育支出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CBC2D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36</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6E0C0C6">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0D765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194DD7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六、经营收入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0F2AA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84D5194">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BBA8B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六、科学技术支出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882BF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37</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52EE33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0.00</w:t>
            </w:r>
          </w:p>
        </w:tc>
      </w:tr>
      <w:tr w14:paraId="46F50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97843D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七、附属单位上缴收入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326A62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7</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C9158F">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DACD9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七、文化旅游体育与传媒支出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FD88E8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38</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F3509E">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6FD8E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C774CC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八、其他收入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43A562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8</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3915811">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691</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.38</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C636E0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八、社会保障和就业支出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4E9E6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39</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B33FB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140</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75</w:t>
            </w:r>
          </w:p>
        </w:tc>
      </w:tr>
      <w:tr w14:paraId="5F8AD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0419CE">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9AAC64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9</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71374A4">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9EB83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九、卫生健康支出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03DF4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40</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7D888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60</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8</w:t>
            </w:r>
          </w:p>
        </w:tc>
      </w:tr>
      <w:tr w14:paraId="488E3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3CCED5">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5D64F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10</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8FA574">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9CEDE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十、节能环保支出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8E992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41</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F3F6F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8.00</w:t>
            </w:r>
          </w:p>
        </w:tc>
      </w:tr>
      <w:tr w14:paraId="40225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063CF85">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20835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11</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DD157B">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E7DAD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十一、城乡社区支出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17709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42</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F90909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44</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18</w:t>
            </w:r>
          </w:p>
        </w:tc>
      </w:tr>
      <w:tr w14:paraId="4AD21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C7235F">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59E5F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12</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CB22F31">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2BB42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十二、农林水支出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895401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43</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2D9EA7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663</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w:t>
            </w:r>
          </w:p>
        </w:tc>
      </w:tr>
      <w:tr w14:paraId="4E217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C7B3D7">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E3E52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13</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48AF7D">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F27FC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十三、交通运输支出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EB516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44</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29234C">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0A61A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841F8B1">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2BF9D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14</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AEA161B">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FB9A2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十四、资源勘探工业信息等支出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A8985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45</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C57BC2">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6A6F3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65FC62D">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C5D88C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15</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8204CB">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E7B01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十五、商业服务业等支出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42291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46</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A5FD5D">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3E33A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A88FA89">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9A209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16</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A9F52E">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CEE45E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十六、金融支出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6D14E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47</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06A49A">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59A94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7914A5">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088C1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17</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105FA2">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D555C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十七、援助其他地区支出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845A9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48</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1E6DA7">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1272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FFD8B6">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B9A6E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18</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80DBD7">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6F494A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十八、自然资源海洋气象等支出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6E76B0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49</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CCDA04">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3C219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5B77AC">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83880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19</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675E692">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107E9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十九、住房保障支出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E6C90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50</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FF6A7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95</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46</w:t>
            </w:r>
          </w:p>
        </w:tc>
      </w:tr>
      <w:tr w14:paraId="597F6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576B1FB">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7003E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20</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8C720A3">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A4F12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二十、粮油物资储备支出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A7BC73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51</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D29879">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71091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6D64E3">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73109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21</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7678B5C">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2703D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二十一、国有资本经营预算支出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015EA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52</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1DF7FE">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389E1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7F6CEBB">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05139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22</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687C9E">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5EC78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二十二、灾害防治及应急管理支出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E634E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53</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F9ECB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20</w:t>
            </w:r>
          </w:p>
        </w:tc>
      </w:tr>
      <w:tr w14:paraId="6B19B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9F53EC">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0A1E8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23</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4307AB">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F1E63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二十三、其他支出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3DDF9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54</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86DC6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1</w:t>
            </w:r>
          </w:p>
        </w:tc>
      </w:tr>
      <w:tr w14:paraId="2535D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46943E">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D7B8D2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24</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CA1500">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0E4E1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二十四、债务还本支出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98A46D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55</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5CEF42">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39B5B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6790DF7">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2C6B6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25</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CF734E">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BB218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二十五、债务付息支出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E69D4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56</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C7A352">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6F4CC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5B12A6">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1E4A2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26</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FE3571">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D0F03B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二十六、抗疫特别国债安排的支出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AAF54B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57</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01D2BE">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5D74A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FEB4AD">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本年收入合计</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510E2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27</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C83E6A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3082</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9</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1</w:t>
            </w: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FC89F3">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本年支出合计</w:t>
            </w:r>
          </w:p>
        </w:tc>
      </w:tr>
      <w:tr w14:paraId="72917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70E3B0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使用非财政拨款结余（含专用结余）</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350067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28</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49184B">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185987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结余分配</w:t>
            </w:r>
          </w:p>
        </w:tc>
      </w:tr>
      <w:tr w14:paraId="0A5CD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9B50A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年初结转和结余</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40D7F7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29</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A6C56C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0.00</w:t>
            </w: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A9832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年末结转和结余</w:t>
            </w:r>
          </w:p>
        </w:tc>
      </w:tr>
      <w:tr w14:paraId="3E5EB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D828FF">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EFCAC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30</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82EDEB">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A245024">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14:paraId="722F9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1A15E486">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总计</w:t>
            </w:r>
          </w:p>
        </w:tc>
        <w:tc>
          <w:tcPr>
            <w:tcW w:w="656"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2B1BD9A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31</w:t>
            </w:r>
          </w:p>
        </w:tc>
        <w:tc>
          <w:tcPr>
            <w:tcW w:w="3117"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5EE19E7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3082</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9</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1</w:t>
            </w:r>
          </w:p>
        </w:tc>
        <w:tc>
          <w:tcPr>
            <w:tcW w:w="7132" w:type="dxa"/>
            <w:gridSpan w:val="3"/>
            <w:tcBorders>
              <w:top w:val="single" w:color="D4D4D4" w:sz="4" w:space="0"/>
              <w:left w:val="single" w:color="D4D4D4" w:sz="4" w:space="0"/>
              <w:bottom w:val="single" w:color="D4D4D4" w:sz="12" w:space="0"/>
              <w:right w:val="single" w:color="D4D4D4" w:sz="4" w:space="0"/>
            </w:tcBorders>
            <w:shd w:val="clear" w:color="auto" w:fill="auto"/>
            <w:noWrap/>
            <w:vAlign w:val="center"/>
          </w:tcPr>
          <w:p w14:paraId="7162F325">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总计</w:t>
            </w:r>
          </w:p>
        </w:tc>
      </w:tr>
      <w:tr w14:paraId="0A7CC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8" w:hRule="atLeast"/>
        </w:trPr>
        <w:tc>
          <w:tcPr>
            <w:tcW w:w="7949" w:type="dxa"/>
            <w:gridSpan w:val="3"/>
            <w:tcBorders>
              <w:top w:val="single" w:color="D4D4D4" w:sz="12" w:space="0"/>
              <w:left w:val="nil"/>
              <w:bottom w:val="nil"/>
              <w:right w:val="nil"/>
            </w:tcBorders>
            <w:shd w:val="clear" w:color="auto" w:fill="FFFFFF"/>
            <w:noWrap/>
            <w:vAlign w:val="center"/>
          </w:tcPr>
          <w:p w14:paraId="650BBD3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8"/>
                <w:szCs w:val="28"/>
                <w:u w:val="none"/>
                <w:shd w:val="clear" w:color="auto" w:fill="auto"/>
                <w:lang w:val="en-US" w:eastAsia="zh-CN" w:bidi="ar"/>
                <w14:textFill>
                  <w14:solidFill>
                    <w14:schemeClr w14:val="tx1"/>
                  </w14:solidFill>
                </w14:textFill>
              </w:rPr>
              <w:t>注：本表反映部门本年度的总收支和年末结转结余情况。</w:t>
            </w:r>
          </w:p>
        </w:tc>
        <w:tc>
          <w:tcPr>
            <w:tcW w:w="2045" w:type="dxa"/>
            <w:tcBorders>
              <w:top w:val="single" w:color="D4D4D4" w:sz="12" w:space="0"/>
              <w:left w:val="nil"/>
              <w:bottom w:val="nil"/>
              <w:right w:val="nil"/>
            </w:tcBorders>
            <w:shd w:val="clear" w:color="auto" w:fill="FFFFFF"/>
            <w:noWrap/>
            <w:vAlign w:val="center"/>
          </w:tcPr>
          <w:p w14:paraId="6537D43C">
            <w:pPr>
              <w:shd w:val="clear"/>
              <w:jc w:val="left"/>
              <w:rPr>
                <w:rFonts w:hint="eastAsia" w:ascii="宋体" w:hAnsi="宋体" w:eastAsia="宋体" w:cs="宋体"/>
                <w:i w:val="0"/>
                <w:iCs w:val="0"/>
                <w:color w:val="000000" w:themeColor="text1"/>
                <w:sz w:val="20"/>
                <w:szCs w:val="20"/>
                <w:u w:val="none"/>
                <w:shd w:val="clear" w:color="auto" w:fill="auto"/>
                <w14:textFill>
                  <w14:solidFill>
                    <w14:schemeClr w14:val="tx1"/>
                  </w14:solidFill>
                </w14:textFill>
              </w:rPr>
            </w:pPr>
          </w:p>
        </w:tc>
        <w:tc>
          <w:tcPr>
            <w:tcW w:w="656" w:type="dxa"/>
            <w:tcBorders>
              <w:top w:val="single" w:color="D4D4D4" w:sz="12" w:space="0"/>
              <w:left w:val="nil"/>
              <w:bottom w:val="nil"/>
              <w:right w:val="nil"/>
            </w:tcBorders>
            <w:shd w:val="clear" w:color="auto" w:fill="FFFFFF"/>
            <w:noWrap/>
            <w:vAlign w:val="center"/>
          </w:tcPr>
          <w:p w14:paraId="190ED3FD">
            <w:pPr>
              <w:shd w:val="clear"/>
              <w:jc w:val="left"/>
              <w:rPr>
                <w:rFonts w:hint="eastAsia" w:ascii="宋体" w:hAnsi="宋体" w:eastAsia="宋体" w:cs="宋体"/>
                <w:i w:val="0"/>
                <w:iCs w:val="0"/>
                <w:color w:val="000000" w:themeColor="text1"/>
                <w:sz w:val="20"/>
                <w:szCs w:val="20"/>
                <w:u w:val="none"/>
                <w:shd w:val="clear" w:color="auto" w:fill="auto"/>
                <w14:textFill>
                  <w14:solidFill>
                    <w14:schemeClr w14:val="tx1"/>
                  </w14:solidFill>
                </w14:textFill>
              </w:rPr>
            </w:pPr>
          </w:p>
        </w:tc>
        <w:tc>
          <w:tcPr>
            <w:tcW w:w="4431" w:type="dxa"/>
            <w:tcBorders>
              <w:top w:val="single" w:color="D4D4D4" w:sz="12" w:space="0"/>
              <w:left w:val="nil"/>
              <w:bottom w:val="nil"/>
              <w:right w:val="nil"/>
            </w:tcBorders>
            <w:shd w:val="clear" w:color="auto" w:fill="FFFFFF"/>
            <w:noWrap/>
            <w:vAlign w:val="center"/>
          </w:tcPr>
          <w:p w14:paraId="74E70DBD">
            <w:pPr>
              <w:shd w:val="clear"/>
              <w:jc w:val="left"/>
              <w:rPr>
                <w:rFonts w:hint="eastAsia" w:ascii="宋体" w:hAnsi="宋体" w:eastAsia="宋体" w:cs="宋体"/>
                <w:i w:val="0"/>
                <w:iCs w:val="0"/>
                <w:color w:val="000000" w:themeColor="text1"/>
                <w:sz w:val="20"/>
                <w:szCs w:val="20"/>
                <w:u w:val="none"/>
                <w:shd w:val="clear" w:color="auto" w:fill="auto"/>
                <w14:textFill>
                  <w14:solidFill>
                    <w14:schemeClr w14:val="tx1"/>
                  </w14:solidFill>
                </w14:textFill>
              </w:rPr>
            </w:pPr>
          </w:p>
        </w:tc>
      </w:tr>
    </w:tbl>
    <w:tbl>
      <w:tblPr>
        <w:tblStyle w:val="12"/>
        <w:tblW w:w="14796"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9"/>
        <w:gridCol w:w="960"/>
        <w:gridCol w:w="930"/>
        <w:gridCol w:w="4357"/>
        <w:gridCol w:w="2456"/>
        <w:gridCol w:w="1004"/>
        <w:gridCol w:w="458"/>
        <w:gridCol w:w="507"/>
        <w:gridCol w:w="499"/>
        <w:gridCol w:w="690"/>
        <w:gridCol w:w="1736"/>
      </w:tblGrid>
      <w:tr w14:paraId="7C94D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4796" w:type="dxa"/>
            <w:gridSpan w:val="11"/>
            <w:tcBorders>
              <w:top w:val="nil"/>
              <w:left w:val="nil"/>
              <w:bottom w:val="nil"/>
              <w:right w:val="nil"/>
            </w:tcBorders>
            <w:shd w:val="clear" w:color="auto" w:fill="auto"/>
            <w:noWrap/>
            <w:vAlign w:val="bottom"/>
          </w:tcPr>
          <w:p w14:paraId="7A69C525">
            <w:pPr>
              <w:keepNext w:val="0"/>
              <w:keepLines w:val="0"/>
              <w:widowControl/>
              <w:suppressLineNumbers w:val="0"/>
              <w:shd w:val="clear"/>
              <w:jc w:val="center"/>
              <w:textAlignment w:val="bottom"/>
              <w:rPr>
                <w:rFonts w:ascii="黑体" w:hAnsi="宋体" w:eastAsia="黑体" w:cs="黑体"/>
                <w:i w:val="0"/>
                <w:iCs w:val="0"/>
                <w:color w:val="000000" w:themeColor="text1"/>
                <w:sz w:val="30"/>
                <w:szCs w:val="30"/>
                <w:u w:val="none"/>
                <w14:textFill>
                  <w14:solidFill>
                    <w14:schemeClr w14:val="tx1"/>
                  </w14:solidFill>
                </w14:textFill>
              </w:rPr>
            </w:pPr>
            <w:r>
              <w:rPr>
                <w:rFonts w:hint="eastAsia" w:ascii="黑体" w:hAnsi="宋体" w:eastAsia="黑体" w:cs="黑体"/>
                <w:i w:val="0"/>
                <w:iCs w:val="0"/>
                <w:color w:val="000000" w:themeColor="text1"/>
                <w:kern w:val="0"/>
                <w:sz w:val="30"/>
                <w:szCs w:val="30"/>
                <w:u w:val="none"/>
                <w:lang w:val="en-US" w:eastAsia="zh-CN" w:bidi="ar"/>
                <w14:textFill>
                  <w14:solidFill>
                    <w14:schemeClr w14:val="tx1"/>
                  </w14:solidFill>
                </w14:textFill>
              </w:rPr>
              <w:t>部门收入决算表</w:t>
            </w:r>
          </w:p>
        </w:tc>
      </w:tr>
      <w:tr w14:paraId="67C75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99" w:type="dxa"/>
            <w:tcBorders>
              <w:top w:val="nil"/>
              <w:left w:val="nil"/>
              <w:bottom w:val="nil"/>
              <w:right w:val="nil"/>
            </w:tcBorders>
            <w:shd w:val="clear" w:color="auto" w:fill="auto"/>
            <w:noWrap/>
            <w:vAlign w:val="center"/>
          </w:tcPr>
          <w:p w14:paraId="62133678">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960" w:type="dxa"/>
            <w:tcBorders>
              <w:top w:val="nil"/>
              <w:left w:val="nil"/>
              <w:bottom w:val="nil"/>
              <w:right w:val="nil"/>
            </w:tcBorders>
            <w:shd w:val="clear" w:color="auto" w:fill="auto"/>
            <w:noWrap/>
            <w:vAlign w:val="center"/>
          </w:tcPr>
          <w:p w14:paraId="07160795">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930" w:type="dxa"/>
            <w:tcBorders>
              <w:top w:val="nil"/>
              <w:left w:val="nil"/>
              <w:bottom w:val="nil"/>
              <w:right w:val="nil"/>
            </w:tcBorders>
            <w:shd w:val="clear" w:color="auto" w:fill="auto"/>
            <w:noWrap/>
            <w:vAlign w:val="center"/>
          </w:tcPr>
          <w:p w14:paraId="77483D03">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57" w:type="dxa"/>
            <w:tcBorders>
              <w:top w:val="nil"/>
              <w:left w:val="nil"/>
              <w:bottom w:val="nil"/>
              <w:right w:val="nil"/>
            </w:tcBorders>
            <w:shd w:val="clear" w:color="auto" w:fill="auto"/>
            <w:noWrap/>
            <w:vAlign w:val="center"/>
          </w:tcPr>
          <w:p w14:paraId="2AE9623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56" w:type="dxa"/>
            <w:tcBorders>
              <w:top w:val="nil"/>
              <w:left w:val="nil"/>
              <w:bottom w:val="nil"/>
              <w:right w:val="nil"/>
            </w:tcBorders>
            <w:shd w:val="clear" w:color="auto" w:fill="auto"/>
            <w:noWrap/>
            <w:vAlign w:val="center"/>
          </w:tcPr>
          <w:p w14:paraId="2EFD9ACD">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04" w:type="dxa"/>
            <w:tcBorders>
              <w:top w:val="nil"/>
              <w:left w:val="nil"/>
              <w:bottom w:val="nil"/>
              <w:right w:val="nil"/>
            </w:tcBorders>
            <w:shd w:val="clear" w:color="auto" w:fill="auto"/>
            <w:noWrap/>
            <w:vAlign w:val="center"/>
          </w:tcPr>
          <w:p w14:paraId="509272D9">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tcBorders>
              <w:top w:val="nil"/>
              <w:left w:val="nil"/>
              <w:bottom w:val="nil"/>
              <w:right w:val="nil"/>
            </w:tcBorders>
            <w:shd w:val="clear" w:color="auto" w:fill="auto"/>
            <w:noWrap/>
            <w:vAlign w:val="center"/>
          </w:tcPr>
          <w:p w14:paraId="5576E528">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nil"/>
              <w:left w:val="nil"/>
              <w:bottom w:val="nil"/>
              <w:right w:val="nil"/>
            </w:tcBorders>
            <w:shd w:val="clear" w:color="auto" w:fill="auto"/>
            <w:noWrap/>
            <w:vAlign w:val="center"/>
          </w:tcPr>
          <w:p w14:paraId="5512DF89">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nil"/>
              <w:left w:val="nil"/>
              <w:bottom w:val="nil"/>
              <w:right w:val="nil"/>
            </w:tcBorders>
            <w:shd w:val="clear" w:color="auto" w:fill="auto"/>
            <w:noWrap/>
            <w:vAlign w:val="center"/>
          </w:tcPr>
          <w:p w14:paraId="2C7B4B5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nil"/>
              <w:left w:val="nil"/>
              <w:bottom w:val="nil"/>
              <w:right w:val="nil"/>
            </w:tcBorders>
            <w:shd w:val="clear" w:color="auto" w:fill="auto"/>
            <w:noWrap/>
            <w:vAlign w:val="center"/>
          </w:tcPr>
          <w:p w14:paraId="0C8A6AB4">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nil"/>
              <w:left w:val="nil"/>
              <w:bottom w:val="nil"/>
              <w:right w:val="nil"/>
            </w:tcBorders>
            <w:shd w:val="clear" w:color="auto" w:fill="auto"/>
            <w:noWrap/>
            <w:vAlign w:val="bottom"/>
          </w:tcPr>
          <w:p w14:paraId="0BAB4651">
            <w:pPr>
              <w:keepNext w:val="0"/>
              <w:keepLines w:val="0"/>
              <w:widowControl/>
              <w:suppressLineNumbers w:val="0"/>
              <w:shd w:val="clear"/>
              <w:jc w:val="lef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公开02表</w:t>
            </w:r>
          </w:p>
        </w:tc>
      </w:tr>
      <w:tr w14:paraId="11DEE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99" w:type="dxa"/>
            <w:tcBorders>
              <w:top w:val="nil"/>
              <w:left w:val="nil"/>
              <w:bottom w:val="nil"/>
              <w:right w:val="nil"/>
            </w:tcBorders>
            <w:shd w:val="clear" w:color="auto" w:fill="auto"/>
            <w:noWrap/>
            <w:vAlign w:val="bottom"/>
          </w:tcPr>
          <w:p w14:paraId="41F27B0B">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tcBorders>
              <w:top w:val="nil"/>
              <w:left w:val="nil"/>
              <w:bottom w:val="nil"/>
              <w:right w:val="nil"/>
            </w:tcBorders>
            <w:shd w:val="clear" w:color="auto" w:fill="auto"/>
            <w:noWrap/>
            <w:vAlign w:val="center"/>
          </w:tcPr>
          <w:p w14:paraId="2DC1BFCB">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930" w:type="dxa"/>
            <w:tcBorders>
              <w:top w:val="nil"/>
              <w:left w:val="nil"/>
              <w:bottom w:val="nil"/>
              <w:right w:val="nil"/>
            </w:tcBorders>
            <w:shd w:val="clear" w:color="auto" w:fill="auto"/>
            <w:noWrap/>
            <w:vAlign w:val="center"/>
          </w:tcPr>
          <w:p w14:paraId="3B55AC03">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57" w:type="dxa"/>
            <w:tcBorders>
              <w:top w:val="nil"/>
              <w:left w:val="nil"/>
              <w:bottom w:val="nil"/>
              <w:right w:val="nil"/>
            </w:tcBorders>
            <w:shd w:val="clear" w:color="auto" w:fill="auto"/>
            <w:noWrap/>
            <w:vAlign w:val="center"/>
          </w:tcPr>
          <w:p w14:paraId="1F8938DB">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56" w:type="dxa"/>
            <w:tcBorders>
              <w:top w:val="nil"/>
              <w:left w:val="nil"/>
              <w:bottom w:val="nil"/>
              <w:right w:val="nil"/>
            </w:tcBorders>
            <w:shd w:val="clear" w:color="auto" w:fill="auto"/>
            <w:noWrap/>
            <w:vAlign w:val="center"/>
          </w:tcPr>
          <w:p w14:paraId="6161EB49">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04" w:type="dxa"/>
            <w:tcBorders>
              <w:top w:val="nil"/>
              <w:left w:val="nil"/>
              <w:bottom w:val="nil"/>
              <w:right w:val="nil"/>
            </w:tcBorders>
            <w:shd w:val="clear" w:color="auto" w:fill="auto"/>
            <w:noWrap/>
            <w:vAlign w:val="center"/>
          </w:tcPr>
          <w:p w14:paraId="5658494E">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tcBorders>
              <w:top w:val="nil"/>
              <w:left w:val="nil"/>
              <w:bottom w:val="nil"/>
              <w:right w:val="nil"/>
            </w:tcBorders>
            <w:shd w:val="clear" w:color="auto" w:fill="auto"/>
            <w:noWrap/>
            <w:vAlign w:val="bottom"/>
          </w:tcPr>
          <w:p w14:paraId="76A19556">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507" w:type="dxa"/>
            <w:tcBorders>
              <w:top w:val="nil"/>
              <w:left w:val="nil"/>
              <w:bottom w:val="nil"/>
              <w:right w:val="nil"/>
            </w:tcBorders>
            <w:shd w:val="clear" w:color="auto" w:fill="auto"/>
            <w:noWrap/>
            <w:vAlign w:val="center"/>
          </w:tcPr>
          <w:p w14:paraId="1DCB6496">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nil"/>
              <w:left w:val="nil"/>
              <w:bottom w:val="nil"/>
              <w:right w:val="nil"/>
            </w:tcBorders>
            <w:shd w:val="clear" w:color="auto" w:fill="auto"/>
            <w:noWrap/>
            <w:vAlign w:val="center"/>
          </w:tcPr>
          <w:p w14:paraId="57B259DA">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nil"/>
              <w:left w:val="nil"/>
              <w:bottom w:val="nil"/>
              <w:right w:val="nil"/>
            </w:tcBorders>
            <w:shd w:val="clear" w:color="auto" w:fill="auto"/>
            <w:noWrap/>
            <w:vAlign w:val="center"/>
          </w:tcPr>
          <w:p w14:paraId="7EEFFBB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nil"/>
              <w:left w:val="nil"/>
              <w:bottom w:val="nil"/>
              <w:right w:val="nil"/>
            </w:tcBorders>
            <w:shd w:val="clear" w:color="auto" w:fill="auto"/>
            <w:noWrap/>
            <w:vAlign w:val="bottom"/>
          </w:tcPr>
          <w:p w14:paraId="5C2ED825">
            <w:pPr>
              <w:keepNext w:val="0"/>
              <w:keepLines w:val="0"/>
              <w:widowControl/>
              <w:suppressLineNumbers w:val="0"/>
              <w:shd w:val="clear"/>
              <w:jc w:val="lef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单位：万元</w:t>
            </w:r>
          </w:p>
        </w:tc>
      </w:tr>
      <w:tr w14:paraId="03C4F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446" w:type="dxa"/>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04153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项目</w:t>
            </w:r>
          </w:p>
        </w:tc>
        <w:tc>
          <w:tcPr>
            <w:tcW w:w="245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1AF7071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本年收入合计</w:t>
            </w:r>
          </w:p>
        </w:tc>
        <w:tc>
          <w:tcPr>
            <w:tcW w:w="1004"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28E47F5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财政拨款收入</w:t>
            </w:r>
          </w:p>
        </w:tc>
        <w:tc>
          <w:tcPr>
            <w:tcW w:w="458"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213F008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上级补助收入</w:t>
            </w:r>
          </w:p>
        </w:tc>
        <w:tc>
          <w:tcPr>
            <w:tcW w:w="507" w:type="dxa"/>
            <w:tcBorders>
              <w:top w:val="single" w:color="D4D4D4" w:sz="4" w:space="0"/>
              <w:left w:val="single" w:color="D4D4D4" w:sz="4" w:space="0"/>
              <w:bottom w:val="single" w:color="D4D4D4" w:sz="4" w:space="0"/>
              <w:right w:val="single" w:color="D4D4D4" w:sz="4" w:space="0"/>
            </w:tcBorders>
            <w:shd w:val="clear" w:color="auto" w:fill="auto"/>
            <w:vAlign w:val="center"/>
          </w:tcPr>
          <w:p w14:paraId="4AFE807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事业收入</w:t>
            </w:r>
          </w:p>
        </w:tc>
        <w:tc>
          <w:tcPr>
            <w:tcW w:w="499"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01051DB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经营收入</w:t>
            </w:r>
          </w:p>
        </w:tc>
        <w:tc>
          <w:tcPr>
            <w:tcW w:w="69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190DA24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附属单位上缴收入</w:t>
            </w:r>
          </w:p>
        </w:tc>
        <w:tc>
          <w:tcPr>
            <w:tcW w:w="1736" w:type="dxa"/>
            <w:vMerge w:val="restart"/>
            <w:tcBorders>
              <w:top w:val="single" w:color="D4D4D4" w:sz="4" w:space="0"/>
              <w:left w:val="single" w:color="D4D4D4" w:sz="4" w:space="0"/>
              <w:bottom w:val="single" w:color="D4D4D4" w:sz="4" w:space="0"/>
              <w:right w:val="single" w:color="D4D4D4" w:sz="12" w:space="0"/>
            </w:tcBorders>
            <w:shd w:val="clear" w:color="auto" w:fill="auto"/>
            <w:vAlign w:val="center"/>
          </w:tcPr>
          <w:p w14:paraId="5D7F94B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其他收入</w:t>
            </w:r>
          </w:p>
        </w:tc>
      </w:tr>
      <w:tr w14:paraId="228D2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4507C5B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支出功能分类科目代码</w:t>
            </w:r>
          </w:p>
        </w:tc>
        <w:tc>
          <w:tcPr>
            <w:tcW w:w="4357"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6AFB1DE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科目名称</w:t>
            </w:r>
          </w:p>
        </w:tc>
        <w:tc>
          <w:tcPr>
            <w:tcW w:w="24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61E9954">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0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42E98C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C94FA3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04E84E7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小计</w:t>
            </w:r>
          </w:p>
        </w:tc>
        <w:tc>
          <w:tcPr>
            <w:tcW w:w="49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1B8593D">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4CE83296">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14:paraId="5C4DDCA0">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r>
      <w:tr w14:paraId="3277B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9"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26081AA">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57"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29341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ED87DED">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0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6C8DDCD">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8BC1DB9">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4938E47">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0847518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A8B68F9">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14:paraId="6CF0C78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r>
      <w:tr w14:paraId="63AF7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8BBDF46">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57"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1C430A">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C52757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0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2B5E0F6">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98695F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C384EA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3CC546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D0E953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14:paraId="6336D12C">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r>
      <w:tr w14:paraId="5741E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99"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609DC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类</w:t>
            </w:r>
          </w:p>
        </w:tc>
        <w:tc>
          <w:tcPr>
            <w:tcW w:w="960"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BC6A1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款</w:t>
            </w:r>
          </w:p>
        </w:tc>
        <w:tc>
          <w:tcPr>
            <w:tcW w:w="930"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2C824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项</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88AE1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栏次</w:t>
            </w:r>
          </w:p>
        </w:tc>
        <w:tc>
          <w:tcPr>
            <w:tcW w:w="245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50A235E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p>
        </w:tc>
        <w:tc>
          <w:tcPr>
            <w:tcW w:w="1004" w:type="dxa"/>
            <w:tcBorders>
              <w:top w:val="single" w:color="D4D4D4" w:sz="4" w:space="0"/>
              <w:left w:val="single" w:color="D4D4D4" w:sz="4" w:space="0"/>
              <w:bottom w:val="single" w:color="D4D4D4" w:sz="4" w:space="0"/>
              <w:right w:val="single" w:color="D4D4D4" w:sz="4" w:space="0"/>
            </w:tcBorders>
            <w:shd w:val="clear" w:color="auto" w:fill="auto"/>
            <w:vAlign w:val="center"/>
          </w:tcPr>
          <w:p w14:paraId="252D49F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w:t>
            </w:r>
          </w:p>
        </w:tc>
        <w:tc>
          <w:tcPr>
            <w:tcW w:w="458" w:type="dxa"/>
            <w:tcBorders>
              <w:top w:val="single" w:color="D4D4D4" w:sz="4" w:space="0"/>
              <w:left w:val="single" w:color="D4D4D4" w:sz="4" w:space="0"/>
              <w:bottom w:val="single" w:color="D4D4D4" w:sz="4" w:space="0"/>
              <w:right w:val="single" w:color="D4D4D4" w:sz="4" w:space="0"/>
            </w:tcBorders>
            <w:shd w:val="clear" w:color="auto" w:fill="auto"/>
            <w:vAlign w:val="center"/>
          </w:tcPr>
          <w:p w14:paraId="60732C7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p>
        </w:tc>
        <w:tc>
          <w:tcPr>
            <w:tcW w:w="507" w:type="dxa"/>
            <w:tcBorders>
              <w:top w:val="single" w:color="D4D4D4" w:sz="4" w:space="0"/>
              <w:left w:val="single" w:color="D4D4D4" w:sz="4" w:space="0"/>
              <w:bottom w:val="single" w:color="D4D4D4" w:sz="4" w:space="0"/>
              <w:right w:val="single" w:color="D4D4D4" w:sz="4" w:space="0"/>
            </w:tcBorders>
            <w:shd w:val="clear" w:color="auto" w:fill="auto"/>
            <w:vAlign w:val="center"/>
          </w:tcPr>
          <w:p w14:paraId="1D774C7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w:t>
            </w:r>
          </w:p>
        </w:tc>
        <w:tc>
          <w:tcPr>
            <w:tcW w:w="499" w:type="dxa"/>
            <w:tcBorders>
              <w:top w:val="single" w:color="D4D4D4" w:sz="4" w:space="0"/>
              <w:left w:val="single" w:color="D4D4D4" w:sz="4" w:space="0"/>
              <w:bottom w:val="single" w:color="D4D4D4" w:sz="4" w:space="0"/>
              <w:right w:val="single" w:color="D4D4D4" w:sz="4" w:space="0"/>
            </w:tcBorders>
            <w:shd w:val="clear" w:color="auto" w:fill="auto"/>
            <w:vAlign w:val="center"/>
          </w:tcPr>
          <w:p w14:paraId="440DC61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p>
        </w:tc>
        <w:tc>
          <w:tcPr>
            <w:tcW w:w="690" w:type="dxa"/>
            <w:tcBorders>
              <w:top w:val="single" w:color="D4D4D4" w:sz="4" w:space="0"/>
              <w:left w:val="single" w:color="D4D4D4" w:sz="4" w:space="0"/>
              <w:bottom w:val="single" w:color="D4D4D4" w:sz="4" w:space="0"/>
              <w:right w:val="single" w:color="D4D4D4" w:sz="4" w:space="0"/>
            </w:tcBorders>
            <w:shd w:val="clear" w:color="auto" w:fill="auto"/>
            <w:vAlign w:val="center"/>
          </w:tcPr>
          <w:p w14:paraId="74EDA7E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p>
        </w:tc>
        <w:tc>
          <w:tcPr>
            <w:tcW w:w="1736" w:type="dxa"/>
            <w:tcBorders>
              <w:top w:val="single" w:color="D4D4D4" w:sz="4" w:space="0"/>
              <w:left w:val="single" w:color="D4D4D4" w:sz="4" w:space="0"/>
              <w:bottom w:val="single" w:color="D4D4D4" w:sz="4" w:space="0"/>
              <w:right w:val="single" w:color="D4D4D4" w:sz="12" w:space="0"/>
            </w:tcBorders>
            <w:shd w:val="clear" w:color="auto" w:fill="auto"/>
            <w:vAlign w:val="center"/>
          </w:tcPr>
          <w:p w14:paraId="03398D8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p>
        </w:tc>
      </w:tr>
      <w:tr w14:paraId="1CADC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99"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56A5E3">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960"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A45FEF">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930"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1F2F23">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D94B2A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合计</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9BDFE1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3082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1</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C931D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2391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8E18E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0AF4A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98A34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24343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C67DA4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38</w:t>
            </w:r>
          </w:p>
        </w:tc>
      </w:tr>
      <w:tr w14:paraId="76B02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3497D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2010102</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7BD406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一般行政管理事务</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D7D11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F35E9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ACC86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8EC35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39F21B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3AC91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E54F00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21803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2D398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2010103</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A00BBD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机关服务</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31316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49</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DB63A1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49</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5C5BD3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A510AF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5F1A1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CDF17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AD66D1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77533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E4F255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2010301</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F78B2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行政运行</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625BAB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1783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53</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CEB9D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1154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35</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E1BB4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4542B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43FF92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65CD4A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36033C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629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r>
      <w:tr w14:paraId="7EE07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37884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2010302</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203BF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一般行政管理事务</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38EAA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085D0E">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15DF4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4CE98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963E6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36E1E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88E305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1B59B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EF717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2010399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879360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其他政府办公厅（室）及相关机构事务支出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4B2C8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59521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4EBE02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81936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60CB2F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86160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63D4A8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572B4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EA641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2010699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7F68AC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其他财政事务支出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ECB65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88</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C2A28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88</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3740A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073A1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BC7AA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17907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E9E017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50000.00</w:t>
            </w:r>
          </w:p>
        </w:tc>
      </w:tr>
      <w:tr w14:paraId="05F8A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185C3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2014004</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AD2FEE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信访业务</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F11AF5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906B5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4D912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79412D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CF4C99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69838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92BF93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7DBFE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A6333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2019999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1860B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其他一般公共服务支出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1E7C3C9">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.10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BB318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4</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87F2AB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1AA34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0644F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F14C8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8A9CB8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06</w:t>
            </w:r>
          </w:p>
        </w:tc>
      </w:tr>
      <w:tr w14:paraId="7CCA0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659D61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2030601</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E9110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兵役征集</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246D6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4503B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D8C73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C9CD4F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950CC3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5BF071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4EA5DB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5CC59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EE8550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2060102</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1895DD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一般行政管理事务</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65A513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60BEE3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42FD6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5BA915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C3321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79169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51D939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28358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4456D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2080102</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F0D29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一般行政管理事务</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CB3A9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66406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49F27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1DC868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A6F58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AC0DD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8CA4E0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4F19D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7065C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2080505</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756DE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机关事业单位基本养老保险缴费支出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E5C364">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CA7BE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02</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DFF44C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0CC42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444BD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5BD5DE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BE0F62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57AC6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7BA9C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2080506</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78A926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机关事业单位职业年金缴费支出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C7BA2B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37322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10B557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6C6196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62002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0C4E22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1DB95F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623C9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6B3AF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2101101</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1568D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行政单位医疗</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90C2D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05E72F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C8A0E9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30CA5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B6384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6CE2B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31F034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032E9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7F3A0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2110499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6CC68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其他自然生态保护支出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D4487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7F5118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70E0B7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F176FF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F96B64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DC4D46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6594EE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2B1F4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B57D2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2120303</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F5E2E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小城镇基础设施建设</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A1C56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D29AF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4516B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BD4E3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856E9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20CAE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44FAED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33122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0D3B7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2120501</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8FF037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城乡社区环境卫生</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1659CE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BFABC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18F7F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3C6755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CB19BB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A1DB7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169D60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2225E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3F885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2129999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D3EA6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其他城乡社区支出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63717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82D3789">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EF2B3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10EC7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4DF0F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8030E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DCDAB5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3E125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756D6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2130101</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59D5C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行政运行</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DD57D8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25</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44662D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25</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D38A4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8F401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FAE949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EEE36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7F0433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4A10A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BB903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2130126</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AC68FA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农村社会事业</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F2695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3AC435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458E1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94F46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F5E8F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E83C7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3FE6C4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2C2DF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AD0713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2130199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68337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其他农业农村支出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A59CB6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37</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38361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37</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531F9D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8379E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37C2A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1CAE98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69CF525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5A736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32A0D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2130234</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DD294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林业草原防灾减灾</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383612">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5E62B61">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E8EA8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E71E2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A249FD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289CE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48AC7D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74FB8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31EAF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2130305</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E08F0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水利工程建设</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6F9E2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64.00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D4B842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64.00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AE854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46ACF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8C512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A88392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808BB47">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09848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5184A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2130306</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81D58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水利工程运行与维护</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33E9B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15.00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F2C6E6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15.00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CC817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7905A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59288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076C0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5A8DD69">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4538B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30799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2130317</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96987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水利技术推广</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66AB3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029AB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23E82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F40C00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D8C808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4DB49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039325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04A9A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D9B231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2130701</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BFA99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对村级公益事业建设的补助</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58E15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2359B4E">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3AFEB1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2F92B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482B3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6FB6E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052BE9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r>
      <w:tr w14:paraId="643FE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E4FEA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2130705</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4324A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对村民委员会和村党支部的补助</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6F19A5">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.60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B4DA9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409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6</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9434C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5B0439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4C120D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A14DAA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94F052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w:t>
            </w:r>
          </w:p>
        </w:tc>
      </w:tr>
      <w:tr w14:paraId="04A96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41E5F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2130799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8D044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其他农村综合改革支出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D6A92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DD384E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9516D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322D4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F913F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6AF8F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3B33F9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r>
      <w:tr w14:paraId="5B2C9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19FD7F8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2210201</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2C413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住房公积金</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36602B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46</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FE750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46</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6F4C03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5D245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9E000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8DDFC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83AADB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72A7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F828AB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2240799</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82834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其他自然灾害救灾及恢复重建支出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F1F2B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C7951D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B4667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FADC9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55D7F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AD1379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D1DBC0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93FD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71CE60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2296002</w:t>
            </w:r>
          </w:p>
        </w:tc>
        <w:tc>
          <w:tcPr>
            <w:tcW w:w="435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A769B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用于社会福利的彩票公益金支出</w:t>
            </w:r>
          </w:p>
        </w:tc>
        <w:tc>
          <w:tcPr>
            <w:tcW w:w="24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73106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10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8E310B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4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CEB1D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50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1431B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4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50917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9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CBAB5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36"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A802D9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bl>
    <w:p w14:paraId="6D5CD490">
      <w:pPr>
        <w:shd w:val="clear"/>
        <w:tabs>
          <w:tab w:val="left" w:pos="583"/>
          <w:tab w:val="right" w:pos="16260"/>
        </w:tabs>
        <w:spacing w:line="300" w:lineRule="auto"/>
        <w:ind w:right="660"/>
        <w:jc w:val="left"/>
        <w:rPr>
          <w:rFonts w:hint="eastAsia" w:ascii="仿宋" w:hAnsi="仿宋" w:eastAsia="仿宋" w:cs="仿宋"/>
          <w:color w:val="000000" w:themeColor="text1"/>
          <w:sz w:val="32"/>
          <w:szCs w:val="32"/>
          <w:u w:val="none"/>
          <w:lang w:eastAsia="zh-CN"/>
          <w14:textFill>
            <w14:solidFill>
              <w14:schemeClr w14:val="tx1"/>
            </w14:solidFill>
          </w14:textFill>
        </w:rPr>
        <w:sectPr>
          <w:type w:val="continuous"/>
          <w:pgSz w:w="16840" w:h="11910" w:orient="landscape"/>
          <w:pgMar w:top="1440" w:right="1080" w:bottom="1440" w:left="1080" w:header="720" w:footer="720" w:gutter="0"/>
          <w:pgBorders>
            <w:top w:val="none" w:sz="0" w:space="0"/>
            <w:left w:val="none" w:sz="0" w:space="0"/>
            <w:bottom w:val="none" w:sz="0" w:space="0"/>
            <w:right w:val="none" w:sz="0" w:space="0"/>
          </w:pgBorders>
          <w:cols w:space="720" w:num="1"/>
        </w:sectPr>
      </w:pPr>
      <w:r>
        <w:rPr>
          <w:rFonts w:hint="eastAsia" w:ascii="仿宋" w:hAnsi="仿宋" w:eastAsia="仿宋" w:cs="仿宋"/>
          <w:color w:val="000000" w:themeColor="text1"/>
          <w:sz w:val="32"/>
          <w:szCs w:val="32"/>
          <w:u w:val="none"/>
          <w:lang w:eastAsia="zh-CN"/>
          <w14:textFill>
            <w14:solidFill>
              <w14:schemeClr w14:val="tx1"/>
            </w14:solidFill>
          </w14:textFill>
        </w:rPr>
        <w:tab/>
      </w: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注：本表反映部门本年度取得的各项收入情况。</w:t>
      </w:r>
      <w:r>
        <w:rPr>
          <w:rFonts w:hint="eastAsia" w:ascii="仿宋" w:hAnsi="仿宋" w:eastAsia="仿宋" w:cs="仿宋"/>
          <w:color w:val="000000" w:themeColor="text1"/>
          <w:sz w:val="32"/>
          <w:szCs w:val="32"/>
          <w:u w:val="none"/>
          <w:lang w:eastAsia="zh-CN"/>
          <w14:textFill>
            <w14:solidFill>
              <w14:schemeClr w14:val="tx1"/>
            </w14:solidFill>
          </w14:textFill>
        </w:rPr>
        <w:tab/>
      </w:r>
      <w:r>
        <w:rPr>
          <w:rFonts w:hint="eastAsia" w:ascii="仿宋" w:hAnsi="仿宋" w:eastAsia="仿宋" w:cs="仿宋"/>
          <w:color w:val="000000" w:themeColor="text1"/>
          <w:sz w:val="32"/>
          <w:szCs w:val="32"/>
          <w:u w:val="none"/>
          <w:lang w:eastAsia="zh-CN"/>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 xml:space="preserve">             </w:t>
      </w:r>
    </w:p>
    <w:p w14:paraId="7562AE8D">
      <w:pPr>
        <w:shd w:val="clear"/>
        <w:spacing w:line="300" w:lineRule="auto"/>
        <w:ind w:left="213"/>
        <w:jc w:val="left"/>
        <w:rPr>
          <w:rFonts w:hint="eastAsia" w:ascii="仿宋" w:hAnsi="仿宋" w:eastAsia="仿宋" w:cs="仿宋"/>
          <w:color w:val="000000" w:themeColor="text1"/>
          <w:sz w:val="32"/>
          <w:szCs w:val="32"/>
          <w:u w:val="none"/>
          <w:lang w:eastAsia="zh-CN"/>
          <w14:textFill>
            <w14:solidFill>
              <w14:schemeClr w14:val="tx1"/>
            </w14:solidFill>
          </w14:textFill>
        </w:rPr>
      </w:pPr>
    </w:p>
    <w:p w14:paraId="3243A31D">
      <w:pPr>
        <w:shd w:val="clear"/>
        <w:tabs>
          <w:tab w:val="left" w:pos="115"/>
        </w:tabs>
        <w:spacing w:line="300" w:lineRule="auto"/>
        <w:rPr>
          <w:rFonts w:hint="eastAsia" w:ascii="仿宋" w:hAnsi="仿宋" w:eastAsia="仿宋" w:cs="仿宋"/>
          <w:color w:val="000000" w:themeColor="text1"/>
          <w:sz w:val="32"/>
          <w:szCs w:val="32"/>
          <w:u w:val="none"/>
          <w:lang w:eastAsia="zh-CN"/>
          <w14:textFill>
            <w14:solidFill>
              <w14:schemeClr w14:val="tx1"/>
            </w14:solidFill>
          </w14:textFill>
        </w:rPr>
        <w:sectPr>
          <w:footerReference r:id="rId3" w:type="default"/>
          <w:type w:val="continuous"/>
          <w:pgSz w:w="16840" w:h="11910" w:orient="landscape"/>
          <w:pgMar w:top="1440" w:right="1080" w:bottom="1440" w:left="1080" w:header="720" w:footer="720" w:gutter="0"/>
          <w:pgBorders>
            <w:top w:val="none" w:sz="0" w:space="0"/>
            <w:left w:val="none" w:sz="0" w:space="0"/>
            <w:bottom w:val="none" w:sz="0" w:space="0"/>
            <w:right w:val="none" w:sz="0" w:space="0"/>
          </w:pgBorders>
          <w:cols w:space="720" w:num="1"/>
        </w:sectPr>
      </w:pPr>
      <w:r>
        <w:rPr>
          <w:rFonts w:hint="eastAsia" w:ascii="仿宋" w:hAnsi="仿宋" w:eastAsia="仿宋" w:cs="仿宋"/>
          <w:color w:val="000000" w:themeColor="text1"/>
          <w:sz w:val="32"/>
          <w:szCs w:val="32"/>
          <w:u w:val="none"/>
          <w:lang w:eastAsia="zh-CN"/>
          <w14:textFill>
            <w14:solidFill>
              <w14:schemeClr w14:val="tx1"/>
            </w14:solidFill>
          </w14:textFill>
        </w:rPr>
        <w:tab/>
      </w:r>
    </w:p>
    <w:tbl>
      <w:tblPr>
        <w:tblStyle w:val="12"/>
        <w:tblW w:w="15514"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4396"/>
        <w:gridCol w:w="1656"/>
        <w:gridCol w:w="1656"/>
        <w:gridCol w:w="1656"/>
        <w:gridCol w:w="1599"/>
        <w:gridCol w:w="1586"/>
        <w:gridCol w:w="1657"/>
      </w:tblGrid>
      <w:tr w14:paraId="433E0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3" w:hRule="atLeast"/>
        </w:trPr>
        <w:tc>
          <w:tcPr>
            <w:tcW w:w="15514" w:type="dxa"/>
            <w:gridSpan w:val="10"/>
            <w:tcBorders>
              <w:top w:val="nil"/>
              <w:left w:val="nil"/>
              <w:bottom w:val="nil"/>
              <w:right w:val="nil"/>
            </w:tcBorders>
            <w:shd w:val="clear" w:color="auto" w:fill="auto"/>
            <w:noWrap/>
            <w:vAlign w:val="center"/>
          </w:tcPr>
          <w:p w14:paraId="386E981B">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黑体" w:hAnsi="宋体" w:eastAsia="黑体" w:cs="黑体"/>
                <w:i w:val="0"/>
                <w:iCs w:val="0"/>
                <w:color w:val="000000" w:themeColor="text1"/>
                <w:kern w:val="0"/>
                <w:sz w:val="30"/>
                <w:szCs w:val="30"/>
                <w:u w:val="none"/>
                <w:lang w:val="en-US" w:eastAsia="zh-CN" w:bidi="ar"/>
                <w14:textFill>
                  <w14:solidFill>
                    <w14:schemeClr w14:val="tx1"/>
                  </w14:solidFill>
                </w14:textFill>
              </w:rPr>
              <w:t>部门支出决算表</w:t>
            </w:r>
          </w:p>
        </w:tc>
      </w:tr>
      <w:tr w14:paraId="1527A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0" w:type="auto"/>
            <w:tcBorders>
              <w:top w:val="nil"/>
              <w:left w:val="nil"/>
              <w:bottom w:val="nil"/>
              <w:right w:val="nil"/>
            </w:tcBorders>
            <w:shd w:val="clear" w:color="auto" w:fill="auto"/>
            <w:noWrap/>
            <w:vAlign w:val="center"/>
          </w:tcPr>
          <w:p w14:paraId="0556DC65">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0AEA567B">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77C6CD3B">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1723DB5A">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1542BEB9">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53197097">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4FCB8CF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nil"/>
              <w:left w:val="nil"/>
              <w:bottom w:val="nil"/>
              <w:right w:val="nil"/>
            </w:tcBorders>
            <w:shd w:val="clear" w:color="auto" w:fill="auto"/>
            <w:noWrap/>
            <w:vAlign w:val="center"/>
          </w:tcPr>
          <w:p w14:paraId="1C315925">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nil"/>
              <w:left w:val="nil"/>
              <w:bottom w:val="nil"/>
              <w:right w:val="nil"/>
            </w:tcBorders>
            <w:shd w:val="clear" w:color="auto" w:fill="auto"/>
            <w:noWrap/>
            <w:vAlign w:val="center"/>
          </w:tcPr>
          <w:p w14:paraId="35B8D93B">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bottom"/>
          </w:tcPr>
          <w:p w14:paraId="0856D588">
            <w:pPr>
              <w:keepNext w:val="0"/>
              <w:keepLines w:val="0"/>
              <w:widowControl/>
              <w:suppressLineNumbers w:val="0"/>
              <w:shd w:val="clear"/>
              <w:jc w:val="left"/>
              <w:textAlignment w:val="bottom"/>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公开</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03表</w:t>
            </w:r>
          </w:p>
        </w:tc>
      </w:tr>
      <w:tr w14:paraId="2434A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trPr>
        <w:tc>
          <w:tcPr>
            <w:tcW w:w="0" w:type="auto"/>
            <w:tcBorders>
              <w:top w:val="nil"/>
              <w:left w:val="nil"/>
              <w:bottom w:val="nil"/>
              <w:right w:val="nil"/>
            </w:tcBorders>
            <w:shd w:val="clear" w:color="auto" w:fill="auto"/>
            <w:noWrap/>
            <w:vAlign w:val="bottom"/>
          </w:tcPr>
          <w:p w14:paraId="47884506">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72030C47">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63920F06">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4C5E9CC8">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33EE835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bottom"/>
          </w:tcPr>
          <w:p w14:paraId="031CEB8D">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14:paraId="6EF3EB0C">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nil"/>
              <w:left w:val="nil"/>
              <w:bottom w:val="nil"/>
              <w:right w:val="nil"/>
            </w:tcBorders>
            <w:shd w:val="clear" w:color="auto" w:fill="auto"/>
            <w:noWrap/>
            <w:vAlign w:val="center"/>
          </w:tcPr>
          <w:p w14:paraId="769CACEC">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nil"/>
              <w:left w:val="nil"/>
              <w:bottom w:val="nil"/>
              <w:right w:val="nil"/>
            </w:tcBorders>
            <w:shd w:val="clear" w:color="auto" w:fill="auto"/>
            <w:noWrap/>
            <w:vAlign w:val="center"/>
          </w:tcPr>
          <w:p w14:paraId="71481DB1">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nil"/>
              <w:left w:val="nil"/>
              <w:bottom w:val="nil"/>
              <w:right w:val="nil"/>
            </w:tcBorders>
            <w:shd w:val="clear" w:color="auto" w:fill="auto"/>
            <w:noWrap/>
            <w:vAlign w:val="bottom"/>
          </w:tcPr>
          <w:p w14:paraId="638BDAC9">
            <w:pPr>
              <w:keepNext w:val="0"/>
              <w:keepLines w:val="0"/>
              <w:widowControl/>
              <w:suppressLineNumbers w:val="0"/>
              <w:shd w:val="clear"/>
              <w:jc w:val="left"/>
              <w:textAlignment w:val="bottom"/>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单位：万元</w:t>
            </w:r>
          </w:p>
        </w:tc>
      </w:tr>
      <w:tr w14:paraId="1880E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286110">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项目</w:t>
            </w:r>
          </w:p>
        </w:tc>
        <w:tc>
          <w:tcPr>
            <w:tcW w:w="165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1CFE3428">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本年支出合计</w:t>
            </w:r>
          </w:p>
        </w:tc>
        <w:tc>
          <w:tcPr>
            <w:tcW w:w="165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15315838">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基本支出</w:t>
            </w:r>
          </w:p>
        </w:tc>
        <w:tc>
          <w:tcPr>
            <w:tcW w:w="165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4DC83E02">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项目支出</w:t>
            </w:r>
          </w:p>
        </w:tc>
        <w:tc>
          <w:tcPr>
            <w:tcW w:w="1599"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260380A1">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上缴上级支出</w:t>
            </w:r>
          </w:p>
        </w:tc>
        <w:tc>
          <w:tcPr>
            <w:tcW w:w="158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136D7741">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经营支出</w:t>
            </w:r>
          </w:p>
        </w:tc>
        <w:tc>
          <w:tcPr>
            <w:tcW w:w="1657" w:type="dxa"/>
            <w:vMerge w:val="restart"/>
            <w:tcBorders>
              <w:top w:val="single" w:color="D4D4D4" w:sz="4" w:space="0"/>
              <w:left w:val="single" w:color="D4D4D4" w:sz="4" w:space="0"/>
              <w:bottom w:val="single" w:color="D4D4D4" w:sz="4" w:space="0"/>
              <w:right w:val="single" w:color="D4D4D4" w:sz="12" w:space="0"/>
            </w:tcBorders>
            <w:shd w:val="clear" w:color="auto" w:fill="auto"/>
            <w:vAlign w:val="center"/>
          </w:tcPr>
          <w:p w14:paraId="6250EE6E">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对附属单位补助支出</w:t>
            </w:r>
          </w:p>
        </w:tc>
      </w:tr>
      <w:tr w14:paraId="7C42D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590F63C9">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支出功能分类科目代码</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2C8E5AD1">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科目名称</w:t>
            </w: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D13CF5C">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2029559">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7843633">
            <w:pPr>
              <w:shd w:val="clear"/>
              <w:jc w:val="center"/>
              <w:rPr>
                <w:rFonts w:hint="eastAsia" w:ascii="宋体" w:hAnsi="宋体" w:eastAsia="宋体" w:cs="宋体"/>
                <w:i w:val="0"/>
                <w:iCs w:val="0"/>
                <w:color w:val="auto"/>
                <w:sz w:val="22"/>
                <w:szCs w:val="22"/>
                <w:u w:val="none"/>
                <w:shd w:val="clear" w:color="auto" w:fill="auto"/>
              </w:rPr>
            </w:pPr>
          </w:p>
        </w:tc>
        <w:tc>
          <w:tcPr>
            <w:tcW w:w="159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B8562D4">
            <w:pPr>
              <w:shd w:val="clear"/>
              <w:jc w:val="center"/>
              <w:rPr>
                <w:rFonts w:hint="eastAsia" w:ascii="宋体" w:hAnsi="宋体" w:eastAsia="宋体" w:cs="宋体"/>
                <w:i w:val="0"/>
                <w:iCs w:val="0"/>
                <w:color w:val="auto"/>
                <w:sz w:val="22"/>
                <w:szCs w:val="22"/>
                <w:u w:val="none"/>
                <w:shd w:val="clear" w:color="auto" w:fill="auto"/>
              </w:rPr>
            </w:pPr>
          </w:p>
        </w:tc>
        <w:tc>
          <w:tcPr>
            <w:tcW w:w="158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B83FE08">
            <w:pPr>
              <w:shd w:val="clear"/>
              <w:jc w:val="center"/>
              <w:rPr>
                <w:rFonts w:hint="eastAsia" w:ascii="宋体" w:hAnsi="宋体" w:eastAsia="宋体" w:cs="宋体"/>
                <w:i w:val="0"/>
                <w:iCs w:val="0"/>
                <w:color w:val="auto"/>
                <w:sz w:val="22"/>
                <w:szCs w:val="22"/>
                <w:u w:val="none"/>
                <w:shd w:val="clear" w:color="auto" w:fill="auto"/>
              </w:rPr>
            </w:pPr>
          </w:p>
        </w:tc>
        <w:tc>
          <w:tcPr>
            <w:tcW w:w="1657"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14:paraId="741DA989">
            <w:pPr>
              <w:shd w:val="clear"/>
              <w:jc w:val="center"/>
              <w:rPr>
                <w:rFonts w:hint="eastAsia" w:ascii="宋体" w:hAnsi="宋体" w:eastAsia="宋体" w:cs="宋体"/>
                <w:i w:val="0"/>
                <w:iCs w:val="0"/>
                <w:color w:val="auto"/>
                <w:sz w:val="22"/>
                <w:szCs w:val="22"/>
                <w:u w:val="none"/>
                <w:shd w:val="clear" w:color="auto" w:fill="auto"/>
              </w:rPr>
            </w:pPr>
          </w:p>
        </w:tc>
      </w:tr>
      <w:tr w14:paraId="57A4B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B058836">
            <w:pPr>
              <w:shd w:val="clear"/>
              <w:jc w:val="center"/>
              <w:rPr>
                <w:rFonts w:hint="eastAsia" w:ascii="宋体" w:hAnsi="宋体" w:eastAsia="宋体" w:cs="宋体"/>
                <w:i w:val="0"/>
                <w:iCs w:val="0"/>
                <w:color w:val="auto"/>
                <w:sz w:val="22"/>
                <w:szCs w:val="22"/>
                <w:u w:val="none"/>
                <w:shd w:val="clear" w:color="auto" w:fill="auto"/>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811B9E">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CFB37A8">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A781A1D">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0659D7C">
            <w:pPr>
              <w:shd w:val="clear"/>
              <w:jc w:val="center"/>
              <w:rPr>
                <w:rFonts w:hint="eastAsia" w:ascii="宋体" w:hAnsi="宋体" w:eastAsia="宋体" w:cs="宋体"/>
                <w:i w:val="0"/>
                <w:iCs w:val="0"/>
                <w:color w:val="auto"/>
                <w:sz w:val="22"/>
                <w:szCs w:val="22"/>
                <w:u w:val="none"/>
                <w:shd w:val="clear" w:color="auto" w:fill="auto"/>
              </w:rPr>
            </w:pPr>
          </w:p>
        </w:tc>
        <w:tc>
          <w:tcPr>
            <w:tcW w:w="159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C707428">
            <w:pPr>
              <w:shd w:val="clear"/>
              <w:jc w:val="center"/>
              <w:rPr>
                <w:rFonts w:hint="eastAsia" w:ascii="宋体" w:hAnsi="宋体" w:eastAsia="宋体" w:cs="宋体"/>
                <w:i w:val="0"/>
                <w:iCs w:val="0"/>
                <w:color w:val="auto"/>
                <w:sz w:val="22"/>
                <w:szCs w:val="22"/>
                <w:u w:val="none"/>
                <w:shd w:val="clear" w:color="auto" w:fill="auto"/>
              </w:rPr>
            </w:pPr>
          </w:p>
        </w:tc>
        <w:tc>
          <w:tcPr>
            <w:tcW w:w="158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A71DD86">
            <w:pPr>
              <w:shd w:val="clear"/>
              <w:jc w:val="center"/>
              <w:rPr>
                <w:rFonts w:hint="eastAsia" w:ascii="宋体" w:hAnsi="宋体" w:eastAsia="宋体" w:cs="宋体"/>
                <w:i w:val="0"/>
                <w:iCs w:val="0"/>
                <w:color w:val="auto"/>
                <w:sz w:val="22"/>
                <w:szCs w:val="22"/>
                <w:u w:val="none"/>
                <w:shd w:val="clear" w:color="auto" w:fill="auto"/>
              </w:rPr>
            </w:pPr>
          </w:p>
        </w:tc>
        <w:tc>
          <w:tcPr>
            <w:tcW w:w="1657"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14:paraId="6F6C69E9">
            <w:pPr>
              <w:shd w:val="clear"/>
              <w:jc w:val="center"/>
              <w:rPr>
                <w:rFonts w:hint="eastAsia" w:ascii="宋体" w:hAnsi="宋体" w:eastAsia="宋体" w:cs="宋体"/>
                <w:i w:val="0"/>
                <w:iCs w:val="0"/>
                <w:color w:val="auto"/>
                <w:sz w:val="22"/>
                <w:szCs w:val="22"/>
                <w:u w:val="none"/>
                <w:shd w:val="clear" w:color="auto" w:fill="auto"/>
              </w:rPr>
            </w:pPr>
          </w:p>
        </w:tc>
      </w:tr>
      <w:tr w14:paraId="6A8F4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308"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4E17D55E">
            <w:pPr>
              <w:shd w:val="clear"/>
              <w:jc w:val="center"/>
              <w:rPr>
                <w:rFonts w:hint="eastAsia" w:ascii="宋体" w:hAnsi="宋体" w:eastAsia="宋体" w:cs="宋体"/>
                <w:i w:val="0"/>
                <w:iCs w:val="0"/>
                <w:color w:val="auto"/>
                <w:sz w:val="22"/>
                <w:szCs w:val="22"/>
                <w:u w:val="none"/>
                <w:shd w:val="clear" w:color="auto" w:fill="auto"/>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424E32">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3BEC12E">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00EB8E7">
            <w:pPr>
              <w:shd w:val="clear"/>
              <w:jc w:val="center"/>
              <w:rPr>
                <w:rFonts w:hint="eastAsia" w:ascii="宋体" w:hAnsi="宋体" w:eastAsia="宋体" w:cs="宋体"/>
                <w:i w:val="0"/>
                <w:iCs w:val="0"/>
                <w:color w:val="auto"/>
                <w:sz w:val="22"/>
                <w:szCs w:val="22"/>
                <w:u w:val="none"/>
                <w:shd w:val="clear" w:color="auto" w:fill="auto"/>
              </w:rPr>
            </w:pPr>
          </w:p>
        </w:tc>
        <w:tc>
          <w:tcPr>
            <w:tcW w:w="16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27D9361">
            <w:pPr>
              <w:shd w:val="clear"/>
              <w:jc w:val="center"/>
              <w:rPr>
                <w:rFonts w:hint="eastAsia" w:ascii="宋体" w:hAnsi="宋体" w:eastAsia="宋体" w:cs="宋体"/>
                <w:i w:val="0"/>
                <w:iCs w:val="0"/>
                <w:color w:val="auto"/>
                <w:sz w:val="22"/>
                <w:szCs w:val="22"/>
                <w:u w:val="none"/>
                <w:shd w:val="clear" w:color="auto" w:fill="auto"/>
              </w:rPr>
            </w:pPr>
          </w:p>
        </w:tc>
        <w:tc>
          <w:tcPr>
            <w:tcW w:w="159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1A89A91">
            <w:pPr>
              <w:shd w:val="clear"/>
              <w:jc w:val="center"/>
              <w:rPr>
                <w:rFonts w:hint="eastAsia" w:ascii="宋体" w:hAnsi="宋体" w:eastAsia="宋体" w:cs="宋体"/>
                <w:i w:val="0"/>
                <w:iCs w:val="0"/>
                <w:color w:val="auto"/>
                <w:sz w:val="22"/>
                <w:szCs w:val="22"/>
                <w:u w:val="none"/>
                <w:shd w:val="clear" w:color="auto" w:fill="auto"/>
              </w:rPr>
            </w:pPr>
          </w:p>
        </w:tc>
        <w:tc>
          <w:tcPr>
            <w:tcW w:w="158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0D84BA4F">
            <w:pPr>
              <w:shd w:val="clear"/>
              <w:jc w:val="center"/>
              <w:rPr>
                <w:rFonts w:hint="eastAsia" w:ascii="宋体" w:hAnsi="宋体" w:eastAsia="宋体" w:cs="宋体"/>
                <w:i w:val="0"/>
                <w:iCs w:val="0"/>
                <w:color w:val="auto"/>
                <w:sz w:val="22"/>
                <w:szCs w:val="22"/>
                <w:u w:val="none"/>
                <w:shd w:val="clear" w:color="auto" w:fill="auto"/>
              </w:rPr>
            </w:pPr>
          </w:p>
        </w:tc>
        <w:tc>
          <w:tcPr>
            <w:tcW w:w="1657"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14:paraId="507F410C">
            <w:pPr>
              <w:shd w:val="clear"/>
              <w:jc w:val="center"/>
              <w:rPr>
                <w:rFonts w:hint="eastAsia" w:ascii="宋体" w:hAnsi="宋体" w:eastAsia="宋体" w:cs="宋体"/>
                <w:i w:val="0"/>
                <w:iCs w:val="0"/>
                <w:color w:val="auto"/>
                <w:sz w:val="22"/>
                <w:szCs w:val="22"/>
                <w:u w:val="none"/>
                <w:shd w:val="clear" w:color="auto" w:fill="auto"/>
              </w:rPr>
            </w:pPr>
          </w:p>
        </w:tc>
      </w:tr>
      <w:tr w14:paraId="1D8B2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A13CC2">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类</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2E982C">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款</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14:paraId="48351E51">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项</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66F44C">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栏次</w:t>
            </w:r>
          </w:p>
        </w:tc>
        <w:tc>
          <w:tcPr>
            <w:tcW w:w="165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73F8D00F">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w:t>
            </w:r>
          </w:p>
        </w:tc>
        <w:tc>
          <w:tcPr>
            <w:tcW w:w="165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0668BD6E">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w:t>
            </w:r>
          </w:p>
        </w:tc>
        <w:tc>
          <w:tcPr>
            <w:tcW w:w="165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0E73A899">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w:t>
            </w:r>
          </w:p>
        </w:tc>
        <w:tc>
          <w:tcPr>
            <w:tcW w:w="1599" w:type="dxa"/>
            <w:tcBorders>
              <w:top w:val="single" w:color="D4D4D4" w:sz="4" w:space="0"/>
              <w:left w:val="single" w:color="D4D4D4" w:sz="4" w:space="0"/>
              <w:bottom w:val="single" w:color="D4D4D4" w:sz="4" w:space="0"/>
              <w:right w:val="single" w:color="D4D4D4" w:sz="4" w:space="0"/>
            </w:tcBorders>
            <w:shd w:val="clear" w:color="auto" w:fill="auto"/>
            <w:vAlign w:val="center"/>
          </w:tcPr>
          <w:p w14:paraId="59934E30">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w:t>
            </w:r>
          </w:p>
        </w:tc>
        <w:tc>
          <w:tcPr>
            <w:tcW w:w="158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30D06E5A">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w:t>
            </w:r>
          </w:p>
        </w:tc>
        <w:tc>
          <w:tcPr>
            <w:tcW w:w="1657" w:type="dxa"/>
            <w:tcBorders>
              <w:top w:val="single" w:color="D4D4D4" w:sz="4" w:space="0"/>
              <w:left w:val="single" w:color="D4D4D4" w:sz="4" w:space="0"/>
              <w:bottom w:val="single" w:color="D4D4D4" w:sz="4" w:space="0"/>
              <w:right w:val="single" w:color="D4D4D4" w:sz="12" w:space="0"/>
            </w:tcBorders>
            <w:shd w:val="clear" w:color="auto" w:fill="auto"/>
            <w:vAlign w:val="center"/>
          </w:tcPr>
          <w:p w14:paraId="7387AA9B">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6</w:t>
            </w:r>
          </w:p>
        </w:tc>
      </w:tr>
      <w:tr w14:paraId="50588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EE8130">
            <w:pPr>
              <w:shd w:val="clear"/>
              <w:jc w:val="center"/>
              <w:rPr>
                <w:rFonts w:hint="eastAsia" w:ascii="宋体" w:hAnsi="宋体" w:eastAsia="宋体" w:cs="宋体"/>
                <w:i w:val="0"/>
                <w:iCs w:val="0"/>
                <w:color w:val="auto"/>
                <w:sz w:val="22"/>
                <w:szCs w:val="22"/>
                <w:u w:val="none"/>
                <w:shd w:val="clear" w:color="auto" w:fill="auto"/>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4AFBF7">
            <w:pPr>
              <w:shd w:val="clear"/>
              <w:jc w:val="center"/>
              <w:rPr>
                <w:rFonts w:hint="eastAsia" w:ascii="宋体" w:hAnsi="宋体" w:eastAsia="宋体" w:cs="宋体"/>
                <w:i w:val="0"/>
                <w:iCs w:val="0"/>
                <w:color w:val="auto"/>
                <w:sz w:val="22"/>
                <w:szCs w:val="22"/>
                <w:u w:val="none"/>
                <w:shd w:val="clear" w:color="auto" w:fill="auto"/>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14:paraId="39BD1421">
            <w:pPr>
              <w:shd w:val="clear"/>
              <w:jc w:val="center"/>
              <w:rPr>
                <w:rFonts w:hint="eastAsia" w:ascii="宋体" w:hAnsi="宋体" w:eastAsia="宋体" w:cs="宋体"/>
                <w:i w:val="0"/>
                <w:iCs w:val="0"/>
                <w:color w:val="auto"/>
                <w:sz w:val="22"/>
                <w:szCs w:val="22"/>
                <w:u w:val="none"/>
                <w:shd w:val="clear" w:color="auto" w:fill="auto"/>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F523E6">
            <w:pPr>
              <w:keepNext w:val="0"/>
              <w:keepLines w:val="0"/>
              <w:widowControl/>
              <w:suppressLineNumbers w:val="0"/>
              <w:shd w:val="clear"/>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合计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217349">
            <w:pPr>
              <w:keepNext w:val="0"/>
              <w:keepLines w:val="0"/>
              <w:widowControl/>
              <w:suppressLineNumbers w:val="0"/>
              <w:shd w:val="clear"/>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3082</w:t>
            </w:r>
            <w:r>
              <w:rPr>
                <w:rFonts w:hint="eastAsia" w:ascii="宋体" w:hAnsi="宋体" w:cs="宋体"/>
                <w:i w:val="0"/>
                <w:iCs w:val="0"/>
                <w:color w:val="auto"/>
                <w:kern w:val="0"/>
                <w:sz w:val="22"/>
                <w:szCs w:val="22"/>
                <w:u w:val="none"/>
                <w:shd w:val="clear" w:color="auto" w:fill="auto"/>
                <w:lang w:val="en-US" w:eastAsia="zh-CN" w:bidi="ar"/>
              </w:rPr>
              <w:t>.</w:t>
            </w:r>
            <w:r>
              <w:rPr>
                <w:rFonts w:hint="eastAsia" w:ascii="宋体" w:hAnsi="宋体" w:eastAsia="宋体" w:cs="宋体"/>
                <w:i w:val="0"/>
                <w:iCs w:val="0"/>
                <w:color w:val="auto"/>
                <w:kern w:val="0"/>
                <w:sz w:val="22"/>
                <w:szCs w:val="22"/>
                <w:u w:val="none"/>
                <w:shd w:val="clear" w:color="auto" w:fill="auto"/>
                <w:lang w:val="en-US" w:eastAsia="zh-CN" w:bidi="ar"/>
              </w:rPr>
              <w:t>9</w:t>
            </w:r>
            <w:r>
              <w:rPr>
                <w:rFonts w:hint="eastAsia" w:ascii="宋体" w:hAnsi="宋体" w:cs="宋体"/>
                <w:i w:val="0"/>
                <w:iCs w:val="0"/>
                <w:color w:val="auto"/>
                <w:kern w:val="0"/>
                <w:sz w:val="22"/>
                <w:szCs w:val="22"/>
                <w:u w:val="none"/>
                <w:shd w:val="clear" w:color="auto" w:fill="auto"/>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D84688">
            <w:pPr>
              <w:keepNext w:val="0"/>
              <w:keepLines w:val="0"/>
              <w:widowControl/>
              <w:suppressLineNumbers w:val="0"/>
              <w:shd w:val="clear"/>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3013</w:t>
            </w:r>
            <w:r>
              <w:rPr>
                <w:rFonts w:hint="eastAsia" w:ascii="宋体" w:hAnsi="宋体" w:cs="宋体"/>
                <w:i w:val="0"/>
                <w:iCs w:val="0"/>
                <w:color w:val="auto"/>
                <w:kern w:val="0"/>
                <w:sz w:val="22"/>
                <w:szCs w:val="22"/>
                <w:u w:val="none"/>
                <w:shd w:val="clear" w:color="auto" w:fill="auto"/>
                <w:lang w:val="en-US" w:eastAsia="zh-CN" w:bidi="ar"/>
              </w:rPr>
              <w:t>.</w:t>
            </w:r>
            <w:r>
              <w:rPr>
                <w:rFonts w:hint="eastAsia" w:ascii="宋体" w:hAnsi="宋体" w:eastAsia="宋体" w:cs="宋体"/>
                <w:i w:val="0"/>
                <w:iCs w:val="0"/>
                <w:color w:val="auto"/>
                <w:kern w:val="0"/>
                <w:sz w:val="22"/>
                <w:szCs w:val="22"/>
                <w:u w:val="none"/>
                <w:shd w:val="clear" w:color="auto" w:fill="auto"/>
                <w:lang w:val="en-US" w:eastAsia="zh-CN" w:bidi="ar"/>
              </w:rPr>
              <w:t>6</w:t>
            </w:r>
            <w:r>
              <w:rPr>
                <w:rFonts w:hint="eastAsia" w:ascii="宋体" w:hAnsi="宋体" w:cs="宋体"/>
                <w:i w:val="0"/>
                <w:iCs w:val="0"/>
                <w:color w:val="auto"/>
                <w:kern w:val="0"/>
                <w:sz w:val="22"/>
                <w:szCs w:val="22"/>
                <w:u w:val="none"/>
                <w:shd w:val="clear" w:color="auto" w:fill="auto"/>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892036">
            <w:pPr>
              <w:keepNext w:val="0"/>
              <w:keepLines w:val="0"/>
              <w:widowControl/>
              <w:suppressLineNumbers w:val="0"/>
              <w:shd w:val="clear"/>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69</w:t>
            </w:r>
            <w:r>
              <w:rPr>
                <w:rFonts w:hint="eastAsia" w:ascii="宋体" w:hAnsi="宋体" w:cs="宋体"/>
                <w:i w:val="0"/>
                <w:iCs w:val="0"/>
                <w:color w:val="auto"/>
                <w:kern w:val="0"/>
                <w:sz w:val="22"/>
                <w:szCs w:val="22"/>
                <w:u w:val="none"/>
                <w:shd w:val="clear" w:color="auto" w:fill="auto"/>
                <w:lang w:val="en-US" w:eastAsia="zh-CN" w:bidi="ar"/>
              </w:rPr>
              <w:t>.</w:t>
            </w:r>
            <w:r>
              <w:rPr>
                <w:rFonts w:hint="eastAsia" w:ascii="宋体" w:hAnsi="宋体" w:eastAsia="宋体" w:cs="宋体"/>
                <w:i w:val="0"/>
                <w:iCs w:val="0"/>
                <w:color w:val="auto"/>
                <w:kern w:val="0"/>
                <w:sz w:val="22"/>
                <w:szCs w:val="22"/>
                <w:u w:val="none"/>
                <w:shd w:val="clear" w:color="auto" w:fill="auto"/>
                <w:lang w:val="en-US" w:eastAsia="zh-CN" w:bidi="ar"/>
              </w:rPr>
              <w:t>30</w:t>
            </w: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3708B9">
            <w:pPr>
              <w:keepNext w:val="0"/>
              <w:keepLines w:val="0"/>
              <w:widowControl/>
              <w:suppressLineNumbers w:val="0"/>
              <w:shd w:val="clear"/>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0.00</w:t>
            </w: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6B1D88">
            <w:pPr>
              <w:keepNext w:val="0"/>
              <w:keepLines w:val="0"/>
              <w:widowControl/>
              <w:suppressLineNumbers w:val="0"/>
              <w:shd w:val="clear"/>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0.00</w:t>
            </w: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039CB0A">
            <w:pPr>
              <w:keepNext w:val="0"/>
              <w:keepLines w:val="0"/>
              <w:widowControl/>
              <w:suppressLineNumbers w:val="0"/>
              <w:shd w:val="clear"/>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0.00</w:t>
            </w:r>
          </w:p>
        </w:tc>
      </w:tr>
      <w:tr w14:paraId="255D5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270D8E0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2010102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5E44B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一般行政管理事务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926DB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647953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4586258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E8C3F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3F3FF0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C1664A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6B7F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808F1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2010103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8BA35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机关服务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69752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43FED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898A9B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2650B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27C0B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18214E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C41D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F438F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2010301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11790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行政运行</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339FF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1783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44AFECB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1783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DCE61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C8F2E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63578D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2DEFE7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AA8A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229FD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2010302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1469D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一般行政管理事务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147F7E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F9953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3F38B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E42D6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7940E7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DC84DD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2DD3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74A45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2010399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CFD12D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其他政府办公厅（室）及相关机构事务支出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4532840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3FB20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6D134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58586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3EFC77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6F67354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0E7F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6"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6CF72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2010699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EB12E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其他财政事务支出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EA454E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75C95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006B3A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BA079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39F18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802492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36F0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14775F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2014004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C1111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信访业务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3BCCF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1A869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DE33E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40F91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6809B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6B886AB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E2FF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FACE2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2019999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2B132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其他一般公共服务支出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609C897">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.10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FC4FFDB">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.10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60C6A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7E6BFB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C59CB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952970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4395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8D10C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2030601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A04F82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兵役征集</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7D359E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8E06E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DA9334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7045A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1184B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0D34DC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FB8B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BE1F8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2060102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2A5A4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一般行政管理事务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55AD9C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90856C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ED98E8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89B4FE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DE546F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E93088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8EFE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7DAA2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2080505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843217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机关事业单位基本养老保险缴费支出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6DA882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2D3DCB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A5FF75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4B9EA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03221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6E1CB7D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2DBB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94FC3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2080506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39B24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机关事业单位职业年金缴费支出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4894107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32605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3FD16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D327A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3B903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D3540E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1F2A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291249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2101101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744F4C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行政单位医疗</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6A323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E3F0A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A16F20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6564EB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86A2D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19E4E5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ED7D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3FEC4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2110499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BC367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其他自然生态保护支出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CD3BD3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6CA19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4C8F3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743B2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C763D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47D8B2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7748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7CC99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2120303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AF20D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小城镇基础设施建设</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5E9B2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A5338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4E3D5E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E533FF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5542A5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D5703B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3C06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5EFD22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2120501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5C6223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城乡社区环境卫生</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8BBC03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75121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38121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D4623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32527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9A49AA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258C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998C20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2130101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785698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行政运行</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4F0CBC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7B70A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0B9EE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C4599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C6F24A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E11F3F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ED62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978AB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2130126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B615C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农村社会事业</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06B044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7B3F5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28</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4D8E2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C15CC2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22C9D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DF98AD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B91C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C3FF71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2130199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19014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其他农业农村支出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01171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37</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99059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37</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C0B82E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DC394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CDEA8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66017C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F26A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9EF16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2130234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0D523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林业草原防灾减灾</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E538D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36AEB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AF9FA9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6A4328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3479F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4CD64B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676C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C5182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2130305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9B646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水利工程建设</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A906FE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64.00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3E89C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64.00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817A85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5E0CD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A99B7C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2853BB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3FB0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E743C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2130306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2DA4C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水利工程运行与维护</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6D7AB0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A6363E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15.00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47640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72A9CE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4307C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59D186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88BD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F1CC4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2130317</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721FE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水利技术推广</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67563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06314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7BA3A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71D88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544942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E119E0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3A7C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539A6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2130701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89F5F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对村级公益事业建设的补助</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CF5C35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3AEFB3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B8496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3BC2E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1E7C0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47C1AE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840C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3CBFF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2130705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05FD1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对村民委员会和村党支部的补助</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A8927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419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FC481E3">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419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.60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99CA0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2A426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CEE71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926DF8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3062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62C93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2130799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E2FD4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其他农村综合改革支出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F01D0B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69A81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3C38F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1D2E1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C47894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EC0EF7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41E3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9E14C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2210201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C2838C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住房公积金</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37362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4DCB396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70C78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958A2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C7ECF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F0F5DC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9794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1CD10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2240799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75A3D1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其他自然灾害救灾及恢复重建支出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6F74C79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3C8905D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189A32F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584266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AC0CA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C2DF04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5F66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178F5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2296002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12AF7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用于社会福利的彩票公益金支出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D9185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FBF8433">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57FC4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159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CA74B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82E629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869B50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bl>
    <w:p w14:paraId="3BB6BA31">
      <w:pPr>
        <w:shd w:val="clear"/>
        <w:spacing w:line="300" w:lineRule="auto"/>
        <w:rPr>
          <w:rFonts w:hint="eastAsia" w:ascii="仿宋" w:hAnsi="仿宋" w:eastAsia="仿宋" w:cs="仿宋"/>
          <w:color w:val="000000" w:themeColor="text1"/>
          <w:sz w:val="32"/>
          <w:szCs w:val="32"/>
          <w:u w:val="none"/>
          <w:lang w:eastAsia="zh-CN"/>
          <w14:textFill>
            <w14:solidFill>
              <w14:schemeClr w14:val="tx1"/>
            </w14:solidFill>
          </w14:textFill>
        </w:rPr>
        <w:sectPr>
          <w:pgSz w:w="16840" w:h="11910" w:orient="landscape"/>
          <w:pgMar w:top="720" w:right="720" w:bottom="720" w:left="720" w:header="720" w:footer="720" w:gutter="0"/>
          <w:pgBorders>
            <w:top w:val="none" w:sz="0" w:space="0"/>
            <w:left w:val="none" w:sz="0" w:space="0"/>
            <w:bottom w:val="none" w:sz="0" w:space="0"/>
            <w:right w:val="none" w:sz="0" w:space="0"/>
          </w:pgBorders>
          <w:cols w:space="720" w:num="1"/>
          <w:docGrid w:linePitch="299" w:charSpace="0"/>
        </w:sectPr>
      </w:pPr>
      <w:r>
        <w:rPr>
          <w:rFonts w:hint="eastAsia" w:ascii="仿宋" w:hAnsi="仿宋" w:eastAsia="仿宋" w:cs="仿宋"/>
          <w:color w:val="000000" w:themeColor="text1"/>
          <w:sz w:val="32"/>
          <w:szCs w:val="32"/>
          <w:u w:val="none"/>
          <w:lang w:eastAsia="zh-CN"/>
          <w14:textFill>
            <w14:solidFill>
              <w14:schemeClr w14:val="tx1"/>
            </w14:solidFill>
          </w14:textFill>
        </w:rPr>
        <w:t>注：本表反映部门本年度取得的各项支出情况。</w:t>
      </w:r>
    </w:p>
    <w:tbl>
      <w:tblPr>
        <w:tblStyle w:val="12"/>
        <w:tblW w:w="16056" w:type="dxa"/>
        <w:tblInd w:w="-3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45"/>
        <w:gridCol w:w="889"/>
        <w:gridCol w:w="1227"/>
        <w:gridCol w:w="3630"/>
        <w:gridCol w:w="766"/>
        <w:gridCol w:w="1268"/>
        <w:gridCol w:w="1103"/>
        <w:gridCol w:w="1673"/>
        <w:gridCol w:w="2155"/>
      </w:tblGrid>
      <w:tr w14:paraId="0CE23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16056" w:type="dxa"/>
            <w:gridSpan w:val="9"/>
            <w:tcBorders>
              <w:top w:val="nil"/>
              <w:left w:val="nil"/>
              <w:bottom w:val="nil"/>
              <w:right w:val="nil"/>
            </w:tcBorders>
            <w:shd w:val="clear" w:color="auto" w:fill="auto"/>
            <w:noWrap/>
            <w:vAlign w:val="center"/>
          </w:tcPr>
          <w:p w14:paraId="14909D1C">
            <w:pPr>
              <w:keepNext w:val="0"/>
              <w:keepLines w:val="0"/>
              <w:widowControl/>
              <w:suppressLineNumbers w:val="0"/>
              <w:shd w:val="clear"/>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bCs/>
                <w:color w:val="000000" w:themeColor="text1"/>
                <w:sz w:val="40"/>
                <w:szCs w:val="40"/>
                <w:u w:val="none"/>
                <w:lang w:eastAsia="zh-CN"/>
                <w14:textFill>
                  <w14:solidFill>
                    <w14:schemeClr w14:val="tx1"/>
                  </w14:solidFill>
                </w14:textFill>
              </w:rPr>
              <w:t>财政拨款</w:t>
            </w:r>
            <w:r>
              <w:rPr>
                <w:rFonts w:hint="eastAsia" w:ascii="宋体" w:hAnsi="宋体" w:eastAsia="宋体" w:cs="宋体"/>
                <w:b/>
                <w:bCs/>
                <w:color w:val="000000" w:themeColor="text1"/>
                <w:sz w:val="40"/>
                <w:szCs w:val="40"/>
                <w:u w:val="none"/>
                <w:lang w:val="en-US" w:eastAsia="zh-CN"/>
                <w14:textFill>
                  <w14:solidFill>
                    <w14:schemeClr w14:val="tx1"/>
                  </w14:solidFill>
                </w14:textFill>
              </w:rPr>
              <w:t>收入</w:t>
            </w:r>
            <w:r>
              <w:rPr>
                <w:rFonts w:hint="eastAsia" w:ascii="宋体" w:hAnsi="宋体" w:eastAsia="宋体" w:cs="宋体"/>
                <w:b/>
                <w:bCs/>
                <w:color w:val="000000" w:themeColor="text1"/>
                <w:sz w:val="40"/>
                <w:szCs w:val="40"/>
                <w:u w:val="none"/>
                <w:lang w:eastAsia="zh-CN"/>
                <w14:textFill>
                  <w14:solidFill>
                    <w14:schemeClr w14:val="tx1"/>
                  </w14:solidFill>
                </w14:textFill>
              </w:rPr>
              <w:t>支出决算表</w:t>
            </w:r>
          </w:p>
        </w:tc>
      </w:tr>
      <w:tr w14:paraId="23E24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3345" w:type="dxa"/>
            <w:tcBorders>
              <w:top w:val="nil"/>
              <w:left w:val="nil"/>
              <w:bottom w:val="nil"/>
              <w:right w:val="nil"/>
            </w:tcBorders>
            <w:shd w:val="clear" w:color="auto" w:fill="auto"/>
            <w:noWrap/>
            <w:vAlign w:val="center"/>
          </w:tcPr>
          <w:p w14:paraId="1986E073">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nil"/>
              <w:left w:val="nil"/>
              <w:bottom w:val="nil"/>
              <w:right w:val="nil"/>
            </w:tcBorders>
            <w:shd w:val="clear" w:color="auto" w:fill="auto"/>
            <w:noWrap/>
            <w:vAlign w:val="center"/>
          </w:tcPr>
          <w:p w14:paraId="3DF4E795">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27" w:type="dxa"/>
            <w:tcBorders>
              <w:top w:val="nil"/>
              <w:left w:val="nil"/>
              <w:bottom w:val="nil"/>
              <w:right w:val="nil"/>
            </w:tcBorders>
            <w:shd w:val="clear" w:color="auto" w:fill="auto"/>
            <w:noWrap/>
            <w:vAlign w:val="center"/>
          </w:tcPr>
          <w:p w14:paraId="5342098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nil"/>
              <w:left w:val="nil"/>
              <w:bottom w:val="nil"/>
              <w:right w:val="nil"/>
            </w:tcBorders>
            <w:shd w:val="clear" w:color="auto" w:fill="auto"/>
            <w:noWrap/>
            <w:vAlign w:val="center"/>
          </w:tcPr>
          <w:p w14:paraId="644EF21F">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tcBorders>
              <w:top w:val="nil"/>
              <w:left w:val="nil"/>
              <w:bottom w:val="nil"/>
              <w:right w:val="nil"/>
            </w:tcBorders>
            <w:shd w:val="clear" w:color="auto" w:fill="auto"/>
            <w:noWrap/>
            <w:vAlign w:val="center"/>
          </w:tcPr>
          <w:p w14:paraId="5B73714F">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68" w:type="dxa"/>
            <w:tcBorders>
              <w:top w:val="nil"/>
              <w:left w:val="nil"/>
              <w:bottom w:val="nil"/>
              <w:right w:val="nil"/>
            </w:tcBorders>
            <w:shd w:val="clear" w:color="auto" w:fill="auto"/>
            <w:noWrap/>
            <w:vAlign w:val="center"/>
          </w:tcPr>
          <w:p w14:paraId="177F7045">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nil"/>
              <w:left w:val="nil"/>
              <w:bottom w:val="nil"/>
              <w:right w:val="nil"/>
            </w:tcBorders>
            <w:shd w:val="clear" w:color="auto" w:fill="auto"/>
            <w:noWrap/>
            <w:vAlign w:val="center"/>
          </w:tcPr>
          <w:p w14:paraId="58AF742E">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nil"/>
              <w:left w:val="nil"/>
              <w:bottom w:val="nil"/>
              <w:right w:val="nil"/>
            </w:tcBorders>
            <w:shd w:val="clear" w:color="auto" w:fill="auto"/>
            <w:noWrap/>
            <w:vAlign w:val="center"/>
          </w:tcPr>
          <w:p w14:paraId="7F33368A">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nil"/>
              <w:left w:val="nil"/>
              <w:bottom w:val="nil"/>
              <w:right w:val="nil"/>
            </w:tcBorders>
            <w:shd w:val="clear" w:color="auto" w:fill="auto"/>
            <w:noWrap/>
            <w:vAlign w:val="center"/>
          </w:tcPr>
          <w:p w14:paraId="1BBC8B8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公开  04表</w:t>
            </w:r>
          </w:p>
        </w:tc>
      </w:tr>
      <w:tr w14:paraId="02E0A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 w:hRule="atLeast"/>
        </w:trPr>
        <w:tc>
          <w:tcPr>
            <w:tcW w:w="3345" w:type="dxa"/>
            <w:tcBorders>
              <w:top w:val="nil"/>
              <w:left w:val="nil"/>
              <w:bottom w:val="nil"/>
              <w:right w:val="nil"/>
            </w:tcBorders>
            <w:shd w:val="clear" w:color="auto" w:fill="auto"/>
            <w:noWrap/>
            <w:vAlign w:val="bottom"/>
          </w:tcPr>
          <w:p w14:paraId="573679B7">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889" w:type="dxa"/>
            <w:tcBorders>
              <w:top w:val="nil"/>
              <w:left w:val="nil"/>
              <w:bottom w:val="nil"/>
              <w:right w:val="nil"/>
            </w:tcBorders>
            <w:shd w:val="clear" w:color="auto" w:fill="auto"/>
            <w:noWrap/>
            <w:vAlign w:val="center"/>
          </w:tcPr>
          <w:p w14:paraId="3696F6F4">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27" w:type="dxa"/>
            <w:tcBorders>
              <w:top w:val="nil"/>
              <w:left w:val="nil"/>
              <w:bottom w:val="nil"/>
              <w:right w:val="nil"/>
            </w:tcBorders>
            <w:shd w:val="clear" w:color="auto" w:fill="auto"/>
            <w:noWrap/>
            <w:vAlign w:val="center"/>
          </w:tcPr>
          <w:p w14:paraId="6C5DD516">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nil"/>
              <w:left w:val="nil"/>
              <w:bottom w:val="nil"/>
              <w:right w:val="nil"/>
            </w:tcBorders>
            <w:shd w:val="clear" w:color="auto" w:fill="auto"/>
            <w:noWrap/>
            <w:vAlign w:val="center"/>
          </w:tcPr>
          <w:p w14:paraId="4090085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tcBorders>
              <w:top w:val="nil"/>
              <w:left w:val="nil"/>
              <w:bottom w:val="nil"/>
              <w:right w:val="nil"/>
            </w:tcBorders>
            <w:shd w:val="clear" w:color="auto" w:fill="auto"/>
            <w:noWrap/>
            <w:vAlign w:val="center"/>
          </w:tcPr>
          <w:p w14:paraId="487CD1B0">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68" w:type="dxa"/>
            <w:tcBorders>
              <w:top w:val="nil"/>
              <w:left w:val="nil"/>
              <w:bottom w:val="nil"/>
              <w:right w:val="nil"/>
            </w:tcBorders>
            <w:shd w:val="clear" w:color="auto" w:fill="auto"/>
            <w:noWrap/>
            <w:vAlign w:val="bottom"/>
          </w:tcPr>
          <w:p w14:paraId="134B1801">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103" w:type="dxa"/>
            <w:tcBorders>
              <w:top w:val="nil"/>
              <w:left w:val="nil"/>
              <w:bottom w:val="nil"/>
              <w:right w:val="nil"/>
            </w:tcBorders>
            <w:shd w:val="clear" w:color="auto" w:fill="auto"/>
            <w:noWrap/>
            <w:vAlign w:val="center"/>
          </w:tcPr>
          <w:p w14:paraId="3F76786E">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nil"/>
              <w:left w:val="nil"/>
              <w:bottom w:val="nil"/>
              <w:right w:val="nil"/>
            </w:tcBorders>
            <w:shd w:val="clear" w:color="auto" w:fill="auto"/>
            <w:noWrap/>
            <w:vAlign w:val="center"/>
          </w:tcPr>
          <w:p w14:paraId="3B4924FD">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nil"/>
              <w:left w:val="nil"/>
              <w:bottom w:val="nil"/>
              <w:right w:val="nil"/>
            </w:tcBorders>
            <w:shd w:val="clear" w:color="auto" w:fill="auto"/>
            <w:noWrap/>
            <w:vAlign w:val="center"/>
          </w:tcPr>
          <w:p w14:paraId="4A64B7E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单位：万元</w:t>
            </w:r>
          </w:p>
        </w:tc>
      </w:tr>
      <w:tr w14:paraId="583C8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5461"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14:paraId="0C0D3BE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收     入</w:t>
            </w:r>
          </w:p>
        </w:tc>
        <w:tc>
          <w:tcPr>
            <w:tcW w:w="10595" w:type="dxa"/>
            <w:gridSpan w:val="6"/>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CB141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支     出</w:t>
            </w:r>
          </w:p>
        </w:tc>
      </w:tr>
      <w:tr w14:paraId="06E6E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trPr>
        <w:tc>
          <w:tcPr>
            <w:tcW w:w="334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51DFD7E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项    目</w:t>
            </w:r>
          </w:p>
        </w:tc>
        <w:tc>
          <w:tcPr>
            <w:tcW w:w="889"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1DA6508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行次</w:t>
            </w:r>
          </w:p>
        </w:tc>
        <w:tc>
          <w:tcPr>
            <w:tcW w:w="1227"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393B6EE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金额</w:t>
            </w:r>
          </w:p>
        </w:tc>
        <w:tc>
          <w:tcPr>
            <w:tcW w:w="36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1D41C50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项目</w:t>
            </w:r>
          </w:p>
        </w:tc>
        <w:tc>
          <w:tcPr>
            <w:tcW w:w="76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7B26D14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行次</w:t>
            </w:r>
          </w:p>
        </w:tc>
        <w:tc>
          <w:tcPr>
            <w:tcW w:w="6199" w:type="dxa"/>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14:paraId="28E91C0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决算数</w:t>
            </w:r>
          </w:p>
        </w:tc>
      </w:tr>
      <w:tr w14:paraId="18561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334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0975B726">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57E5ED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27"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6E62AE8">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B883C2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722AC1C">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5E5B1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合计</w:t>
            </w:r>
          </w:p>
        </w:tc>
        <w:tc>
          <w:tcPr>
            <w:tcW w:w="1103" w:type="dxa"/>
            <w:tcBorders>
              <w:top w:val="single" w:color="D4D4D4" w:sz="4" w:space="0"/>
              <w:left w:val="single" w:color="D4D4D4" w:sz="4" w:space="0"/>
              <w:bottom w:val="single" w:color="D4D4D4" w:sz="4" w:space="0"/>
              <w:right w:val="single" w:color="D4D4D4" w:sz="4" w:space="0"/>
            </w:tcBorders>
            <w:shd w:val="clear" w:color="auto" w:fill="auto"/>
            <w:vAlign w:val="center"/>
          </w:tcPr>
          <w:p w14:paraId="65F8ABF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一般公共预算财政拨款</w:t>
            </w:r>
          </w:p>
        </w:tc>
        <w:tc>
          <w:tcPr>
            <w:tcW w:w="1673" w:type="dxa"/>
            <w:tcBorders>
              <w:top w:val="single" w:color="D4D4D4" w:sz="4" w:space="0"/>
              <w:left w:val="single" w:color="D4D4D4" w:sz="4" w:space="0"/>
              <w:bottom w:val="single" w:color="D4D4D4" w:sz="4" w:space="0"/>
              <w:right w:val="single" w:color="D4D4D4" w:sz="4" w:space="0"/>
            </w:tcBorders>
            <w:shd w:val="clear" w:color="auto" w:fill="auto"/>
            <w:vAlign w:val="center"/>
          </w:tcPr>
          <w:p w14:paraId="3BD0D11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政府性基金预算财政拨款</w:t>
            </w:r>
          </w:p>
        </w:tc>
        <w:tc>
          <w:tcPr>
            <w:tcW w:w="2155" w:type="dxa"/>
            <w:tcBorders>
              <w:top w:val="single" w:color="D4D4D4" w:sz="4" w:space="0"/>
              <w:left w:val="single" w:color="D4D4D4" w:sz="4" w:space="0"/>
              <w:bottom w:val="single" w:color="D4D4D4" w:sz="4" w:space="0"/>
              <w:right w:val="single" w:color="D4D4D4" w:sz="12" w:space="0"/>
            </w:tcBorders>
            <w:shd w:val="clear" w:color="auto" w:fill="auto"/>
            <w:vAlign w:val="center"/>
          </w:tcPr>
          <w:p w14:paraId="6D3A7D45">
            <w:pPr>
              <w:keepNext w:val="0"/>
              <w:keepLines w:val="0"/>
              <w:widowControl/>
              <w:suppressLineNumbers w:val="0"/>
              <w:shd w:val="clear"/>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国有资本经营</w:t>
            </w:r>
          </w:p>
          <w:p w14:paraId="099D811E">
            <w:pPr>
              <w:keepNext w:val="0"/>
              <w:keepLines w:val="0"/>
              <w:widowControl/>
              <w:suppressLineNumbers w:val="0"/>
              <w:shd w:val="clear"/>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预算</w:t>
            </w:r>
          </w:p>
          <w:p w14:paraId="6EC93CF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财政拨款</w:t>
            </w:r>
          </w:p>
        </w:tc>
      </w:tr>
      <w:tr w14:paraId="7FE34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577CD2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栏    次</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CC4D669">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34727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C79BAF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栏    次</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A11BB8">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3656A0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538CD5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F2337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w:t>
            </w: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67286E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p>
        </w:tc>
      </w:tr>
      <w:tr w14:paraId="23DEE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ACBE90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一、一般公共预算财政拨款</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EDA29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338673">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2322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.23</w:t>
            </w: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006C6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一、一般公共服务支出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61B696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33</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95A6D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1301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85</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9A193C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1301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85</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D0988A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0DF23F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C877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40BD9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二、政府性基金预算财政拨款</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D7D4D0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17D4C8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7DDF51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二、外交支出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325CBD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34</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7C8489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88307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D8825F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DA4C45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B462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8A2F3F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三、国有资本经营预算财政拨款</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30CF0B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AB0F13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67EA1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三、国防支出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AAF7D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35</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7F70CA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964C60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2</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9C5DDD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3E72B7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FBC8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7B23E4">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62933A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201A4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38AB7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四、公共安全支出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8648F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36</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309C7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089DD0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7CF979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D10960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00CB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CAB748F">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4193D7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99918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16172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五、教育支出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DD13D2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37</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0D18C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EA092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01055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E29CFD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F544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788A09">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98E34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206A4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93D04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六、科学技术支出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ABBD7B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38</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A7A12E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EF9ED6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1DE01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B44E8E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2BE8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6145DA">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42A16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76D68A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33EC8F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七、文化旅游体育与传媒支出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9C8548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D5C2C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0444E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4277F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48EA2D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1F95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1D88D42">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E4F22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FDF47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02775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八、社会保障和就业支出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ED613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40</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00E25C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75</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E29FAD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75</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77523A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1A2E80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D4E4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C1257F3">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2C28C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A52956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A635D0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九、卫生健康支出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FE2E8C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41</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0F7089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D9792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60</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8</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166CB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0E5F8E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4539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FF73B9C">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1546A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1404B3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B0D5F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十、节能环保支出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16291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42</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3C05D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8.00</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6CECD0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8.00</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4AF93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01759B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742A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51E7CB">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13192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11</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AC8C7C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46A04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十一、城乡社区支出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B450BD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43</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30C55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8B6C8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44</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574FB2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1DB9DD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7D47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D4B64A5">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F0845E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12</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738F55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9C8F4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十二、农林水支出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966B9C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44</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B4AB87">
            <w:pPr>
              <w:keepNext w:val="0"/>
              <w:keepLines w:val="0"/>
              <w:widowControl/>
              <w:suppressLineNumbers w:val="0"/>
              <w:shd w:val="clear"/>
              <w:jc w:val="righ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649.99</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4F5BF2A">
            <w:pPr>
              <w:keepNext w:val="0"/>
              <w:keepLines w:val="0"/>
              <w:widowControl/>
              <w:suppressLineNumbers w:val="0"/>
              <w:shd w:val="clear"/>
              <w:jc w:val="righ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649.99</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82DEC4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3E678B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C114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FCB7BA">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CAD944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89369A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47FFDC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十三、交通运输支出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87EFD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45</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6D5F1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C89165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28906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336DF3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5193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2200C71">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E8A86B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9C003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3BB036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十四、资源勘探工业信息等支出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63EDC7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46</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10D51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8CE3D2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ACBC5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157F71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AECE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C0ADD70">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DC59B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15</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7A90D2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A4D80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十五、商业服务业等支出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BE8E06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47</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74B71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3A861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14EE6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BCC78F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ED88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10D8CB">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58FE0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16</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FF3887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F21EA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十六、金融支出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B1ED4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48</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864EDF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8A2396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73A545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4F64C9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E719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DE6B0D0">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DFB1D8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44EDBD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D768A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十七、援助其他地区支出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7638E0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49</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C821C8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FAB10C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76A55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8B061A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852A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25F417E">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FBCF3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7B0C7F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CD94AE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十八、自然资源海洋气象等支出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682DF1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F29667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572DA2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748EF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65FA3B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11DF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7FD287">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9B900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19</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6DFCF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3D0A6D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十九、住房保障支出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9724D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51</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BBFEE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46</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9C84F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46</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DEC86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7DF309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515E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B4D2BC">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35DE0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0C71C5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60527E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二十、粮油物资储备支出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D5AB83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52</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E58134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64CBB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1A72B6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9F2FFC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EA93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6104FC3">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2ED903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21</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7A51D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61797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二十一、国有资本经营预算支出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D0813C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53</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97A9A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911F7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C3A59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8C8515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E9AC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9C35A2F">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AC3B16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1982DB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F5F472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二十二、灾害防治及应急管理支出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1DD38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54</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25F7F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20.00</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42F20B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20.00</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E24A36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4E7CB9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91BF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2E889D">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75E1A0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0195A0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3BCCFD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二十三、其他支出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6A40A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55</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5E0878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867F86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B674C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B608C0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CD98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2482CF8">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9B9A8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24</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BD24D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F0CF1A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二十四、债务还本支出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E18A3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56</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57943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D53B12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2D175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82AF05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959E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913280F">
            <w:pPr>
              <w:shd w:val="clear"/>
              <w:jc w:val="center"/>
              <w:rPr>
                <w:rFonts w:hint="eastAsia" w:ascii="宋体" w:hAnsi="宋体" w:eastAsia="宋体" w:cs="宋体"/>
                <w:b/>
                <w:bCs/>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C42976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25</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AC5672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263BC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二十五、债务付息支出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D7DC9F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57</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021724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45D3D2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40EA66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286E95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FB83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1D347E5">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05063C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26</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E29D53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110254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二十六、抗疫特别国债安排的支出</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72306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58</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4E70B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A6B1F1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B11428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5DC6650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AC14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0139C5F">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14:textFill>
                  <w14:solidFill>
                    <w14:schemeClr w14:val="tx1"/>
                  </w14:solidFill>
                </w14:textFill>
              </w:rPr>
            </w:pPr>
            <w:r>
              <w:rPr>
                <w:rFonts w:hint="eastAsia" w:ascii="宋体" w:hAnsi="宋体" w:eastAsia="宋体" w:cs="宋体"/>
                <w:b/>
                <w:bCs/>
                <w:i w:val="0"/>
                <w:iCs w:val="0"/>
                <w:color w:val="000000" w:themeColor="text1"/>
                <w:kern w:val="0"/>
                <w:sz w:val="22"/>
                <w:szCs w:val="22"/>
                <w:u w:val="none"/>
                <w:lang w:val="en-US" w:eastAsia="zh-CN" w:bidi="ar"/>
                <w14:textFill>
                  <w14:solidFill>
                    <w14:schemeClr w14:val="tx1"/>
                  </w14:solidFill>
                </w14:textFill>
              </w:rPr>
              <w:t>本年收入合计</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B09A0B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27</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5E3F38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2391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CF127A">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14:textFill>
                  <w14:solidFill>
                    <w14:schemeClr w14:val="tx1"/>
                  </w14:solidFill>
                </w14:textFill>
              </w:rPr>
            </w:pPr>
            <w:r>
              <w:rPr>
                <w:rFonts w:hint="eastAsia" w:ascii="宋体" w:hAnsi="宋体" w:eastAsia="宋体" w:cs="宋体"/>
                <w:b/>
                <w:bCs/>
                <w:i w:val="0"/>
                <w:iCs w:val="0"/>
                <w:color w:val="000000" w:themeColor="text1"/>
                <w:kern w:val="0"/>
                <w:sz w:val="22"/>
                <w:szCs w:val="22"/>
                <w:u w:val="none"/>
                <w:lang w:val="en-US" w:eastAsia="zh-CN" w:bidi="ar"/>
                <w14:textFill>
                  <w14:solidFill>
                    <w14:schemeClr w14:val="tx1"/>
                  </w14:solidFill>
                </w14:textFill>
              </w:rPr>
              <w:t>本年支出合计</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1425C6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85</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E36268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2391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97CF5F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2322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C05568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46B7DA6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9604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173AC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年初财政拨款结转和结余</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8340F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28</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DDAF62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37D6BB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年末财政拨款结转和结余</w:t>
            </w: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B6D7B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86</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97E989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299CA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C7009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7F1E3C5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24EA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060F58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一、一般公共预算财政拨款</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3ADBA2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29</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0718B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4666C32">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24750B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87</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2C8E34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E059A8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0AB0B2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1ECE477D">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02C6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269F47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二、政府性基金预算财政拨款</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B9E44D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C5F601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CEEC1F5">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17EA9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88</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AD3EB7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E9FDF4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010572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21BD40AB">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92CC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6DD1AF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三、国有资本经营预算财政拨款</w:t>
            </w:r>
          </w:p>
        </w:tc>
        <w:tc>
          <w:tcPr>
            <w:tcW w:w="88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8B46B9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w:t>
            </w:r>
          </w:p>
        </w:tc>
        <w:tc>
          <w:tcPr>
            <w:tcW w:w="122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A600EF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F8EE98F">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F13792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89</w:t>
            </w:r>
          </w:p>
        </w:tc>
        <w:tc>
          <w:tcPr>
            <w:tcW w:w="126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4BDA354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14009F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E96715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0A82B2EC">
            <w:pPr>
              <w:shd w:val="clear"/>
              <w:jc w:val="lef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324A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45"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61ED0708">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14:textFill>
                  <w14:solidFill>
                    <w14:schemeClr w14:val="tx1"/>
                  </w14:solidFill>
                </w14:textFill>
              </w:rPr>
            </w:pPr>
            <w:r>
              <w:rPr>
                <w:rFonts w:hint="eastAsia" w:ascii="宋体" w:hAnsi="宋体" w:eastAsia="宋体" w:cs="宋体"/>
                <w:b/>
                <w:bCs/>
                <w:i w:val="0"/>
                <w:iCs w:val="0"/>
                <w:color w:val="000000" w:themeColor="text1"/>
                <w:kern w:val="0"/>
                <w:sz w:val="22"/>
                <w:szCs w:val="22"/>
                <w:u w:val="none"/>
                <w:lang w:val="en-US" w:eastAsia="zh-CN" w:bidi="ar"/>
                <w14:textFill>
                  <w14:solidFill>
                    <w14:schemeClr w14:val="tx1"/>
                  </w14:solidFill>
                </w14:textFill>
              </w:rPr>
              <w:t>总计</w:t>
            </w:r>
          </w:p>
        </w:tc>
        <w:tc>
          <w:tcPr>
            <w:tcW w:w="889"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48966F6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32</w:t>
            </w:r>
          </w:p>
        </w:tc>
        <w:tc>
          <w:tcPr>
            <w:tcW w:w="1227"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4F5C741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2391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3630"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79113A0A">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14:textFill>
                  <w14:solidFill>
                    <w14:schemeClr w14:val="tx1"/>
                  </w14:solidFill>
                </w14:textFill>
              </w:rPr>
            </w:pPr>
            <w:r>
              <w:rPr>
                <w:rFonts w:hint="eastAsia" w:ascii="宋体" w:hAnsi="宋体" w:eastAsia="宋体" w:cs="宋体"/>
                <w:b/>
                <w:bCs/>
                <w:i w:val="0"/>
                <w:iCs w:val="0"/>
                <w:color w:val="000000" w:themeColor="text1"/>
                <w:kern w:val="0"/>
                <w:sz w:val="22"/>
                <w:szCs w:val="22"/>
                <w:u w:val="none"/>
                <w:lang w:val="en-US" w:eastAsia="zh-CN" w:bidi="ar"/>
                <w14:textFill>
                  <w14:solidFill>
                    <w14:schemeClr w14:val="tx1"/>
                  </w14:solidFill>
                </w14:textFill>
              </w:rPr>
              <w:t>总计</w:t>
            </w:r>
          </w:p>
        </w:tc>
        <w:tc>
          <w:tcPr>
            <w:tcW w:w="766"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3EC860A7">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90</w:t>
            </w:r>
          </w:p>
        </w:tc>
        <w:tc>
          <w:tcPr>
            <w:tcW w:w="1268"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6B8725B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2391</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1103"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51B0134E">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2322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3</w:t>
            </w:r>
          </w:p>
        </w:tc>
        <w:tc>
          <w:tcPr>
            <w:tcW w:w="1673"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14:paraId="4C5D956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w:t>
            </w:r>
          </w:p>
        </w:tc>
        <w:tc>
          <w:tcPr>
            <w:tcW w:w="2155" w:type="dxa"/>
            <w:tcBorders>
              <w:top w:val="single" w:color="D4D4D4" w:sz="4" w:space="0"/>
              <w:left w:val="single" w:color="D4D4D4" w:sz="4" w:space="0"/>
              <w:bottom w:val="single" w:color="D4D4D4" w:sz="12" w:space="0"/>
              <w:right w:val="single" w:color="D4D4D4" w:sz="12" w:space="0"/>
            </w:tcBorders>
            <w:shd w:val="clear" w:color="auto" w:fill="auto"/>
            <w:noWrap/>
            <w:vAlign w:val="center"/>
          </w:tcPr>
          <w:p w14:paraId="4E9A638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bl>
    <w:p w14:paraId="111DFECE">
      <w:pPr>
        <w:pStyle w:val="5"/>
        <w:shd w:val="clear"/>
        <w:rPr>
          <w:rFonts w:hint="eastAsia" w:ascii="仿宋" w:hAnsi="仿宋" w:eastAsia="仿宋" w:cs="仿宋"/>
          <w:color w:val="000000" w:themeColor="text1"/>
          <w:sz w:val="32"/>
          <w:szCs w:val="32"/>
          <w:u w:val="none"/>
          <w:lang w:eastAsia="zh-CN"/>
          <w14:textFill>
            <w14:solidFill>
              <w14:schemeClr w14:val="tx1"/>
            </w14:solidFill>
          </w14:textFill>
        </w:rPr>
      </w:pPr>
    </w:p>
    <w:p w14:paraId="35CF48B3">
      <w:pPr>
        <w:pStyle w:val="5"/>
        <w:shd w:val="clear"/>
        <w:rPr>
          <w:rFonts w:hint="eastAsia" w:ascii="黑体" w:hAnsi="宋体" w:eastAsia="黑体" w:cs="黑体"/>
          <w:i w:val="0"/>
          <w:iCs w:val="0"/>
          <w:color w:val="000000" w:themeColor="text1"/>
          <w:kern w:val="0"/>
          <w:sz w:val="30"/>
          <w:szCs w:val="30"/>
          <w:u w:val="none"/>
          <w:lang w:val="en-US" w:eastAsia="zh-CN" w:bidi="ar"/>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注：本表反映部门本年度一般公共预算财政拨款和政府性基金预算财政拨款的总收支和年末结转结余情况。</w:t>
      </w:r>
    </w:p>
    <w:p w14:paraId="0FC64BA3">
      <w:pPr>
        <w:pStyle w:val="5"/>
        <w:shd w:val="clear"/>
        <w:rPr>
          <w:rFonts w:hint="eastAsia" w:ascii="仿宋" w:hAnsi="仿宋" w:eastAsia="仿宋" w:cs="仿宋"/>
          <w:color w:val="000000" w:themeColor="text1"/>
          <w:sz w:val="32"/>
          <w:szCs w:val="32"/>
          <w:u w:val="none"/>
          <w:lang w:eastAsia="zh-CN"/>
          <w14:textFill>
            <w14:solidFill>
              <w14:schemeClr w14:val="tx1"/>
            </w14:solidFill>
          </w14:textFill>
        </w:rPr>
      </w:pPr>
    </w:p>
    <w:tbl>
      <w:tblPr>
        <w:tblW w:w="15487"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436"/>
        <w:gridCol w:w="436"/>
        <w:gridCol w:w="436"/>
        <w:gridCol w:w="1715"/>
        <w:gridCol w:w="783"/>
        <w:gridCol w:w="854"/>
        <w:gridCol w:w="1056"/>
        <w:gridCol w:w="1126"/>
        <w:gridCol w:w="1081"/>
        <w:gridCol w:w="839"/>
        <w:gridCol w:w="1582"/>
        <w:gridCol w:w="794"/>
        <w:gridCol w:w="811"/>
        <w:gridCol w:w="645"/>
        <w:gridCol w:w="758"/>
        <w:gridCol w:w="804"/>
        <w:gridCol w:w="1331"/>
      </w:tblGrid>
      <w:tr w14:paraId="533D0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5487" w:type="dxa"/>
            <w:gridSpan w:val="17"/>
            <w:tcBorders>
              <w:top w:val="nil"/>
              <w:left w:val="nil"/>
              <w:bottom w:val="nil"/>
              <w:right w:val="nil"/>
            </w:tcBorders>
            <w:shd w:val="clear" w:color="auto" w:fill="auto"/>
            <w:noWrap/>
            <w:vAlign w:val="bottom"/>
          </w:tcPr>
          <w:p w14:paraId="0A9790CB">
            <w:pPr>
              <w:keepNext w:val="0"/>
              <w:keepLines w:val="0"/>
              <w:widowControl/>
              <w:suppressLineNumbers w:val="0"/>
              <w:shd w:val="clear"/>
              <w:jc w:val="center"/>
              <w:textAlignment w:val="bottom"/>
              <w:rPr>
                <w:rFonts w:ascii="黑体" w:hAnsi="宋体" w:eastAsia="黑体" w:cs="黑体"/>
                <w:i w:val="0"/>
                <w:iCs w:val="0"/>
                <w:color w:val="000000" w:themeColor="text1"/>
                <w:sz w:val="30"/>
                <w:szCs w:val="30"/>
                <w:u w:val="none"/>
                <w14:textFill>
                  <w14:solidFill>
                    <w14:schemeClr w14:val="tx1"/>
                  </w14:solidFill>
                </w14:textFill>
              </w:rPr>
            </w:pPr>
            <w:r>
              <w:rPr>
                <w:rFonts w:hint="eastAsia" w:ascii="黑体" w:hAnsi="宋体" w:eastAsia="黑体" w:cs="黑体"/>
                <w:i w:val="0"/>
                <w:iCs w:val="0"/>
                <w:color w:val="000000" w:themeColor="text1"/>
                <w:kern w:val="0"/>
                <w:sz w:val="32"/>
                <w:szCs w:val="32"/>
                <w:u w:val="none"/>
                <w:bdr w:val="none" w:color="auto" w:sz="0" w:space="0"/>
                <w:lang w:val="en-US" w:eastAsia="zh-CN" w:bidi="ar"/>
                <w14:textFill>
                  <w14:solidFill>
                    <w14:schemeClr w14:val="tx1"/>
                  </w14:solidFill>
                </w14:textFill>
              </w:rPr>
              <w:t>一般公共预算财政拨款收入支出决算表</w:t>
            </w:r>
          </w:p>
        </w:tc>
      </w:tr>
      <w:tr w14:paraId="19FC5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436" w:type="dxa"/>
            <w:tcBorders>
              <w:top w:val="nil"/>
              <w:left w:val="nil"/>
              <w:bottom w:val="nil"/>
              <w:right w:val="nil"/>
            </w:tcBorders>
            <w:shd w:val="clear" w:color="auto" w:fill="auto"/>
            <w:noWrap/>
            <w:vAlign w:val="center"/>
          </w:tcPr>
          <w:p w14:paraId="77834638">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14:paraId="4CCFF00C">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14:paraId="61E14830">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15" w:type="dxa"/>
            <w:tcBorders>
              <w:top w:val="nil"/>
              <w:left w:val="nil"/>
              <w:bottom w:val="nil"/>
              <w:right w:val="nil"/>
            </w:tcBorders>
            <w:shd w:val="clear" w:color="auto" w:fill="auto"/>
            <w:noWrap/>
            <w:vAlign w:val="center"/>
          </w:tcPr>
          <w:p w14:paraId="6AB9325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83" w:type="dxa"/>
            <w:tcBorders>
              <w:top w:val="nil"/>
              <w:left w:val="nil"/>
              <w:bottom w:val="nil"/>
              <w:right w:val="nil"/>
            </w:tcBorders>
            <w:shd w:val="clear" w:color="auto" w:fill="auto"/>
            <w:noWrap/>
            <w:vAlign w:val="center"/>
          </w:tcPr>
          <w:p w14:paraId="77E68F06">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54" w:type="dxa"/>
            <w:tcBorders>
              <w:top w:val="nil"/>
              <w:left w:val="nil"/>
              <w:bottom w:val="nil"/>
              <w:right w:val="nil"/>
            </w:tcBorders>
            <w:shd w:val="clear" w:color="auto" w:fill="auto"/>
            <w:noWrap/>
            <w:vAlign w:val="center"/>
          </w:tcPr>
          <w:p w14:paraId="383229EF">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56" w:type="dxa"/>
            <w:tcBorders>
              <w:top w:val="nil"/>
              <w:left w:val="nil"/>
              <w:bottom w:val="nil"/>
              <w:right w:val="nil"/>
            </w:tcBorders>
            <w:shd w:val="clear" w:color="auto" w:fill="auto"/>
            <w:noWrap/>
            <w:vAlign w:val="center"/>
          </w:tcPr>
          <w:p w14:paraId="4314714A">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26" w:type="dxa"/>
            <w:tcBorders>
              <w:top w:val="nil"/>
              <w:left w:val="nil"/>
              <w:bottom w:val="nil"/>
              <w:right w:val="nil"/>
            </w:tcBorders>
            <w:shd w:val="clear" w:color="auto" w:fill="auto"/>
            <w:noWrap/>
            <w:vAlign w:val="center"/>
          </w:tcPr>
          <w:p w14:paraId="12233464">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81" w:type="dxa"/>
            <w:tcBorders>
              <w:top w:val="nil"/>
              <w:left w:val="nil"/>
              <w:bottom w:val="nil"/>
              <w:right w:val="nil"/>
            </w:tcBorders>
            <w:shd w:val="clear" w:color="auto" w:fill="auto"/>
            <w:noWrap/>
            <w:vAlign w:val="center"/>
          </w:tcPr>
          <w:p w14:paraId="5C2B8417">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39" w:type="dxa"/>
            <w:tcBorders>
              <w:top w:val="nil"/>
              <w:left w:val="nil"/>
              <w:bottom w:val="nil"/>
              <w:right w:val="nil"/>
            </w:tcBorders>
            <w:shd w:val="clear" w:color="auto" w:fill="auto"/>
            <w:noWrap/>
            <w:vAlign w:val="center"/>
          </w:tcPr>
          <w:p w14:paraId="6D01A3CD">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nil"/>
              <w:left w:val="nil"/>
              <w:bottom w:val="nil"/>
              <w:right w:val="nil"/>
            </w:tcBorders>
            <w:shd w:val="clear" w:color="auto" w:fill="auto"/>
            <w:noWrap/>
            <w:vAlign w:val="center"/>
          </w:tcPr>
          <w:p w14:paraId="0A2C693C">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94" w:type="dxa"/>
            <w:tcBorders>
              <w:top w:val="nil"/>
              <w:left w:val="nil"/>
              <w:bottom w:val="nil"/>
              <w:right w:val="nil"/>
            </w:tcBorders>
            <w:shd w:val="clear" w:color="auto" w:fill="auto"/>
            <w:noWrap/>
            <w:vAlign w:val="center"/>
          </w:tcPr>
          <w:p w14:paraId="30FAA6EB">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nil"/>
              <w:left w:val="nil"/>
              <w:bottom w:val="nil"/>
              <w:right w:val="nil"/>
            </w:tcBorders>
            <w:shd w:val="clear" w:color="auto" w:fill="auto"/>
            <w:noWrap/>
            <w:vAlign w:val="center"/>
          </w:tcPr>
          <w:p w14:paraId="2059D4CD">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nil"/>
              <w:left w:val="nil"/>
              <w:bottom w:val="nil"/>
              <w:right w:val="nil"/>
            </w:tcBorders>
            <w:shd w:val="clear" w:color="auto" w:fill="auto"/>
            <w:noWrap/>
            <w:vAlign w:val="center"/>
          </w:tcPr>
          <w:p w14:paraId="242E5010">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nil"/>
              <w:left w:val="nil"/>
              <w:bottom w:val="nil"/>
              <w:right w:val="nil"/>
            </w:tcBorders>
            <w:shd w:val="clear" w:color="auto" w:fill="auto"/>
            <w:noWrap/>
            <w:vAlign w:val="center"/>
          </w:tcPr>
          <w:p w14:paraId="2214383D">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nil"/>
              <w:left w:val="nil"/>
              <w:bottom w:val="nil"/>
              <w:right w:val="nil"/>
            </w:tcBorders>
            <w:shd w:val="clear" w:color="auto" w:fill="auto"/>
            <w:noWrap/>
            <w:vAlign w:val="center"/>
          </w:tcPr>
          <w:p w14:paraId="3E8B9286">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nil"/>
              <w:left w:val="nil"/>
              <w:bottom w:val="nil"/>
              <w:right w:val="nil"/>
            </w:tcBorders>
            <w:shd w:val="clear" w:color="auto" w:fill="auto"/>
            <w:noWrap/>
            <w:vAlign w:val="bottom"/>
          </w:tcPr>
          <w:p w14:paraId="65E1C529">
            <w:pPr>
              <w:keepNext w:val="0"/>
              <w:keepLines w:val="0"/>
              <w:widowControl/>
              <w:suppressLineNumbers w:val="0"/>
              <w:shd w:val="clear"/>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bdr w:val="none" w:color="auto" w:sz="0" w:space="0"/>
                <w:lang w:val="en-US" w:eastAsia="zh-CN" w:bidi="ar"/>
                <w14:textFill>
                  <w14:solidFill>
                    <w14:schemeClr w14:val="tx1"/>
                  </w14:solidFill>
                </w14:textFill>
              </w:rPr>
              <w:t>公开 05表</w:t>
            </w:r>
          </w:p>
        </w:tc>
      </w:tr>
      <w:tr w14:paraId="129C4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436" w:type="dxa"/>
            <w:tcBorders>
              <w:top w:val="nil"/>
              <w:left w:val="nil"/>
              <w:bottom w:val="nil"/>
              <w:right w:val="nil"/>
            </w:tcBorders>
            <w:shd w:val="clear" w:color="auto" w:fill="auto"/>
            <w:noWrap/>
            <w:vAlign w:val="bottom"/>
          </w:tcPr>
          <w:p w14:paraId="09610623">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14:paraId="6DC5CBB9">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14:paraId="2638A281">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15" w:type="dxa"/>
            <w:tcBorders>
              <w:top w:val="nil"/>
              <w:left w:val="nil"/>
              <w:bottom w:val="nil"/>
              <w:right w:val="nil"/>
            </w:tcBorders>
            <w:shd w:val="clear" w:color="auto" w:fill="auto"/>
            <w:noWrap/>
            <w:vAlign w:val="center"/>
          </w:tcPr>
          <w:p w14:paraId="1D488431">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83" w:type="dxa"/>
            <w:tcBorders>
              <w:top w:val="nil"/>
              <w:left w:val="nil"/>
              <w:bottom w:val="nil"/>
              <w:right w:val="nil"/>
            </w:tcBorders>
            <w:shd w:val="clear" w:color="auto" w:fill="auto"/>
            <w:noWrap/>
            <w:vAlign w:val="center"/>
          </w:tcPr>
          <w:p w14:paraId="5EB0CCBA">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54" w:type="dxa"/>
            <w:tcBorders>
              <w:top w:val="nil"/>
              <w:left w:val="nil"/>
              <w:bottom w:val="nil"/>
              <w:right w:val="nil"/>
            </w:tcBorders>
            <w:shd w:val="clear" w:color="auto" w:fill="auto"/>
            <w:noWrap/>
            <w:vAlign w:val="center"/>
          </w:tcPr>
          <w:p w14:paraId="788135D8">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56" w:type="dxa"/>
            <w:tcBorders>
              <w:top w:val="nil"/>
              <w:left w:val="nil"/>
              <w:bottom w:val="nil"/>
              <w:right w:val="nil"/>
            </w:tcBorders>
            <w:shd w:val="clear" w:color="auto" w:fill="auto"/>
            <w:noWrap/>
            <w:vAlign w:val="center"/>
          </w:tcPr>
          <w:p w14:paraId="1681FAB3">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26" w:type="dxa"/>
            <w:tcBorders>
              <w:top w:val="nil"/>
              <w:left w:val="nil"/>
              <w:bottom w:val="nil"/>
              <w:right w:val="nil"/>
            </w:tcBorders>
            <w:shd w:val="clear" w:color="auto" w:fill="auto"/>
            <w:noWrap/>
            <w:vAlign w:val="center"/>
          </w:tcPr>
          <w:p w14:paraId="3E3B7E81">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81" w:type="dxa"/>
            <w:tcBorders>
              <w:top w:val="nil"/>
              <w:left w:val="nil"/>
              <w:bottom w:val="nil"/>
              <w:right w:val="nil"/>
            </w:tcBorders>
            <w:shd w:val="clear" w:color="auto" w:fill="auto"/>
            <w:noWrap/>
            <w:vAlign w:val="center"/>
          </w:tcPr>
          <w:p w14:paraId="2FB04927">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39" w:type="dxa"/>
            <w:tcBorders>
              <w:top w:val="nil"/>
              <w:left w:val="nil"/>
              <w:bottom w:val="nil"/>
              <w:right w:val="nil"/>
            </w:tcBorders>
            <w:shd w:val="clear" w:color="auto" w:fill="auto"/>
            <w:noWrap/>
            <w:vAlign w:val="center"/>
          </w:tcPr>
          <w:p w14:paraId="56169742">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nil"/>
              <w:left w:val="nil"/>
              <w:bottom w:val="nil"/>
              <w:right w:val="nil"/>
            </w:tcBorders>
            <w:shd w:val="clear" w:color="auto" w:fill="auto"/>
            <w:noWrap/>
            <w:vAlign w:val="bottom"/>
          </w:tcPr>
          <w:p w14:paraId="349E0E3F">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794" w:type="dxa"/>
            <w:tcBorders>
              <w:top w:val="nil"/>
              <w:left w:val="nil"/>
              <w:bottom w:val="nil"/>
              <w:right w:val="nil"/>
            </w:tcBorders>
            <w:shd w:val="clear" w:color="auto" w:fill="auto"/>
            <w:noWrap/>
            <w:vAlign w:val="bottom"/>
          </w:tcPr>
          <w:p w14:paraId="6785D236">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811" w:type="dxa"/>
            <w:tcBorders>
              <w:top w:val="nil"/>
              <w:left w:val="nil"/>
              <w:bottom w:val="nil"/>
              <w:right w:val="nil"/>
            </w:tcBorders>
            <w:shd w:val="clear" w:color="auto" w:fill="auto"/>
            <w:noWrap/>
            <w:vAlign w:val="center"/>
          </w:tcPr>
          <w:p w14:paraId="5956658F">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nil"/>
              <w:left w:val="nil"/>
              <w:bottom w:val="nil"/>
              <w:right w:val="nil"/>
            </w:tcBorders>
            <w:shd w:val="clear" w:color="auto" w:fill="auto"/>
            <w:noWrap/>
            <w:vAlign w:val="center"/>
          </w:tcPr>
          <w:p w14:paraId="6F3FB2AA">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nil"/>
              <w:left w:val="nil"/>
              <w:bottom w:val="nil"/>
              <w:right w:val="nil"/>
            </w:tcBorders>
            <w:shd w:val="clear" w:color="auto" w:fill="auto"/>
            <w:noWrap/>
            <w:vAlign w:val="center"/>
          </w:tcPr>
          <w:p w14:paraId="3329AF0F">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nil"/>
              <w:left w:val="nil"/>
              <w:bottom w:val="nil"/>
              <w:right w:val="nil"/>
            </w:tcBorders>
            <w:shd w:val="clear" w:color="auto" w:fill="auto"/>
            <w:noWrap/>
            <w:vAlign w:val="center"/>
          </w:tcPr>
          <w:p w14:paraId="0AC54F6D">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nil"/>
              <w:left w:val="nil"/>
              <w:bottom w:val="nil"/>
              <w:right w:val="nil"/>
            </w:tcBorders>
            <w:shd w:val="clear" w:color="auto" w:fill="auto"/>
            <w:noWrap/>
            <w:vAlign w:val="bottom"/>
          </w:tcPr>
          <w:p w14:paraId="7F9366A7">
            <w:pPr>
              <w:keepNext w:val="0"/>
              <w:keepLines w:val="0"/>
              <w:widowControl/>
              <w:suppressLineNumbers w:val="0"/>
              <w:shd w:val="clear"/>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bdr w:val="none" w:color="auto" w:sz="0" w:space="0"/>
                <w:lang w:val="en-US" w:eastAsia="zh-CN" w:bidi="ar"/>
                <w14:textFill>
                  <w14:solidFill>
                    <w14:schemeClr w14:val="tx1"/>
                  </w14:solidFill>
                </w14:textFill>
              </w:rPr>
              <w:t>单位：万元</w:t>
            </w:r>
          </w:p>
        </w:tc>
      </w:tr>
      <w:tr w14:paraId="6F393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25" w:hRule="atLeast"/>
        </w:trPr>
        <w:tc>
          <w:tcPr>
            <w:tcW w:w="3023" w:type="dxa"/>
            <w:gridSpan w:val="4"/>
            <w:tcBorders>
              <w:top w:val="single" w:color="D4D4D4" w:sz="4" w:space="0"/>
              <w:left w:val="single" w:color="D4D4D4" w:sz="4" w:space="0"/>
              <w:bottom w:val="single" w:color="D4D4D4" w:sz="4" w:space="0"/>
              <w:right w:val="single" w:color="D4D4D4" w:sz="4" w:space="0"/>
            </w:tcBorders>
            <w:shd w:val="clear" w:color="auto" w:fill="auto"/>
            <w:vAlign w:val="center"/>
          </w:tcPr>
          <w:p w14:paraId="6A4F707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项目</w:t>
            </w:r>
          </w:p>
        </w:tc>
        <w:tc>
          <w:tcPr>
            <w:tcW w:w="2693"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14:paraId="73B0F18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年初结转和结余</w:t>
            </w:r>
          </w:p>
        </w:tc>
        <w:tc>
          <w:tcPr>
            <w:tcW w:w="3046"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14:paraId="6C40083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本年收入</w:t>
            </w:r>
          </w:p>
        </w:tc>
        <w:tc>
          <w:tcPr>
            <w:tcW w:w="3187"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14:paraId="5910FE2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本年支出</w:t>
            </w:r>
          </w:p>
        </w:tc>
        <w:tc>
          <w:tcPr>
            <w:tcW w:w="3538" w:type="dxa"/>
            <w:gridSpan w:val="4"/>
            <w:tcBorders>
              <w:top w:val="single" w:color="D4D4D4" w:sz="4" w:space="0"/>
              <w:left w:val="single" w:color="D4D4D4" w:sz="4" w:space="0"/>
              <w:bottom w:val="single" w:color="D4D4D4" w:sz="4" w:space="0"/>
              <w:right w:val="single" w:color="D4D4D4" w:sz="4" w:space="0"/>
            </w:tcBorders>
            <w:shd w:val="clear" w:color="auto" w:fill="auto"/>
            <w:vAlign w:val="center"/>
          </w:tcPr>
          <w:p w14:paraId="60A536B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年末结转和结余</w:t>
            </w:r>
          </w:p>
        </w:tc>
      </w:tr>
      <w:tr w14:paraId="58D06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0E49C70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科目代码</w:t>
            </w:r>
          </w:p>
        </w:tc>
        <w:tc>
          <w:tcPr>
            <w:tcW w:w="171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023CDBD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科目名称</w:t>
            </w:r>
          </w:p>
        </w:tc>
        <w:tc>
          <w:tcPr>
            <w:tcW w:w="783"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33075DDC">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合计</w:t>
            </w:r>
          </w:p>
        </w:tc>
        <w:tc>
          <w:tcPr>
            <w:tcW w:w="854"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4C2745C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基本支出结转</w:t>
            </w:r>
          </w:p>
        </w:tc>
        <w:tc>
          <w:tcPr>
            <w:tcW w:w="105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3017665D">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项目支出结转和结余</w:t>
            </w:r>
          </w:p>
        </w:tc>
        <w:tc>
          <w:tcPr>
            <w:tcW w:w="112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7CA24DD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合计</w:t>
            </w:r>
          </w:p>
        </w:tc>
        <w:tc>
          <w:tcPr>
            <w:tcW w:w="1081"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5EE3164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基本支出</w:t>
            </w:r>
          </w:p>
        </w:tc>
        <w:tc>
          <w:tcPr>
            <w:tcW w:w="839"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5AF76F7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项目支出</w:t>
            </w:r>
          </w:p>
        </w:tc>
        <w:tc>
          <w:tcPr>
            <w:tcW w:w="1582"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38DA8F2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合计</w:t>
            </w:r>
          </w:p>
        </w:tc>
        <w:tc>
          <w:tcPr>
            <w:tcW w:w="794"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2A1CC6D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基本支出</w:t>
            </w:r>
          </w:p>
        </w:tc>
        <w:tc>
          <w:tcPr>
            <w:tcW w:w="811"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31F19AA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项目支出</w:t>
            </w:r>
          </w:p>
        </w:tc>
        <w:tc>
          <w:tcPr>
            <w:tcW w:w="64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7158171E">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合计</w:t>
            </w:r>
          </w:p>
        </w:tc>
        <w:tc>
          <w:tcPr>
            <w:tcW w:w="758"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6ABD4B5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基本支出结转</w:t>
            </w:r>
          </w:p>
        </w:tc>
        <w:tc>
          <w:tcPr>
            <w:tcW w:w="2135" w:type="dxa"/>
            <w:gridSpan w:val="2"/>
            <w:tcBorders>
              <w:top w:val="single" w:color="D4D4D4" w:sz="4" w:space="0"/>
              <w:left w:val="single" w:color="D4D4D4" w:sz="4" w:space="0"/>
              <w:bottom w:val="single" w:color="D4D4D4" w:sz="4" w:space="0"/>
              <w:right w:val="single" w:color="D4D4D4" w:sz="4" w:space="0"/>
            </w:tcBorders>
            <w:shd w:val="clear" w:color="auto" w:fill="auto"/>
            <w:vAlign w:val="center"/>
          </w:tcPr>
          <w:p w14:paraId="5D0001B0">
            <w:pPr>
              <w:shd w:val="clea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2887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1308"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E92A1F9">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1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E466C59">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83"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8C547F8">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5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4AA07E4">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04314C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2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02647E4">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81"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9FF27B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3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385E61AD">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8E48B43">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9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5BC9E80">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469C4BE3">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1CA85EF">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CCFBE40">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0000E1F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项目支出结转</w:t>
            </w:r>
          </w:p>
        </w:tc>
        <w:tc>
          <w:tcPr>
            <w:tcW w:w="1331" w:type="dxa"/>
            <w:vMerge w:val="restart"/>
            <w:tcBorders>
              <w:top w:val="single" w:color="D4D4D4" w:sz="4" w:space="0"/>
              <w:left w:val="single" w:color="D4D4D4" w:sz="4" w:space="0"/>
              <w:bottom w:val="single" w:color="D4D4D4" w:sz="4" w:space="0"/>
              <w:right w:val="single" w:color="D4D4D4" w:sz="12" w:space="0"/>
            </w:tcBorders>
            <w:shd w:val="clear" w:color="auto" w:fill="auto"/>
            <w:vAlign w:val="center"/>
          </w:tcPr>
          <w:p w14:paraId="6E5270F9">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项目支出结余</w:t>
            </w:r>
          </w:p>
        </w:tc>
      </w:tr>
      <w:tr w14:paraId="34659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08"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0D5DFAA">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1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4CB7727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83"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493A5D2">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5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A816B43">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5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46BA271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2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740A06C">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81"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95EDA01">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39"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5B2D5E36">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8D1096D">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9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F3E311B">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1266D68B">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7CD82CA">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7B6F9909">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2D07F86E">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14:paraId="5766F383">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r>
      <w:tr w14:paraId="7D14D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4E26B8D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类</w:t>
            </w:r>
          </w:p>
        </w:tc>
        <w:tc>
          <w:tcPr>
            <w:tcW w:w="43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7F851028">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款</w:t>
            </w:r>
          </w:p>
        </w:tc>
        <w:tc>
          <w:tcPr>
            <w:tcW w:w="436"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14:paraId="64AC932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项</w:t>
            </w:r>
          </w:p>
        </w:tc>
        <w:tc>
          <w:tcPr>
            <w:tcW w:w="1715" w:type="dxa"/>
            <w:tcBorders>
              <w:top w:val="single" w:color="D4D4D4" w:sz="4" w:space="0"/>
              <w:left w:val="single" w:color="D4D4D4" w:sz="4" w:space="0"/>
              <w:bottom w:val="single" w:color="D4D4D4" w:sz="4" w:space="0"/>
              <w:right w:val="single" w:color="D4D4D4" w:sz="4" w:space="0"/>
            </w:tcBorders>
            <w:shd w:val="clear" w:color="auto" w:fill="auto"/>
            <w:vAlign w:val="center"/>
          </w:tcPr>
          <w:p w14:paraId="6BB817A0">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栏次</w:t>
            </w:r>
          </w:p>
        </w:tc>
        <w:tc>
          <w:tcPr>
            <w:tcW w:w="783"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2BA2B0B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w:t>
            </w:r>
          </w:p>
        </w:tc>
        <w:tc>
          <w:tcPr>
            <w:tcW w:w="85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0F094F6">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w:t>
            </w:r>
          </w:p>
        </w:tc>
        <w:tc>
          <w:tcPr>
            <w:tcW w:w="10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2E779C5">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3</w:t>
            </w:r>
          </w:p>
        </w:tc>
        <w:tc>
          <w:tcPr>
            <w:tcW w:w="112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1C097A12">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4</w:t>
            </w:r>
          </w:p>
        </w:tc>
        <w:tc>
          <w:tcPr>
            <w:tcW w:w="108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F7FD1BB">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5</w:t>
            </w:r>
          </w:p>
        </w:tc>
        <w:tc>
          <w:tcPr>
            <w:tcW w:w="839"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AA2C0E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6</w:t>
            </w:r>
          </w:p>
        </w:tc>
        <w:tc>
          <w:tcPr>
            <w:tcW w:w="1582"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91D8E0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7</w:t>
            </w:r>
          </w:p>
        </w:tc>
        <w:tc>
          <w:tcPr>
            <w:tcW w:w="79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0253835A">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8</w:t>
            </w:r>
          </w:p>
        </w:tc>
        <w:tc>
          <w:tcPr>
            <w:tcW w:w="81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3BADEDA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9</w:t>
            </w:r>
          </w:p>
        </w:tc>
        <w:tc>
          <w:tcPr>
            <w:tcW w:w="6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65D8C5C4">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10</w:t>
            </w:r>
          </w:p>
        </w:tc>
        <w:tc>
          <w:tcPr>
            <w:tcW w:w="758"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73AA332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11</w:t>
            </w:r>
          </w:p>
        </w:tc>
        <w:tc>
          <w:tcPr>
            <w:tcW w:w="804" w:type="dxa"/>
            <w:tcBorders>
              <w:top w:val="single" w:color="D4D4D4" w:sz="4" w:space="0"/>
              <w:left w:val="single" w:color="D4D4D4" w:sz="4" w:space="0"/>
              <w:bottom w:val="single" w:color="D4D4D4" w:sz="4" w:space="0"/>
              <w:right w:val="single" w:color="D4D4D4" w:sz="4" w:space="0"/>
            </w:tcBorders>
            <w:shd w:val="clear" w:color="auto" w:fill="auto"/>
            <w:noWrap/>
            <w:vAlign w:val="center"/>
          </w:tcPr>
          <w:p w14:paraId="587CFD53">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12</w:t>
            </w:r>
          </w:p>
        </w:tc>
        <w:tc>
          <w:tcPr>
            <w:tcW w:w="1331"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14:paraId="3705FDCF">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13</w:t>
            </w:r>
          </w:p>
        </w:tc>
      </w:tr>
      <w:tr w14:paraId="2EC79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43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479E4F2E">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6F0A07A9">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14:paraId="025CF17E">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15" w:type="dxa"/>
            <w:tcBorders>
              <w:top w:val="single" w:color="D4D4D4" w:sz="4" w:space="0"/>
              <w:left w:val="single" w:color="D4D4D4" w:sz="4" w:space="0"/>
              <w:bottom w:val="single" w:color="D4D4D4" w:sz="4" w:space="0"/>
              <w:right w:val="single" w:color="D4D4D4" w:sz="4" w:space="0"/>
            </w:tcBorders>
            <w:shd w:val="clear" w:color="auto" w:fill="auto"/>
            <w:vAlign w:val="center"/>
          </w:tcPr>
          <w:p w14:paraId="7EAC1BF1">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合计</w:t>
            </w:r>
          </w:p>
        </w:tc>
        <w:tc>
          <w:tcPr>
            <w:tcW w:w="783" w:type="dxa"/>
            <w:tcBorders>
              <w:top w:val="single" w:color="D4D4D4" w:sz="4" w:space="0"/>
              <w:left w:val="single" w:color="D4D4D4" w:sz="4" w:space="0"/>
              <w:bottom w:val="single" w:color="D4D4D4" w:sz="4" w:space="0"/>
              <w:right w:val="single" w:color="D4D4D4" w:sz="4" w:space="0"/>
            </w:tcBorders>
            <w:shd w:val="clear" w:color="auto" w:fill="auto"/>
            <w:vAlign w:val="center"/>
          </w:tcPr>
          <w:p w14:paraId="3652EA3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auto"/>
            <w:vAlign w:val="center"/>
          </w:tcPr>
          <w:p w14:paraId="5CDA576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57A205C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62BEFF1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2322.23</w:t>
            </w:r>
          </w:p>
        </w:tc>
        <w:tc>
          <w:tcPr>
            <w:tcW w:w="1081" w:type="dxa"/>
            <w:tcBorders>
              <w:top w:val="single" w:color="D4D4D4" w:sz="4" w:space="0"/>
              <w:left w:val="single" w:color="D4D4D4" w:sz="4" w:space="0"/>
              <w:bottom w:val="single" w:color="D4D4D4" w:sz="4" w:space="0"/>
              <w:right w:val="single" w:color="D4D4D4" w:sz="4" w:space="0"/>
            </w:tcBorders>
            <w:shd w:val="clear" w:color="auto" w:fill="auto"/>
            <w:vAlign w:val="center"/>
          </w:tcPr>
          <w:p w14:paraId="0FE958A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2322.23</w:t>
            </w:r>
          </w:p>
        </w:tc>
        <w:tc>
          <w:tcPr>
            <w:tcW w:w="839" w:type="dxa"/>
            <w:tcBorders>
              <w:top w:val="single" w:color="D4D4D4" w:sz="4" w:space="0"/>
              <w:left w:val="single" w:color="D4D4D4" w:sz="4" w:space="0"/>
              <w:bottom w:val="single" w:color="D4D4D4" w:sz="4" w:space="0"/>
              <w:right w:val="single" w:color="D4D4D4" w:sz="4" w:space="0"/>
            </w:tcBorders>
            <w:shd w:val="clear" w:color="auto" w:fill="auto"/>
            <w:vAlign w:val="center"/>
          </w:tcPr>
          <w:p w14:paraId="11EFF29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auto"/>
            <w:vAlign w:val="center"/>
          </w:tcPr>
          <w:p w14:paraId="52C0F8E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2322.23</w:t>
            </w:r>
          </w:p>
        </w:tc>
        <w:tc>
          <w:tcPr>
            <w:tcW w:w="794" w:type="dxa"/>
            <w:tcBorders>
              <w:top w:val="single" w:color="D4D4D4" w:sz="4" w:space="0"/>
              <w:left w:val="single" w:color="D4D4D4" w:sz="4" w:space="0"/>
              <w:bottom w:val="single" w:color="D4D4D4" w:sz="4" w:space="0"/>
              <w:right w:val="single" w:color="D4D4D4" w:sz="4" w:space="0"/>
            </w:tcBorders>
            <w:shd w:val="clear" w:color="auto" w:fill="auto"/>
            <w:vAlign w:val="center"/>
          </w:tcPr>
          <w:p w14:paraId="252A6AA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auto"/>
            <w:vAlign w:val="center"/>
          </w:tcPr>
          <w:p w14:paraId="6DF959C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14:paraId="525DAFE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auto"/>
            <w:vAlign w:val="center"/>
          </w:tcPr>
          <w:p w14:paraId="60CDEE6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auto"/>
            <w:vAlign w:val="center"/>
          </w:tcPr>
          <w:p w14:paraId="2559297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auto"/>
            <w:vAlign w:val="center"/>
          </w:tcPr>
          <w:p w14:paraId="17C3714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E8D5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14:paraId="518AD31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2010103</w:t>
            </w:r>
          </w:p>
        </w:tc>
        <w:tc>
          <w:tcPr>
            <w:tcW w:w="1715" w:type="dxa"/>
            <w:tcBorders>
              <w:top w:val="single" w:color="D4D4D4" w:sz="4" w:space="0"/>
              <w:left w:val="single" w:color="D4D4D4" w:sz="4" w:space="0"/>
              <w:bottom w:val="single" w:color="D4D4D4" w:sz="4" w:space="0"/>
              <w:right w:val="single" w:color="D4D4D4" w:sz="4" w:space="0"/>
            </w:tcBorders>
            <w:shd w:val="clear" w:color="auto" w:fill="auto"/>
            <w:vAlign w:val="center"/>
          </w:tcPr>
          <w:p w14:paraId="0CBE109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机关服务</w:t>
            </w:r>
          </w:p>
        </w:tc>
        <w:tc>
          <w:tcPr>
            <w:tcW w:w="783" w:type="dxa"/>
            <w:tcBorders>
              <w:top w:val="single" w:color="D4D4D4" w:sz="4" w:space="0"/>
              <w:left w:val="single" w:color="D4D4D4" w:sz="4" w:space="0"/>
              <w:bottom w:val="single" w:color="D4D4D4" w:sz="4" w:space="0"/>
              <w:right w:val="single" w:color="D4D4D4" w:sz="4" w:space="0"/>
            </w:tcBorders>
            <w:shd w:val="clear" w:color="auto" w:fill="auto"/>
            <w:vAlign w:val="center"/>
          </w:tcPr>
          <w:p w14:paraId="04785F9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auto"/>
            <w:vAlign w:val="center"/>
          </w:tcPr>
          <w:p w14:paraId="431A59C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5507D33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auto"/>
            <w:vAlign w:val="center"/>
          </w:tcPr>
          <w:p w14:paraId="71B9343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22.49</w:t>
            </w:r>
          </w:p>
        </w:tc>
        <w:tc>
          <w:tcPr>
            <w:tcW w:w="1081" w:type="dxa"/>
            <w:tcBorders>
              <w:top w:val="single" w:color="D4D4D4" w:sz="4" w:space="0"/>
              <w:left w:val="single" w:color="D4D4D4" w:sz="4" w:space="0"/>
              <w:bottom w:val="single" w:color="D4D4D4" w:sz="4" w:space="0"/>
              <w:right w:val="single" w:color="D4D4D4" w:sz="4" w:space="0"/>
            </w:tcBorders>
            <w:shd w:val="clear" w:color="auto" w:fill="auto"/>
            <w:vAlign w:val="center"/>
          </w:tcPr>
          <w:p w14:paraId="1891D32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22.49</w:t>
            </w:r>
          </w:p>
        </w:tc>
        <w:tc>
          <w:tcPr>
            <w:tcW w:w="839" w:type="dxa"/>
            <w:tcBorders>
              <w:top w:val="single" w:color="D4D4D4" w:sz="4" w:space="0"/>
              <w:left w:val="single" w:color="D4D4D4" w:sz="4" w:space="0"/>
              <w:bottom w:val="single" w:color="D4D4D4" w:sz="4" w:space="0"/>
              <w:right w:val="single" w:color="D4D4D4" w:sz="4" w:space="0"/>
            </w:tcBorders>
            <w:shd w:val="clear" w:color="auto" w:fill="auto"/>
            <w:vAlign w:val="center"/>
          </w:tcPr>
          <w:p w14:paraId="3C238B3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auto"/>
            <w:vAlign w:val="center"/>
          </w:tcPr>
          <w:p w14:paraId="07283E5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22.49</w:t>
            </w:r>
          </w:p>
        </w:tc>
        <w:tc>
          <w:tcPr>
            <w:tcW w:w="794" w:type="dxa"/>
            <w:tcBorders>
              <w:top w:val="single" w:color="D4D4D4" w:sz="4" w:space="0"/>
              <w:left w:val="single" w:color="D4D4D4" w:sz="4" w:space="0"/>
              <w:bottom w:val="single" w:color="D4D4D4" w:sz="4" w:space="0"/>
              <w:right w:val="single" w:color="D4D4D4" w:sz="4" w:space="0"/>
            </w:tcBorders>
            <w:shd w:val="clear" w:color="auto" w:fill="auto"/>
            <w:vAlign w:val="center"/>
          </w:tcPr>
          <w:p w14:paraId="6F6E75F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auto"/>
            <w:vAlign w:val="center"/>
          </w:tcPr>
          <w:p w14:paraId="786B556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14:paraId="19DB1DE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auto"/>
            <w:vAlign w:val="center"/>
          </w:tcPr>
          <w:p w14:paraId="26615EA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auto"/>
            <w:vAlign w:val="center"/>
          </w:tcPr>
          <w:p w14:paraId="77F76C1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auto"/>
            <w:vAlign w:val="center"/>
          </w:tcPr>
          <w:p w14:paraId="01E9DD7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5BF1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2694E9D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2010301</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C7AB3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行政运行</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3D11EE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C8B588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07E065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5AFBA7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1154.35</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E39F4C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1154.35</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D4DE70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8C0A7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1154.35</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8299DA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349C37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C4D363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CF43D8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8CF2F1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62AD3F0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7671D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4192808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2010399</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DE6295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其他政府办公厅（室）及相关机构事务支出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1940E1">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447A1E5">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820000B">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10E2C2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97.99</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FC4A1B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97.99</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123C6F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EF25EE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97.99</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6B361E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9976C2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737E10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F1C96B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F3452A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054C076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84B1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17058B8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2010699</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DD2912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其他财政事务支出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21C9ACD">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4DC3859">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1EA1015">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AF97B7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2.88</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C1F2FD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2.88</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6CF625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113078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2.88</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F3531B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9DB764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0E0D69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4EF2BA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1196E6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66FA2F7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31A2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6FCBF1C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2014004</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A282E5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信访业务</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36165BF">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1A0C7A9">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DBDF8B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DC1B47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7.12</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AD2C30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7.12</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907F86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1B7C4C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7.12</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FFE462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49547F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34AAC5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3A1990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94F24F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50A3120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FEFC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0587AB7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2019999</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9BE778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其他一般公共服务支出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9EACFE3">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CC2319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6B41D5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A8ACBE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17.05</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B1B696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17.05</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44F5CD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D49718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17.05</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819CA1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E93686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C01D9E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7F6483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D7EA21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192EDC6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E123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7D5894A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2030601</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4BC014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兵役征集</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EE0413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10B0AA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F4F3BB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E35389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1.32</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C6C7F2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1.32</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8C7D4F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149074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1.32</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35D31F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114C93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201CA7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1A9E51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11148B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0CB2807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F72C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193EA74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2060102</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8FC56B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一般行政管理事务</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366AA39">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90971EF">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4ED4F38">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464E021">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lang w:val="en-US" w:eastAsia="zh-CN"/>
                <w14:textFill>
                  <w14:solidFill>
                    <w14:schemeClr w14:val="tx1"/>
                  </w14:solidFill>
                </w14:textFill>
              </w:rPr>
              <w:t>0.00</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3811D21">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lang w:val="en-US" w:eastAsia="zh-CN"/>
                <w14:textFill>
                  <w14:solidFill>
                    <w14:schemeClr w14:val="tx1"/>
                  </w14:solidFill>
                </w14:textFill>
              </w:rPr>
              <w:t>0.00</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16A0AB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41CBCA9">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lang w:val="en-US" w:eastAsia="zh-CN"/>
                <w14:textFill>
                  <w14:solidFill>
                    <w14:schemeClr w14:val="tx1"/>
                  </w14:solidFill>
                </w14:textFill>
              </w:rPr>
              <w:t>0.00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263E7D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AE0B95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88E5D6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8AFA45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F6B9AE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6BECA44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3FF4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5A37B55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2080505</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7735A2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机关事业单位基本养老保险缴费支出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FFFA7E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93C872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D72F73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4BD938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106.02</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17ED65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106.02</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D41B76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709373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106.02</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582B47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DCA68E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ADBD6A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37D6B2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69F135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069EEA4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4423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77A1E81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2080506</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7AE4E8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机关事业单位职业年金缴费支出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2AAA5F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D01CBB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C329D3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85FDA6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34.73</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7B76C3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34.73</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94298B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C7BE2A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34.73</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CF7987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8DB5F5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511948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EA129B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30CCE5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1523641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654C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5EF9E0F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2101101</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B63525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行政单位医疗</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085CF1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CF8AC3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7C4E97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C57F36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60.68</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171EFB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60.68</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512E50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D1F49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60.68</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B553E6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DE8D48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9AB099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9022AB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EDF768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330BE26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66ED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653FD4A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2110499</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C06F02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其他自然生态保护支出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6778B5A">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46BD9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2B1D9E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5F53C69">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8.00</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4F9BC8D">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8.00</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54257B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BFC6101">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8.00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7ABE34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30F57F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572EA4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7B642D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76CEB7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7883FB8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4CF1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0F9E1CCE">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2120303</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13EB3E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小城镇基础设施建设</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A60FD45">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4D693BC">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C7E94CD">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38717BC">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18.00</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A6EE0DC">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18.00</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33620E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BAB8453">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18.00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26593B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F8D94D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E9A70F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B9BD72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BA6C58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02E3CFE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F99B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3F572CB3">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2120501</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471EF8C">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城乡社区环境卫生</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B46E9C8">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28AFBD9">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6F60897">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44D5BE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26.18</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ED9718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26.18</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CA780D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8CCCDF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26.18</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F021E6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B5B139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5C9ACC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D50FC6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EA9782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23D3C17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78E5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37A4AC1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2130101</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2A9AF79">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行政运行</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C98A714">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6F40470">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285D1BF">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7F893F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58.25</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9711AE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58.25</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BF160E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C563EA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58.25</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921158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B24AB0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1DE679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58B803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A0EADF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1E75788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9983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017C699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2130126</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525E13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农村社会事业</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95B83D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CFCADC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CD1236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236718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28.99</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B68CAB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28.99</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7654DF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7E7490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28.99</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446CB7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39F762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6EC623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1F5EEF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BEDC3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386F79F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7A8F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113DB10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2130199</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B379C70">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其他农业农村支出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5734D9E">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120B4B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9B934E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D55DBC5">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10.37</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FA5E8F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10.37</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9F63A3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67C8EA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10.37</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2B17F5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30D37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943466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DDBB60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488345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45EE68F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C1D2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02EB19EB">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2130234</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FC0D0B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林业草原防灾减灾</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79376C">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96CACF5">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0B4CC03">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FBBA6A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50.00 </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486FC0A">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50.00 </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6C109E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179AC5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50.00 </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02BC89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72AC4A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624D37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413F04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F951FE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55DC878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2F89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7B6805D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2130305</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005E4DA">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水利工程建设</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A5B1851">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C22DBD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56CBFD9">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030299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64.00 </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9BED55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64.00 </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163718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B2546B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64.00 </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44A7BF7">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5C6819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BFDA8CA">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378503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786874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0EC462F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4BA51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019ADC07">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2130306</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4EB370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水利工程运行与维护</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E048A66">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B65A49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B211DA3">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9FC120B">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15.00 </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9F19A02">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15.00 </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C9D685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840580C">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15.00 </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DDEFF1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B854A0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0E0FDF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190DF1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14D799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7A73E8C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B14D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1CF7D58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2130317</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1E61005">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水利技术推广</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97CEEAF">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033CD8B">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1063482">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A03129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10.90 </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6365153">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10.90 </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D0A448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FD6C5B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 xml:space="preserve">10.90 </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0DE69E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DF430D2">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1DBE00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CF4E3A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96FBDD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0556C07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64122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15"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5B30FA41">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2130705</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FFAED14">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对村民委员会和村党支部的补助</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8773F2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98CA501">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10DA31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9C8F9C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409.45</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90A5904">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409.45</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09594E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61A689F">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409.45</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513D73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27B0376">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25AB06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B730B0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FA494E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719783F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5677F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2BA1BB6F">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2130799</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42684A6">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其他农村综合改革支出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93356BA">
            <w:pPr>
              <w:shd w:val="clear"/>
              <w:jc w:val="right"/>
              <w:rPr>
                <w:rFonts w:hint="default" w:ascii="宋体" w:hAnsi="宋体" w:eastAsia="宋体" w:cs="宋体"/>
                <w:i w:val="0"/>
                <w:iCs w:val="0"/>
                <w:color w:val="000000" w:themeColor="text1"/>
                <w:kern w:val="2"/>
                <w:sz w:val="22"/>
                <w:szCs w:val="22"/>
                <w:u w:val="none"/>
                <w:lang w:val="en-US" w:eastAsia="zh-CN" w:bidi="ar-SA"/>
                <w14:textFill>
                  <w14:solidFill>
                    <w14:schemeClr w14:val="tx1"/>
                  </w14:solidFill>
                </w14:textFill>
              </w:rPr>
            </w:pP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0DA0C33">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lang w:val="en-US" w:eastAsia="zh-CN"/>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F18EF8A">
            <w:pPr>
              <w:shd w:val="clea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lang w:val="en-US" w:eastAsia="zh-CN"/>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3BA8C02">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3.00</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FF614AF">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3.00</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57F523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2D44951">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3.00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8084A19">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5A72EE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422ADF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7FD2B99E">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12838E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35D3936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0C423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06"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772FACF8">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2210201</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ECF135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住房公积金</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6F29979">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E560AD8">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963A636">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8B52837">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95.46</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CDB99F0">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95.46</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5145DE4">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3C923AD">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95.46</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6D2027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783EB0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4F52596D">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DBC2C3F">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39777B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78D332FB">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932F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81" w:hRule="atLeast"/>
        </w:trPr>
        <w:tc>
          <w:tcPr>
            <w:tcW w:w="1308" w:type="dxa"/>
            <w:gridSpan w:val="3"/>
            <w:tcBorders>
              <w:top w:val="single" w:color="D4D4D4" w:sz="4" w:space="0"/>
              <w:left w:val="single" w:color="D4D4D4" w:sz="4" w:space="0"/>
              <w:bottom w:val="single" w:color="D4D4D4" w:sz="4" w:space="0"/>
              <w:right w:val="single" w:color="D4D4D4" w:sz="4" w:space="0"/>
            </w:tcBorders>
            <w:shd w:val="clear" w:color="auto" w:fill="FFFFFF"/>
            <w:vAlign w:val="center"/>
          </w:tcPr>
          <w:p w14:paraId="5C6BE6A2">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2240799</w:t>
            </w:r>
          </w:p>
        </w:tc>
        <w:tc>
          <w:tcPr>
            <w:tcW w:w="171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92F012D">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其他自然灾害救灾及恢复重建支出</w:t>
            </w:r>
          </w:p>
        </w:tc>
        <w:tc>
          <w:tcPr>
            <w:tcW w:w="783"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41FD416">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85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2281DCAF">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05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2E07F6E">
            <w:pPr>
              <w:keepNext w:val="0"/>
              <w:keepLines w:val="0"/>
              <w:widowControl/>
              <w:suppressLineNumbers w:val="0"/>
              <w:shd w:val="clear"/>
              <w:jc w:val="right"/>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6"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6A762B5D">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20.00</w:t>
            </w:r>
          </w:p>
        </w:tc>
        <w:tc>
          <w:tcPr>
            <w:tcW w:w="108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194CD28">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20.00</w:t>
            </w:r>
          </w:p>
        </w:tc>
        <w:tc>
          <w:tcPr>
            <w:tcW w:w="839"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19A5C945">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A99B5DA">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bdr w:val="none" w:color="auto" w:sz="0" w:space="0"/>
                <w:lang w:val="en-US" w:eastAsia="zh-CN" w:bidi="ar"/>
                <w14:textFill>
                  <w14:solidFill>
                    <w14:schemeClr w14:val="tx1"/>
                  </w14:solidFill>
                </w14:textFill>
              </w:rPr>
              <w:t>20.00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62B071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01E1BE13">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F77A610">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3705A7A8">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single" w:color="D4D4D4" w:sz="4" w:space="0"/>
              <w:left w:val="single" w:color="D4D4D4" w:sz="4" w:space="0"/>
              <w:bottom w:val="single" w:color="D4D4D4" w:sz="4" w:space="0"/>
              <w:right w:val="single" w:color="D4D4D4" w:sz="4" w:space="0"/>
            </w:tcBorders>
            <w:shd w:val="clear" w:color="auto" w:fill="FFFFFF"/>
            <w:vAlign w:val="center"/>
          </w:tcPr>
          <w:p w14:paraId="5DDDF2CC">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single" w:color="D4D4D4" w:sz="4" w:space="0"/>
              <w:left w:val="single" w:color="D4D4D4" w:sz="4" w:space="0"/>
              <w:bottom w:val="single" w:color="D4D4D4" w:sz="4" w:space="0"/>
              <w:right w:val="single" w:color="D4D4D4" w:sz="12" w:space="0"/>
            </w:tcBorders>
            <w:shd w:val="clear" w:color="auto" w:fill="FFFFFF"/>
            <w:vAlign w:val="center"/>
          </w:tcPr>
          <w:p w14:paraId="53337B91">
            <w:pPr>
              <w:shd w:val="clea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bl>
    <w:p w14:paraId="534A902C">
      <w:pPr>
        <w:pStyle w:val="5"/>
        <w:shd w:val="clear"/>
        <w:rPr>
          <w:rFonts w:hint="eastAsia" w:ascii="仿宋" w:hAnsi="仿宋" w:eastAsia="仿宋" w:cs="仿宋"/>
          <w:color w:val="000000" w:themeColor="text1"/>
          <w:sz w:val="32"/>
          <w:szCs w:val="32"/>
          <w:u w:val="none"/>
          <w:lang w:eastAsia="zh-CN"/>
          <w14:textFill>
            <w14:solidFill>
              <w14:schemeClr w14:val="tx1"/>
            </w14:solidFill>
          </w14:textFill>
        </w:rPr>
      </w:pPr>
    </w:p>
    <w:p w14:paraId="29060ACA">
      <w:pPr>
        <w:pStyle w:val="5"/>
        <w:shd w:val="clear"/>
        <w:rPr>
          <w:rFonts w:hint="eastAsia" w:ascii="仿宋" w:hAnsi="仿宋" w:eastAsia="仿宋" w:cs="仿宋"/>
          <w:color w:val="000000" w:themeColor="text1"/>
          <w:sz w:val="32"/>
          <w:szCs w:val="32"/>
          <w:u w:val="none"/>
          <w:lang w:eastAsia="zh-CN"/>
          <w14:textFill>
            <w14:solidFill>
              <w14:schemeClr w14:val="tx1"/>
            </w14:solidFill>
          </w14:textFill>
        </w:rPr>
      </w:pPr>
    </w:p>
    <w:p w14:paraId="35B3F95D">
      <w:pPr>
        <w:shd w:val="clear"/>
        <w:spacing w:before="152" w:line="300" w:lineRule="auto"/>
        <w:rPr>
          <w:rFonts w:hint="default" w:ascii="仿宋" w:hAnsi="仿宋" w:eastAsia="仿宋" w:cs="仿宋"/>
          <w:color w:val="000000" w:themeColor="text1"/>
          <w:w w:val="95"/>
          <w:sz w:val="32"/>
          <w:szCs w:val="32"/>
          <w:u w:val="none"/>
          <w:lang w:val="en-US" w:eastAsia="zh-CN"/>
          <w14:textFill>
            <w14:solidFill>
              <w14:schemeClr w14:val="tx1"/>
            </w14:solidFill>
          </w14:textFill>
        </w:rPr>
        <w:sectPr>
          <w:pgSz w:w="16840" w:h="11910" w:orient="landscape"/>
          <w:pgMar w:top="1440" w:right="1080" w:bottom="1440" w:left="1080" w:header="0" w:footer="978" w:gutter="0"/>
          <w:pgBorders>
            <w:top w:val="none" w:sz="0" w:space="0"/>
            <w:left w:val="none" w:sz="0" w:space="0"/>
            <w:bottom w:val="none" w:sz="0" w:space="0"/>
            <w:right w:val="none" w:sz="0" w:space="0"/>
          </w:pgBorders>
          <w:cols w:space="720" w:num="1"/>
        </w:sect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注：本表反映部门年度一般公共预算财政拨款收入支出及结转结余情况。</w:t>
      </w:r>
    </w:p>
    <w:tbl>
      <w:tblPr>
        <w:tblStyle w:val="12"/>
        <w:tblW w:w="541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1559"/>
        <w:gridCol w:w="2167"/>
        <w:gridCol w:w="1518"/>
        <w:gridCol w:w="1120"/>
        <w:gridCol w:w="2199"/>
        <w:gridCol w:w="1880"/>
        <w:gridCol w:w="939"/>
        <w:gridCol w:w="2767"/>
        <w:gridCol w:w="1189"/>
      </w:tblGrid>
      <w:tr w14:paraId="7ABBF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138" w:hRule="atLeast"/>
        </w:trPr>
        <w:tc>
          <w:tcPr>
            <w:tcW w:w="5000" w:type="pct"/>
            <w:gridSpan w:val="9"/>
            <w:tcBorders>
              <w:top w:val="nil"/>
              <w:left w:val="nil"/>
              <w:bottom w:val="single" w:color="D4D4D4" w:sz="4" w:space="0"/>
              <w:right w:val="single" w:color="D4D4D4" w:sz="4" w:space="0"/>
            </w:tcBorders>
            <w:shd w:val="clear" w:color="auto" w:fill="FFFFFF" w:themeFill="background1"/>
            <w:noWrap/>
            <w:vAlign w:val="center"/>
          </w:tcPr>
          <w:p w14:paraId="04616F25">
            <w:pPr>
              <w:keepNext w:val="0"/>
              <w:keepLines w:val="0"/>
              <w:widowControl/>
              <w:suppressLineNumbers w:val="0"/>
              <w:shd w:val="clear"/>
              <w:jc w:val="right"/>
              <w:textAlignment w:val="cente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pPr>
            <w:r>
              <w:rPr>
                <w:rFonts w:hint="eastAsia" w:ascii="仿宋" w:hAnsi="仿宋" w:eastAsia="仿宋" w:cs="仿宋"/>
                <w:b/>
                <w:bCs/>
                <w:i w:val="0"/>
                <w:iCs w:val="0"/>
                <w:color w:val="000000" w:themeColor="text1"/>
                <w:kern w:val="0"/>
                <w:sz w:val="32"/>
                <w:szCs w:val="32"/>
                <w:u w:val="none"/>
                <w:lang w:val="en-US" w:eastAsia="zh-CN" w:bidi="ar"/>
                <w14:textFill>
                  <w14:solidFill>
                    <w14:schemeClr w14:val="tx1"/>
                  </w14:solidFill>
                </w14:textFill>
              </w:rPr>
              <w:t xml:space="preserve">      一般公共预算财政拨款基本支出明细表                               </w:t>
            </w:r>
            <w:r>
              <w:rPr>
                <w:rFonts w:hint="eastAsia" w:ascii="仿宋" w:hAnsi="仿宋" w:eastAsia="仿宋" w:cs="仿宋"/>
                <w:color w:val="000000" w:themeColor="text1"/>
                <w:sz w:val="32"/>
                <w:szCs w:val="32"/>
                <w:u w:val="none"/>
                <w:lang w:eastAsia="zh-CN"/>
                <w14:textFill>
                  <w14:solidFill>
                    <w14:schemeClr w14:val="tx1"/>
                  </w14:solidFill>
                </w14:textFill>
              </w:rPr>
              <w:t>公开 0</w:t>
            </w: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lang w:eastAsia="zh-CN"/>
                <w14:textFill>
                  <w14:solidFill>
                    <w14:schemeClr w14:val="tx1"/>
                  </w14:solidFill>
                </w14:textFill>
              </w:rPr>
              <w:t>表</w:t>
            </w:r>
            <w:r>
              <w:rPr>
                <w:rFonts w:hint="eastAsia" w:ascii="仿宋" w:hAnsi="仿宋" w:eastAsia="仿宋" w:cs="仿宋"/>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u w:val="none"/>
                <w:lang w:eastAsia="zh-CN"/>
                <w14:textFill>
                  <w14:solidFill>
                    <w14:schemeClr w14:val="tx1"/>
                  </w14:solidFill>
                </w14:textFill>
              </w:rPr>
              <w:t>单位：万元</w:t>
            </w:r>
          </w:p>
        </w:tc>
      </w:tr>
      <w:tr w14:paraId="347DD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063" w:hRule="exact"/>
        </w:trPr>
        <w:tc>
          <w:tcPr>
            <w:tcW w:w="1709" w:type="pct"/>
            <w:gridSpan w:val="3"/>
            <w:tcBorders>
              <w:top w:val="nil"/>
              <w:left w:val="nil"/>
              <w:bottom w:val="single" w:color="D4D4D4" w:sz="4" w:space="0"/>
              <w:right w:val="single" w:color="D4D4D4" w:sz="4" w:space="0"/>
            </w:tcBorders>
            <w:shd w:val="clear" w:color="auto" w:fill="FFFFFF" w:themeFill="background1"/>
            <w:noWrap/>
            <w:vAlign w:val="center"/>
          </w:tcPr>
          <w:p w14:paraId="4692AC60">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人员经费</w:t>
            </w:r>
          </w:p>
        </w:tc>
        <w:tc>
          <w:tcPr>
            <w:tcW w:w="3290" w:type="pct"/>
            <w:gridSpan w:val="6"/>
            <w:tcBorders>
              <w:top w:val="nil"/>
              <w:left w:val="nil"/>
              <w:bottom w:val="single" w:color="D4D4D4" w:sz="4" w:space="0"/>
              <w:right w:val="single" w:color="D4D4D4" w:sz="4" w:space="0"/>
            </w:tcBorders>
            <w:shd w:val="clear" w:color="auto" w:fill="FFFFFF" w:themeFill="background1"/>
            <w:noWrap/>
            <w:vAlign w:val="center"/>
          </w:tcPr>
          <w:p w14:paraId="18C8D39D">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公用经费</w:t>
            </w:r>
          </w:p>
        </w:tc>
      </w:tr>
      <w:tr w14:paraId="4CCA4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508" w:type="pct"/>
            <w:vMerge w:val="restart"/>
            <w:tcBorders>
              <w:top w:val="nil"/>
              <w:left w:val="nil"/>
              <w:bottom w:val="single" w:color="D4D4D4" w:sz="4" w:space="0"/>
              <w:right w:val="single" w:color="D4D4D4" w:sz="4" w:space="0"/>
            </w:tcBorders>
            <w:shd w:val="clear" w:color="auto" w:fill="FFFFFF" w:themeFill="background1"/>
            <w:vAlign w:val="center"/>
          </w:tcPr>
          <w:p w14:paraId="2C8FFF5D">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科目编码</w:t>
            </w:r>
          </w:p>
        </w:tc>
        <w:tc>
          <w:tcPr>
            <w:tcW w:w="706" w:type="pct"/>
            <w:vMerge w:val="restart"/>
            <w:tcBorders>
              <w:top w:val="nil"/>
              <w:left w:val="nil"/>
              <w:bottom w:val="single" w:color="D4D4D4" w:sz="4" w:space="0"/>
              <w:right w:val="single" w:color="D4D4D4" w:sz="4" w:space="0"/>
            </w:tcBorders>
            <w:shd w:val="clear" w:color="auto" w:fill="FFFFFF" w:themeFill="background1"/>
            <w:vAlign w:val="center"/>
          </w:tcPr>
          <w:p w14:paraId="7A7401B5">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科目名称</w:t>
            </w:r>
          </w:p>
        </w:tc>
        <w:tc>
          <w:tcPr>
            <w:tcW w:w="494" w:type="pct"/>
            <w:vMerge w:val="restart"/>
            <w:tcBorders>
              <w:top w:val="nil"/>
              <w:left w:val="nil"/>
              <w:bottom w:val="single" w:color="D4D4D4" w:sz="4" w:space="0"/>
              <w:right w:val="single" w:color="D4D4D4" w:sz="4" w:space="0"/>
            </w:tcBorders>
            <w:shd w:val="clear" w:color="auto" w:fill="FFFFFF" w:themeFill="background1"/>
            <w:vAlign w:val="center"/>
          </w:tcPr>
          <w:p w14:paraId="209714C6">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决算数</w:t>
            </w:r>
          </w:p>
        </w:tc>
        <w:tc>
          <w:tcPr>
            <w:tcW w:w="365" w:type="pct"/>
            <w:vMerge w:val="restart"/>
            <w:tcBorders>
              <w:top w:val="nil"/>
              <w:left w:val="nil"/>
              <w:bottom w:val="single" w:color="D4D4D4" w:sz="4" w:space="0"/>
              <w:right w:val="single" w:color="D4D4D4" w:sz="4" w:space="0"/>
            </w:tcBorders>
            <w:shd w:val="clear" w:color="auto" w:fill="FFFFFF" w:themeFill="background1"/>
            <w:vAlign w:val="center"/>
          </w:tcPr>
          <w:p w14:paraId="1C21F4CE">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科目编码</w:t>
            </w:r>
          </w:p>
        </w:tc>
        <w:tc>
          <w:tcPr>
            <w:tcW w:w="716" w:type="pct"/>
            <w:vMerge w:val="restart"/>
            <w:tcBorders>
              <w:top w:val="nil"/>
              <w:left w:val="nil"/>
              <w:bottom w:val="single" w:color="D4D4D4" w:sz="4" w:space="0"/>
              <w:right w:val="single" w:color="D4D4D4" w:sz="4" w:space="0"/>
            </w:tcBorders>
            <w:shd w:val="clear" w:color="auto" w:fill="FFFFFF" w:themeFill="background1"/>
            <w:vAlign w:val="center"/>
          </w:tcPr>
          <w:p w14:paraId="6CABE95A">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科目名称</w:t>
            </w:r>
          </w:p>
        </w:tc>
        <w:tc>
          <w:tcPr>
            <w:tcW w:w="612" w:type="pct"/>
            <w:vMerge w:val="restart"/>
            <w:tcBorders>
              <w:top w:val="nil"/>
              <w:left w:val="nil"/>
              <w:bottom w:val="single" w:color="D4D4D4" w:sz="4" w:space="0"/>
              <w:right w:val="single" w:color="D4D4D4" w:sz="4" w:space="0"/>
            </w:tcBorders>
            <w:shd w:val="clear" w:color="auto" w:fill="FFFFFF" w:themeFill="background1"/>
            <w:vAlign w:val="center"/>
          </w:tcPr>
          <w:p w14:paraId="054AB6F6">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决算数</w:t>
            </w:r>
          </w:p>
        </w:tc>
        <w:tc>
          <w:tcPr>
            <w:tcW w:w="306" w:type="pct"/>
            <w:vMerge w:val="restart"/>
            <w:tcBorders>
              <w:top w:val="nil"/>
              <w:left w:val="nil"/>
              <w:bottom w:val="single" w:color="D4D4D4" w:sz="4" w:space="0"/>
              <w:right w:val="single" w:color="D4D4D4" w:sz="4" w:space="0"/>
            </w:tcBorders>
            <w:shd w:val="clear" w:color="auto" w:fill="FFFFFF" w:themeFill="background1"/>
            <w:vAlign w:val="center"/>
          </w:tcPr>
          <w:p w14:paraId="39E874D6">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科目编码</w:t>
            </w:r>
          </w:p>
        </w:tc>
        <w:tc>
          <w:tcPr>
            <w:tcW w:w="902" w:type="pct"/>
            <w:vMerge w:val="restart"/>
            <w:tcBorders>
              <w:top w:val="nil"/>
              <w:left w:val="nil"/>
              <w:bottom w:val="single" w:color="D4D4D4" w:sz="4" w:space="0"/>
              <w:right w:val="single" w:color="D4D4D4" w:sz="4" w:space="0"/>
            </w:tcBorders>
            <w:shd w:val="clear" w:color="auto" w:fill="FFFFFF" w:themeFill="background1"/>
            <w:vAlign w:val="center"/>
          </w:tcPr>
          <w:p w14:paraId="74F3F5FA">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科目名称</w:t>
            </w:r>
          </w:p>
        </w:tc>
        <w:tc>
          <w:tcPr>
            <w:tcW w:w="387" w:type="pct"/>
            <w:vMerge w:val="restart"/>
            <w:tcBorders>
              <w:top w:val="nil"/>
              <w:left w:val="nil"/>
              <w:bottom w:val="single" w:color="D4D4D4" w:sz="4" w:space="0"/>
              <w:right w:val="single" w:color="D4D4D4" w:sz="4" w:space="0"/>
            </w:tcBorders>
            <w:shd w:val="clear" w:color="auto" w:fill="FFFFFF" w:themeFill="background1"/>
            <w:vAlign w:val="center"/>
          </w:tcPr>
          <w:p w14:paraId="2BC6BBC3">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决算数</w:t>
            </w:r>
          </w:p>
        </w:tc>
      </w:tr>
      <w:tr w14:paraId="2D72D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exact"/>
        </w:trPr>
        <w:tc>
          <w:tcPr>
            <w:tcW w:w="508" w:type="pct"/>
            <w:vMerge w:val="continue"/>
            <w:tcBorders>
              <w:top w:val="nil"/>
              <w:left w:val="nil"/>
              <w:bottom w:val="single" w:color="D4D4D4" w:sz="4" w:space="0"/>
              <w:right w:val="single" w:color="D4D4D4" w:sz="4" w:space="0"/>
            </w:tcBorders>
            <w:shd w:val="clear" w:color="auto" w:fill="FFFFFF" w:themeFill="background1"/>
            <w:vAlign w:val="center"/>
          </w:tcPr>
          <w:p w14:paraId="57015E88">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706" w:type="pct"/>
            <w:vMerge w:val="continue"/>
            <w:tcBorders>
              <w:top w:val="nil"/>
              <w:left w:val="nil"/>
              <w:bottom w:val="single" w:color="D4D4D4" w:sz="4" w:space="0"/>
              <w:right w:val="single" w:color="D4D4D4" w:sz="4" w:space="0"/>
            </w:tcBorders>
            <w:shd w:val="clear" w:color="auto" w:fill="FFFFFF" w:themeFill="background1"/>
            <w:vAlign w:val="center"/>
          </w:tcPr>
          <w:p w14:paraId="5DF29B93">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494" w:type="pct"/>
            <w:vMerge w:val="continue"/>
            <w:tcBorders>
              <w:top w:val="nil"/>
              <w:left w:val="nil"/>
              <w:bottom w:val="single" w:color="D4D4D4" w:sz="4" w:space="0"/>
              <w:right w:val="single" w:color="D4D4D4" w:sz="4" w:space="0"/>
            </w:tcBorders>
            <w:shd w:val="clear" w:color="auto" w:fill="FFFFFF" w:themeFill="background1"/>
            <w:vAlign w:val="center"/>
          </w:tcPr>
          <w:p w14:paraId="08FB522C">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365" w:type="pct"/>
            <w:vMerge w:val="continue"/>
            <w:tcBorders>
              <w:top w:val="nil"/>
              <w:left w:val="nil"/>
              <w:bottom w:val="single" w:color="D4D4D4" w:sz="4" w:space="0"/>
              <w:right w:val="single" w:color="D4D4D4" w:sz="4" w:space="0"/>
            </w:tcBorders>
            <w:shd w:val="clear" w:color="auto" w:fill="FFFFFF" w:themeFill="background1"/>
            <w:vAlign w:val="center"/>
          </w:tcPr>
          <w:p w14:paraId="1F379062">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716" w:type="pct"/>
            <w:vMerge w:val="continue"/>
            <w:tcBorders>
              <w:top w:val="nil"/>
              <w:left w:val="nil"/>
              <w:bottom w:val="single" w:color="D4D4D4" w:sz="4" w:space="0"/>
              <w:right w:val="single" w:color="D4D4D4" w:sz="4" w:space="0"/>
            </w:tcBorders>
            <w:shd w:val="clear" w:color="auto" w:fill="FFFFFF" w:themeFill="background1"/>
            <w:vAlign w:val="center"/>
          </w:tcPr>
          <w:p w14:paraId="2CC58EB8">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612" w:type="pct"/>
            <w:vMerge w:val="continue"/>
            <w:tcBorders>
              <w:top w:val="nil"/>
              <w:left w:val="nil"/>
              <w:bottom w:val="single" w:color="D4D4D4" w:sz="4" w:space="0"/>
              <w:right w:val="single" w:color="D4D4D4" w:sz="4" w:space="0"/>
            </w:tcBorders>
            <w:shd w:val="clear" w:color="auto" w:fill="FFFFFF" w:themeFill="background1"/>
            <w:vAlign w:val="center"/>
          </w:tcPr>
          <w:p w14:paraId="344BE964">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306" w:type="pct"/>
            <w:vMerge w:val="continue"/>
            <w:tcBorders>
              <w:top w:val="nil"/>
              <w:left w:val="nil"/>
              <w:bottom w:val="single" w:color="D4D4D4" w:sz="4" w:space="0"/>
              <w:right w:val="single" w:color="D4D4D4" w:sz="4" w:space="0"/>
            </w:tcBorders>
            <w:shd w:val="clear" w:color="auto" w:fill="FFFFFF" w:themeFill="background1"/>
            <w:vAlign w:val="center"/>
          </w:tcPr>
          <w:p w14:paraId="1B4F0AF3">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902" w:type="pct"/>
            <w:vMerge w:val="continue"/>
            <w:tcBorders>
              <w:top w:val="nil"/>
              <w:left w:val="nil"/>
              <w:bottom w:val="single" w:color="D4D4D4" w:sz="4" w:space="0"/>
              <w:right w:val="single" w:color="D4D4D4" w:sz="4" w:space="0"/>
            </w:tcBorders>
            <w:shd w:val="clear" w:color="auto" w:fill="FFFFFF" w:themeFill="background1"/>
            <w:vAlign w:val="center"/>
          </w:tcPr>
          <w:p w14:paraId="018D9E7E">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387" w:type="pct"/>
            <w:vMerge w:val="continue"/>
            <w:tcBorders>
              <w:top w:val="nil"/>
              <w:left w:val="nil"/>
              <w:bottom w:val="single" w:color="D4D4D4" w:sz="4" w:space="0"/>
              <w:right w:val="single" w:color="D4D4D4" w:sz="4" w:space="0"/>
            </w:tcBorders>
            <w:shd w:val="clear" w:color="auto" w:fill="FFFFFF" w:themeFill="background1"/>
            <w:vAlign w:val="center"/>
          </w:tcPr>
          <w:p w14:paraId="25AD7991">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r>
      <w:tr w14:paraId="27AE7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7EF814F2">
            <w:pPr>
              <w:keepNext w:val="0"/>
              <w:keepLines w:val="0"/>
              <w:widowControl/>
              <w:suppressLineNumbers w:val="0"/>
              <w:shd w:val="clear"/>
              <w:tabs>
                <w:tab w:val="left" w:pos="630"/>
              </w:tabs>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216D55F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工资福利支出</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3629B73F">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eastAsia="zh-CN"/>
                <w14:textFill>
                  <w14:solidFill>
                    <w14:schemeClr w14:val="tx1"/>
                  </w14:solidFill>
                </w14:textFill>
              </w:rPr>
            </w:pPr>
            <w:r>
              <w:rPr>
                <w:rFonts w:hint="eastAsia" w:ascii="仿宋" w:hAnsi="仿宋" w:eastAsia="仿宋" w:cs="仿宋"/>
                <w:i w:val="0"/>
                <w:iCs w:val="0"/>
                <w:color w:val="000000" w:themeColor="text1"/>
                <w:sz w:val="28"/>
                <w:szCs w:val="28"/>
                <w:u w:val="none"/>
                <w:lang w:val="en-US" w:eastAsia="zh-CN"/>
                <w14:textFill>
                  <w14:solidFill>
                    <w14:schemeClr w14:val="tx1"/>
                  </w14:solidFill>
                </w14:textFill>
              </w:rPr>
              <w:t>1803.32</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0FEF0ED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7D91CB6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商品和服务支出</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04908635">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eastAsia="zh-CN"/>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500.54</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5708BBC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307</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20776EB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债务利息及费用支出</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37879C85">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48CCE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817"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49B8124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30101</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60C27CF3">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基本工资</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2B39A562">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sz w:val="28"/>
                <w:szCs w:val="28"/>
                <w:u w:val="none"/>
                <w:lang w:val="en-US" w:eastAsia="zh-CN"/>
                <w14:textFill>
                  <w14:solidFill>
                    <w14:schemeClr w14:val="tx1"/>
                  </w14:solidFill>
                </w14:textFill>
              </w:rPr>
              <w:t>629.62</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3681A73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30201</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789D61C1">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办公费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237B1D70">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137.95</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17FD461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30701</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5F3D1F6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国内债务付息</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231FC6A5">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59887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851"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7FAD6C4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30102</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288350F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津贴补贴</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4BD882F0">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249.10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52B5B17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30202</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DBF0AD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印刷费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17008F01">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6.03</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2E31C00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30702</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1B50794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国外债务付息</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76AFA233">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51581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13DA7BAE">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30103</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6D9CFE73">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奖金</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1D3CB4AE">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312.00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7F96085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30203</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74B18C0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咨询费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7F081660">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041BCBF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474E00F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资本性支出</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18B94E14">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207B2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4F76D72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30106</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0BF37AC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伙食补助费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41993C96">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51.96</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0CEB915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30204</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25CC5D0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手续费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1359F61E">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43AEF95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31001</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3F1C162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房屋建筑物购建</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3EA79222">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2FD93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97"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7ED5555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30107</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54BBDD1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绩效工资</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69DEBF5C">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68.02</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70408F2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30205</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2A023DD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水费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2CC52418">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2.18</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6C8E89E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31002</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0B8BA0A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办公设备购置</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5704D709">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74EF7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865"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22A821C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30108</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70083E6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机关事业单位基本养老保险缴费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28CEE6B0">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106.02</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512F3723">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30206</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077E639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电费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4D62A8C9">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7.12</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12389D4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31003</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34CA77CE">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专用设备购置</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2F09C0F5">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6BD4A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287"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40EBD21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30109</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356228E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职业年金缴费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365B995A">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34.73</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0365DEB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30207</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125A6FF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邮电费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3330BFCA">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4EDB599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31005</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2C7894A1">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基础设施建设</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6C53FAB5">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3CA6F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6"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5CEDBEF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30110</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1C75687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职工基本医疗保险缴费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3A8585B3">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60.68</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4037AE53">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30208</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07C9B55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取暖费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66DC7BA7">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040DEEF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31006</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5E7304E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大型修缮</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0C805885">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6AC1C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6"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216BADC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30111</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14FE358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公务员医疗补助缴费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65DE6EBA">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89.50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30B4351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30209</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E97E0A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物业管理费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39D3C9D4">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5C3FF593">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31007</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73049A9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信息网络及软件购置更新</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6FE309E8">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0C49F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1"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22509B1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30112</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443052F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其他社会保障缴费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69DE58DA">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106.23</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71EDB7D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30211</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42945DE">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差旅费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5EDBE34A">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56.23</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6587AD1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31008</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6D39025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物资储备</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7E05EA18">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41048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08C1FFDE">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30113</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3CA7A22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住房公积金</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47988576">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eastAsia="zh-CN"/>
                <w14:textFill>
                  <w14:solidFill>
                    <w14:schemeClr w14:val="tx1"/>
                  </w14:solidFill>
                </w14:textFill>
              </w:rPr>
            </w:pPr>
            <w:r>
              <w:rPr>
                <w:rFonts w:hint="eastAsia" w:ascii="仿宋" w:hAnsi="仿宋" w:eastAsia="仿宋" w:cs="仿宋"/>
                <w:i w:val="0"/>
                <w:iCs w:val="0"/>
                <w:color w:val="000000" w:themeColor="text1"/>
                <w:sz w:val="28"/>
                <w:szCs w:val="28"/>
                <w:u w:val="none"/>
                <w:lang w:val="en-US" w:eastAsia="zh-CN"/>
                <w14:textFill>
                  <w14:solidFill>
                    <w14:schemeClr w14:val="tx1"/>
                  </w14:solidFill>
                </w14:textFill>
              </w:rPr>
              <w:t>95.46</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6FFF57F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30212</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177C2E92">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因公出国（境）费用</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0431666B">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728399F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31009</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71CB015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土地补偿</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5BF144BB">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50291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511E3223">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30114</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3599BEA1">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医疗费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63FFEE83">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5C7EB9F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30213</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6CA7012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维修（护）费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56AB6E62">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9.45</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4DB1C17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31010</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4CCC992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安置补助</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23ADE0D9">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6A5FB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3"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58568CA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30199</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311F7A1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其他工资福利支出</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5654D8F0">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08B9BD6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30214</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CC5B24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租赁费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54E1D852">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069BF29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31011</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3C1C0D5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地上附着物和青苗补偿</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64D4A78A">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5B0D1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7"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783AB38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1BB7F15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对个人和家庭的补助</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5310D724">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18.37</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5C7D2F8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30215</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146C4D1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会议费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08046902">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1.78</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7FD3C28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31012</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77B75DF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拆迁补偿</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34F22A05">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39C2A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2"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231D270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30301</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188376D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离休费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0090F974">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6E16885E">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30216</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1DD0F7C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培训费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1B25F62B">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3.56</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655FC20E">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31013</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56FED03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公务用车购置</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2F8A552F">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2A649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142529D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30302</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7C38CEE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退休费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0CF6189E">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0CD9534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30217</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D841B3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公务接待费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59307756">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5A742DF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31019</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53FA6A7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其他交通工具购置</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13246F49">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6275D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70A38F5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30303</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6E31708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退职（役）费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1BD0E6D7">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12B1B1B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30218</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6B22916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专用材料费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53F37DE4">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3.85</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3A30B93E">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31021</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2E2AF161">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文物和陈列品购置</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6A6751FA">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4F26A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0A757F2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30304</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6CB3276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抚恤金</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526F6564">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15637DB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30224</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7B06361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被装购置费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1314F83E">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288C52C1">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31022</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4529911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无形资产购置</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34A31553">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2BC27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2"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1155760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30305</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3059413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生活补助</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34647286">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13.48</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2C304ED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30225</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141A42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专用燃料费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1915B63E">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16CE7061">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31099</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79558F4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其他资本性支出</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174D72A0">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06FD9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152"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6CE20A2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30306</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37F6302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救济费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6B432C29">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2E0DCB6C">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30226</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C81687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劳务费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0A62A23F">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138.12</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63D6A07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7A038F8B">
            <w:pPr>
              <w:keepNext w:val="0"/>
              <w:keepLines w:val="0"/>
              <w:widowControl/>
              <w:suppressLineNumbers w:val="0"/>
              <w:shd w:val="clear"/>
              <w:ind w:firstLine="280" w:firstLine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其他支出</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4F599AD4">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4F3CA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5"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1E578FB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30307</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149A95C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医疗费补助</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106EECF7">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6480E731">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30227</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7A7B90E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委托业务费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5899CF08">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7.6</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4CF11E17">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39907</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67C6B6D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国家赔偿费用支出</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33641780">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2FE25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8"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09186053">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30308</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3A3FD6F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助学金</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722F7DCB">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39AFAA5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30228</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0C596AB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工会经费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659D81AC">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10.55</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412204F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39908</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312FC388">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对民间非营利组织和群众性自治组织补贴</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07C11F18">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592CA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148A03B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30309</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21B7851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奖励金</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4D5163CE">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0.59</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3492AF6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30229</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2F09513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福利费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27C95D4D">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13.08</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0C74F47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39909</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58FA971A">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经常性赠与</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4AD324A3">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3C75D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5BAB8846">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30310</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7C5B5E24">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个人农业生产补贴</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49614BC5">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478FA02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30231</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3AAA2F79">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公务用车运行维护费</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743122AB">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5A5347B5">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39910</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238D3502">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资本性赠与</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2349680B">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539DB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1"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45EC04F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30311</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117ABAF8">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代缴社会保险费</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2ECCEAF7">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66423DF9">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30239</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3CD23BF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其他交通费用</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4C634713">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10.1</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175B1C8F">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39999</w:t>
            </w: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706BC9E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其他支出</w:t>
            </w: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7977E3BE">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14:paraId="51857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822"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4C8D556D">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30399</w:t>
            </w: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70566442">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其他对个人和家庭的补助</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6C97018A">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4.30</w:t>
            </w: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25A04F70">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30240</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55D52EFB">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税金及附加费用</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09CEC6B7">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575CF4FB">
            <w:pPr>
              <w:shd w:val="clear"/>
              <w:jc w:val="left"/>
              <w:rPr>
                <w:rFonts w:hint="eastAsia" w:ascii="仿宋" w:hAnsi="仿宋" w:eastAsia="仿宋" w:cs="仿宋"/>
                <w:i w:val="0"/>
                <w:iCs w:val="0"/>
                <w:color w:val="000000" w:themeColor="text1"/>
                <w:sz w:val="28"/>
                <w:szCs w:val="28"/>
                <w:u w:val="none"/>
                <w14:textFill>
                  <w14:solidFill>
                    <w14:schemeClr w14:val="tx1"/>
                  </w14:solidFill>
                </w14:textFill>
              </w:rPr>
            </w:pP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2892C422">
            <w:pPr>
              <w:shd w:val="clear"/>
              <w:jc w:val="left"/>
              <w:rPr>
                <w:rFonts w:hint="eastAsia" w:ascii="仿宋" w:hAnsi="仿宋" w:eastAsia="仿宋" w:cs="仿宋"/>
                <w:i w:val="0"/>
                <w:iCs w:val="0"/>
                <w:color w:val="000000" w:themeColor="text1"/>
                <w:sz w:val="28"/>
                <w:szCs w:val="28"/>
                <w:u w:val="none"/>
                <w14:textFill>
                  <w14:solidFill>
                    <w14:schemeClr w14:val="tx1"/>
                  </w14:solidFill>
                </w14:textFill>
              </w:rPr>
            </w:pP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4440F496">
            <w:pPr>
              <w:shd w:val="clear"/>
              <w:jc w:val="right"/>
              <w:rPr>
                <w:rFonts w:hint="eastAsia" w:ascii="仿宋" w:hAnsi="仿宋" w:eastAsia="仿宋" w:cs="仿宋"/>
                <w:i w:val="0"/>
                <w:iCs w:val="0"/>
                <w:color w:val="000000" w:themeColor="text1"/>
                <w:sz w:val="28"/>
                <w:szCs w:val="28"/>
                <w:u w:val="none"/>
                <w14:textFill>
                  <w14:solidFill>
                    <w14:schemeClr w14:val="tx1"/>
                  </w14:solidFill>
                </w14:textFill>
              </w:rPr>
            </w:pPr>
          </w:p>
        </w:tc>
      </w:tr>
      <w:tr w14:paraId="2862C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1" w:hRule="exact"/>
        </w:trPr>
        <w:tc>
          <w:tcPr>
            <w:tcW w:w="508" w:type="pct"/>
            <w:tcBorders>
              <w:top w:val="nil"/>
              <w:left w:val="nil"/>
              <w:bottom w:val="single" w:color="D4D4D4" w:sz="4" w:space="0"/>
              <w:right w:val="single" w:color="D4D4D4" w:sz="4" w:space="0"/>
            </w:tcBorders>
            <w:shd w:val="clear" w:color="auto" w:fill="FFFFFF" w:themeFill="background1"/>
            <w:noWrap/>
            <w:vAlign w:val="center"/>
          </w:tcPr>
          <w:p w14:paraId="08D31B5D">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706" w:type="pct"/>
            <w:tcBorders>
              <w:top w:val="nil"/>
              <w:left w:val="nil"/>
              <w:bottom w:val="single" w:color="D4D4D4" w:sz="4" w:space="0"/>
              <w:right w:val="single" w:color="D4D4D4" w:sz="4" w:space="0"/>
            </w:tcBorders>
            <w:shd w:val="clear" w:color="auto" w:fill="FFFFFF" w:themeFill="background1"/>
            <w:noWrap/>
            <w:vAlign w:val="center"/>
          </w:tcPr>
          <w:p w14:paraId="0F4FE2C8">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3BD3FC74">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365" w:type="pct"/>
            <w:tcBorders>
              <w:top w:val="nil"/>
              <w:left w:val="nil"/>
              <w:bottom w:val="single" w:color="D4D4D4" w:sz="4" w:space="0"/>
              <w:right w:val="single" w:color="D4D4D4" w:sz="4" w:space="0"/>
            </w:tcBorders>
            <w:shd w:val="clear" w:color="auto" w:fill="FFFFFF" w:themeFill="background1"/>
            <w:noWrap/>
            <w:vAlign w:val="center"/>
          </w:tcPr>
          <w:p w14:paraId="14A9E5E8">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30299</w:t>
            </w:r>
          </w:p>
        </w:tc>
        <w:tc>
          <w:tcPr>
            <w:tcW w:w="716" w:type="pct"/>
            <w:tcBorders>
              <w:top w:val="nil"/>
              <w:left w:val="nil"/>
              <w:bottom w:val="single" w:color="D4D4D4" w:sz="4" w:space="0"/>
              <w:right w:val="single" w:color="D4D4D4" w:sz="4" w:space="0"/>
            </w:tcBorders>
            <w:shd w:val="clear" w:color="auto" w:fill="FFFFFF" w:themeFill="background1"/>
            <w:noWrap/>
            <w:vAlign w:val="center"/>
          </w:tcPr>
          <w:p w14:paraId="7E3BDA27">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其他商品和服务支出</w:t>
            </w:r>
          </w:p>
        </w:tc>
        <w:tc>
          <w:tcPr>
            <w:tcW w:w="612" w:type="pct"/>
            <w:tcBorders>
              <w:top w:val="nil"/>
              <w:left w:val="nil"/>
              <w:bottom w:val="single" w:color="D4D4D4" w:sz="4" w:space="0"/>
              <w:right w:val="single" w:color="D4D4D4" w:sz="4" w:space="0"/>
            </w:tcBorders>
            <w:shd w:val="clear" w:color="auto" w:fill="FFFFFF" w:themeFill="background1"/>
            <w:noWrap/>
            <w:vAlign w:val="center"/>
          </w:tcPr>
          <w:p w14:paraId="7DFD9534">
            <w:pPr>
              <w:keepNext w:val="0"/>
              <w:keepLines w:val="0"/>
              <w:widowControl/>
              <w:suppressLineNumbers w:val="0"/>
              <w:shd w:val="clear"/>
              <w:ind w:firstLine="280" w:firstLineChars="100"/>
              <w:jc w:val="left"/>
              <w:textAlignment w:val="center"/>
              <w:rPr>
                <w:rFonts w:hint="default"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92.93</w:t>
            </w:r>
          </w:p>
        </w:tc>
        <w:tc>
          <w:tcPr>
            <w:tcW w:w="306" w:type="pct"/>
            <w:tcBorders>
              <w:top w:val="nil"/>
              <w:left w:val="nil"/>
              <w:bottom w:val="single" w:color="D4D4D4" w:sz="4" w:space="0"/>
              <w:right w:val="single" w:color="D4D4D4" w:sz="4" w:space="0"/>
            </w:tcBorders>
            <w:shd w:val="clear" w:color="auto" w:fill="FFFFFF" w:themeFill="background1"/>
            <w:noWrap/>
            <w:vAlign w:val="center"/>
          </w:tcPr>
          <w:p w14:paraId="37E2EA9F">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902" w:type="pct"/>
            <w:tcBorders>
              <w:top w:val="nil"/>
              <w:left w:val="nil"/>
              <w:bottom w:val="single" w:color="D4D4D4" w:sz="4" w:space="0"/>
              <w:right w:val="single" w:color="D4D4D4" w:sz="4" w:space="0"/>
            </w:tcBorders>
            <w:shd w:val="clear" w:color="auto" w:fill="FFFFFF" w:themeFill="background1"/>
            <w:noWrap/>
            <w:vAlign w:val="center"/>
          </w:tcPr>
          <w:p w14:paraId="2FA62194">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387" w:type="pct"/>
            <w:tcBorders>
              <w:top w:val="nil"/>
              <w:left w:val="nil"/>
              <w:bottom w:val="single" w:color="D4D4D4" w:sz="4" w:space="0"/>
              <w:right w:val="single" w:color="D4D4D4" w:sz="4" w:space="0"/>
            </w:tcBorders>
            <w:shd w:val="clear" w:color="auto" w:fill="FFFFFF" w:themeFill="background1"/>
            <w:noWrap/>
            <w:vAlign w:val="center"/>
          </w:tcPr>
          <w:p w14:paraId="65C7E5F3">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r>
      <w:tr w14:paraId="3F7A1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exact"/>
        </w:trPr>
        <w:tc>
          <w:tcPr>
            <w:tcW w:w="1214" w:type="pct"/>
            <w:gridSpan w:val="2"/>
            <w:tcBorders>
              <w:top w:val="nil"/>
              <w:left w:val="nil"/>
              <w:bottom w:val="single" w:color="D4D4D4" w:sz="4" w:space="0"/>
              <w:right w:val="single" w:color="D4D4D4" w:sz="4" w:space="0"/>
            </w:tcBorders>
            <w:shd w:val="clear" w:color="auto" w:fill="FFFFFF" w:themeFill="background1"/>
            <w:noWrap/>
            <w:vAlign w:val="center"/>
          </w:tcPr>
          <w:p w14:paraId="187D387F">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人员经费合计</w:t>
            </w:r>
          </w:p>
        </w:tc>
        <w:tc>
          <w:tcPr>
            <w:tcW w:w="494" w:type="pct"/>
            <w:tcBorders>
              <w:top w:val="nil"/>
              <w:left w:val="nil"/>
              <w:bottom w:val="single" w:color="D4D4D4" w:sz="4" w:space="0"/>
              <w:right w:val="single" w:color="D4D4D4" w:sz="4" w:space="0"/>
            </w:tcBorders>
            <w:shd w:val="clear" w:color="auto" w:fill="FFFFFF" w:themeFill="background1"/>
            <w:noWrap/>
            <w:vAlign w:val="center"/>
          </w:tcPr>
          <w:p w14:paraId="02EC8B81">
            <w:pPr>
              <w:keepNext w:val="0"/>
              <w:keepLines w:val="0"/>
              <w:widowControl/>
              <w:suppressLineNumbers w:val="0"/>
              <w:shd w:val="clear"/>
              <w:jc w:val="left"/>
              <w:textAlignment w:val="center"/>
              <w:rPr>
                <w:rFonts w:hint="default"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1821.69</w:t>
            </w:r>
          </w:p>
        </w:tc>
        <w:tc>
          <w:tcPr>
            <w:tcW w:w="3290" w:type="pct"/>
            <w:gridSpan w:val="6"/>
            <w:tcBorders>
              <w:top w:val="nil"/>
              <w:left w:val="nil"/>
              <w:bottom w:val="single" w:color="D4D4D4" w:sz="4" w:space="0"/>
              <w:right w:val="single" w:color="D4D4D4" w:sz="4" w:space="0"/>
            </w:tcBorders>
            <w:shd w:val="clear" w:color="auto" w:fill="FFFFFF" w:themeFill="background1"/>
            <w:noWrap/>
            <w:vAlign w:val="center"/>
          </w:tcPr>
          <w:p w14:paraId="4AFB8264">
            <w:pPr>
              <w:keepNext w:val="0"/>
              <w:keepLines w:val="0"/>
              <w:widowControl/>
              <w:suppressLineNumbers w:val="0"/>
              <w:shd w:val="clear"/>
              <w:jc w:val="left"/>
              <w:textAlignment w:val="center"/>
              <w:rPr>
                <w:rFonts w:hint="default"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公用经费合计                                                 500.54</w:t>
            </w:r>
          </w:p>
        </w:tc>
      </w:tr>
    </w:tbl>
    <w:p w14:paraId="2614E66F">
      <w:pPr>
        <w:keepNext w:val="0"/>
        <w:keepLines w:val="0"/>
        <w:widowControl/>
        <w:suppressLineNumbers w:val="0"/>
        <w:shd w:val="clear"/>
        <w:jc w:val="left"/>
        <w:textAlignment w:val="center"/>
        <w:rPr>
          <w:rFonts w:hint="eastAsia" w:ascii="仿宋" w:hAnsi="仿宋" w:eastAsia="仿宋" w:cs="仿宋"/>
          <w:color w:val="000000" w:themeColor="text1"/>
          <w:sz w:val="36"/>
          <w:szCs w:val="36"/>
          <w:u w:val="none"/>
          <w14:textFill>
            <w14:solidFill>
              <w14:schemeClr w14:val="tx1"/>
            </w14:solidFill>
          </w14:textFill>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注：本表反映部门年度一般公共预算财政拨款基本支出明细情况。</w:t>
      </w:r>
    </w:p>
    <w:p w14:paraId="740FF762">
      <w:pPr>
        <w:shd w:val="clear"/>
        <w:autoSpaceDE w:val="0"/>
        <w:autoSpaceDN w:val="0"/>
        <w:adjustRightInd w:val="0"/>
        <w:ind w:left="315" w:leftChars="150"/>
        <w:jc w:val="left"/>
        <w:rPr>
          <w:rFonts w:hint="eastAsia" w:ascii="仿宋" w:hAnsi="仿宋" w:eastAsia="仿宋" w:cs="仿宋"/>
          <w:color w:val="000000" w:themeColor="text1"/>
          <w:kern w:val="0"/>
          <w:sz w:val="32"/>
          <w:szCs w:val="32"/>
          <w:u w:val="none"/>
          <w14:textFill>
            <w14:solidFill>
              <w14:schemeClr w14:val="tx1"/>
            </w14:solidFill>
          </w14:textFill>
        </w:rPr>
      </w:pPr>
      <w:bookmarkStart w:id="0" w:name="RANGE_A1_I22"/>
      <w:bookmarkEnd w:id="0"/>
    </w:p>
    <w:p w14:paraId="1DF68364">
      <w:pPr>
        <w:widowControl/>
        <w:shd w:val="clear"/>
        <w:jc w:val="center"/>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w:t>
      </w:r>
    </w:p>
    <w:p w14:paraId="4DBDB4CD">
      <w:pPr>
        <w:widowControl/>
        <w:shd w:val="clear"/>
        <w:jc w:val="center"/>
        <w:rPr>
          <w:rFonts w:hint="eastAsia" w:ascii="仿宋" w:hAnsi="仿宋" w:eastAsia="仿宋" w:cs="仿宋"/>
          <w:color w:val="000000" w:themeColor="text1"/>
          <w:kern w:val="0"/>
          <w:sz w:val="36"/>
          <w:szCs w:val="36"/>
          <w:u w:val="none"/>
          <w14:textFill>
            <w14:solidFill>
              <w14:schemeClr w14:val="tx1"/>
            </w14:solidFill>
          </w14:textFill>
        </w:rPr>
      </w:pPr>
      <w:r>
        <w:rPr>
          <w:rFonts w:hint="eastAsia" w:ascii="仿宋" w:hAnsi="仿宋" w:eastAsia="仿宋" w:cs="仿宋"/>
          <w:color w:val="000000" w:themeColor="text1"/>
          <w:kern w:val="0"/>
          <w:sz w:val="36"/>
          <w:szCs w:val="36"/>
          <w:u w:val="none"/>
          <w14:textFill>
            <w14:solidFill>
              <w14:schemeClr w14:val="tx1"/>
            </w14:solidFill>
          </w14:textFill>
        </w:rPr>
        <w:t>政府性基金预算财政拨款收入支出决算表</w:t>
      </w:r>
    </w:p>
    <w:p w14:paraId="121E7123">
      <w:pPr>
        <w:pStyle w:val="14"/>
        <w:shd w:val="clear"/>
        <w:rPr>
          <w:rFonts w:hint="eastAsia" w:ascii="仿宋" w:hAnsi="仿宋" w:eastAsia="仿宋" w:cs="仿宋"/>
          <w:color w:val="000000" w:themeColor="text1"/>
          <w:kern w:val="0"/>
          <w:sz w:val="32"/>
          <w:szCs w:val="32"/>
          <w:u w:val="none"/>
          <w14:textFill>
            <w14:solidFill>
              <w14:schemeClr w14:val="tx1"/>
            </w14:solidFill>
          </w14:textFill>
        </w:rPr>
      </w:pPr>
    </w:p>
    <w:p w14:paraId="4285CFE7">
      <w:pPr>
        <w:widowControl/>
        <w:shd w:val="clear"/>
        <w:wordWrap w:val="0"/>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color w:val="000000" w:themeColor="text1"/>
          <w:kern w:val="0"/>
          <w:sz w:val="32"/>
          <w:szCs w:val="32"/>
          <w:u w:val="none"/>
          <w14:textFill>
            <w14:solidFill>
              <w14:schemeClr w14:val="tx1"/>
            </w14:solidFill>
          </w14:textFill>
        </w:rPr>
        <w:t xml:space="preserve">部门： </w:t>
      </w:r>
      <w:r>
        <w:rPr>
          <w:rFonts w:hint="eastAsia" w:ascii="仿宋" w:hAnsi="仿宋" w:eastAsia="仿宋" w:cs="仿宋"/>
          <w:color w:val="000000" w:themeColor="text1"/>
          <w:kern w:val="0"/>
          <w:sz w:val="32"/>
          <w:szCs w:val="32"/>
          <w:u w:val="none"/>
          <w:lang w:eastAsia="zh-CN"/>
          <w14:textFill>
            <w14:solidFill>
              <w14:schemeClr w14:val="tx1"/>
            </w14:solidFill>
          </w14:textFill>
        </w:rPr>
        <w:t>湘潭县分水乡人民政府</w:t>
      </w:r>
      <w:r>
        <w:rPr>
          <w:rFonts w:hint="eastAsia" w:ascii="仿宋" w:hAnsi="仿宋" w:eastAsia="仿宋" w:cs="仿宋"/>
          <w:color w:val="000000" w:themeColor="text1"/>
          <w:kern w:val="0"/>
          <w:sz w:val="32"/>
          <w:szCs w:val="32"/>
          <w:u w:val="none"/>
          <w14:textFill>
            <w14:solidFill>
              <w14:schemeClr w14:val="tx1"/>
            </w14:solidFill>
          </w14:textFill>
        </w:rPr>
        <w:t xml:space="preserve">                                                                                                                      公开0</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7</w:t>
      </w:r>
      <w:r>
        <w:rPr>
          <w:rFonts w:hint="eastAsia" w:ascii="仿宋" w:hAnsi="仿宋" w:eastAsia="仿宋" w:cs="仿宋"/>
          <w:color w:val="000000" w:themeColor="text1"/>
          <w:kern w:val="0"/>
          <w:sz w:val="32"/>
          <w:szCs w:val="32"/>
          <w:u w:val="none"/>
          <w14:textFill>
            <w14:solidFill>
              <w14:schemeClr w14:val="tx1"/>
            </w14:solidFill>
          </w14:textFill>
        </w:rPr>
        <w:t>表</w:t>
      </w:r>
    </w:p>
    <w:p w14:paraId="76D731F7">
      <w:pPr>
        <w:widowControl/>
        <w:shd w:val="clear"/>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单位：万元</w:t>
      </w:r>
    </w:p>
    <w:tbl>
      <w:tblPr>
        <w:tblStyle w:val="12"/>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1E78ED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689F60A">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 xml:space="preserve">项 </w:t>
            </w:r>
            <w:r>
              <w:rPr>
                <w:rFonts w:hint="eastAsia" w:ascii="仿宋" w:hAnsi="仿宋" w:eastAsia="仿宋" w:cs="仿宋"/>
                <w:b/>
                <w:bCs/>
                <w:color w:val="000000" w:themeColor="text1"/>
                <w:kern w:val="0"/>
                <w:sz w:val="28"/>
                <w:szCs w:val="28"/>
                <w:u w:val="none"/>
                <w14:textFill>
                  <w14:solidFill>
                    <w14:schemeClr w14:val="tx1"/>
                  </w14:solidFill>
                </w14:textFill>
              </w:rPr>
              <w:t xml:space="preserve">   </w:t>
            </w:r>
            <w:r>
              <w:rPr>
                <w:rFonts w:hint="eastAsia" w:ascii="仿宋" w:hAnsi="仿宋" w:eastAsia="仿宋" w:cs="仿宋"/>
                <w:b/>
                <w:bCs/>
                <w:color w:val="000000" w:themeColor="text1"/>
                <w:kern w:val="0"/>
                <w:sz w:val="28"/>
                <w:szCs w:val="28"/>
                <w:u w:val="none"/>
                <w14:textFill>
                  <w14:solidFill>
                    <w14:schemeClr w14:val="tx1"/>
                  </w14:solidFill>
                </w14:textFill>
              </w:rPr>
              <w:t>目</w:t>
            </w:r>
          </w:p>
        </w:tc>
        <w:tc>
          <w:tcPr>
            <w:tcW w:w="2000" w:type="dxa"/>
            <w:vMerge w:val="restart"/>
            <w:vAlign w:val="center"/>
          </w:tcPr>
          <w:p w14:paraId="105C635F">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年初结转和结余</w:t>
            </w:r>
          </w:p>
        </w:tc>
        <w:tc>
          <w:tcPr>
            <w:tcW w:w="2000" w:type="dxa"/>
            <w:vMerge w:val="restart"/>
            <w:vAlign w:val="center"/>
          </w:tcPr>
          <w:p w14:paraId="47C6A7EA">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本年收入</w:t>
            </w:r>
          </w:p>
        </w:tc>
        <w:tc>
          <w:tcPr>
            <w:tcW w:w="6000" w:type="dxa"/>
            <w:gridSpan w:val="3"/>
            <w:vAlign w:val="center"/>
          </w:tcPr>
          <w:p w14:paraId="0245524F">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本年支出</w:t>
            </w:r>
          </w:p>
        </w:tc>
        <w:tc>
          <w:tcPr>
            <w:tcW w:w="2000" w:type="dxa"/>
            <w:vMerge w:val="restart"/>
            <w:vAlign w:val="center"/>
          </w:tcPr>
          <w:p w14:paraId="769753F9">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年末结转和结余</w:t>
            </w:r>
          </w:p>
        </w:tc>
      </w:tr>
      <w:tr w14:paraId="11705D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15282F53">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功能分类科目编码</w:t>
            </w:r>
          </w:p>
        </w:tc>
        <w:tc>
          <w:tcPr>
            <w:tcW w:w="1320" w:type="dxa"/>
            <w:vMerge w:val="restart"/>
            <w:vAlign w:val="center"/>
          </w:tcPr>
          <w:p w14:paraId="03ECAF4C">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科目名称</w:t>
            </w:r>
          </w:p>
        </w:tc>
        <w:tc>
          <w:tcPr>
            <w:tcW w:w="2000" w:type="dxa"/>
            <w:vMerge w:val="continue"/>
            <w:vAlign w:val="center"/>
          </w:tcPr>
          <w:p w14:paraId="3856D778">
            <w:pPr>
              <w:widowControl/>
              <w:shd w:val="clear"/>
              <w:jc w:val="left"/>
              <w:rPr>
                <w:rFonts w:hint="eastAsia" w:ascii="仿宋" w:hAnsi="仿宋" w:eastAsia="仿宋" w:cs="仿宋"/>
                <w:b/>
                <w:bCs/>
                <w:color w:val="000000" w:themeColor="text1"/>
                <w:kern w:val="0"/>
                <w:sz w:val="28"/>
                <w:szCs w:val="28"/>
                <w:u w:val="none"/>
                <w14:textFill>
                  <w14:solidFill>
                    <w14:schemeClr w14:val="tx1"/>
                  </w14:solidFill>
                </w14:textFill>
              </w:rPr>
            </w:pPr>
          </w:p>
        </w:tc>
        <w:tc>
          <w:tcPr>
            <w:tcW w:w="2000" w:type="dxa"/>
            <w:vMerge w:val="continue"/>
            <w:vAlign w:val="center"/>
          </w:tcPr>
          <w:p w14:paraId="210109D9">
            <w:pPr>
              <w:widowControl/>
              <w:shd w:val="clear"/>
              <w:jc w:val="left"/>
              <w:rPr>
                <w:rFonts w:hint="eastAsia" w:ascii="仿宋" w:hAnsi="仿宋" w:eastAsia="仿宋" w:cs="仿宋"/>
                <w:b/>
                <w:bCs/>
                <w:color w:val="000000" w:themeColor="text1"/>
                <w:kern w:val="0"/>
                <w:sz w:val="28"/>
                <w:szCs w:val="28"/>
                <w:u w:val="none"/>
                <w14:textFill>
                  <w14:solidFill>
                    <w14:schemeClr w14:val="tx1"/>
                  </w14:solidFill>
                </w14:textFill>
              </w:rPr>
            </w:pPr>
          </w:p>
        </w:tc>
        <w:tc>
          <w:tcPr>
            <w:tcW w:w="2000" w:type="dxa"/>
            <w:vMerge w:val="restart"/>
            <w:vAlign w:val="center"/>
          </w:tcPr>
          <w:p w14:paraId="6703A638">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小计</w:t>
            </w:r>
          </w:p>
        </w:tc>
        <w:tc>
          <w:tcPr>
            <w:tcW w:w="2000" w:type="dxa"/>
            <w:vMerge w:val="restart"/>
            <w:vAlign w:val="center"/>
          </w:tcPr>
          <w:p w14:paraId="456B5BE9">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 xml:space="preserve">基本支出  </w:t>
            </w:r>
          </w:p>
        </w:tc>
        <w:tc>
          <w:tcPr>
            <w:tcW w:w="2000" w:type="dxa"/>
            <w:vMerge w:val="restart"/>
            <w:vAlign w:val="center"/>
          </w:tcPr>
          <w:p w14:paraId="605CE18D">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项目支出</w:t>
            </w:r>
          </w:p>
        </w:tc>
        <w:tc>
          <w:tcPr>
            <w:tcW w:w="2000" w:type="dxa"/>
            <w:vMerge w:val="continue"/>
            <w:vAlign w:val="center"/>
          </w:tcPr>
          <w:p w14:paraId="26B4F0C8">
            <w:pPr>
              <w:widowControl/>
              <w:shd w:val="clear"/>
              <w:jc w:val="left"/>
              <w:rPr>
                <w:rFonts w:hint="eastAsia" w:ascii="仿宋" w:hAnsi="仿宋" w:eastAsia="仿宋" w:cs="仿宋"/>
                <w:b/>
                <w:bCs/>
                <w:color w:val="000000" w:themeColor="text1"/>
                <w:kern w:val="0"/>
                <w:sz w:val="28"/>
                <w:szCs w:val="28"/>
                <w:u w:val="none"/>
                <w14:textFill>
                  <w14:solidFill>
                    <w14:schemeClr w14:val="tx1"/>
                  </w14:solidFill>
                </w14:textFill>
              </w:rPr>
            </w:pPr>
          </w:p>
        </w:tc>
      </w:tr>
      <w:tr w14:paraId="7D0BE5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234861EC">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1320" w:type="dxa"/>
            <w:vMerge w:val="continue"/>
            <w:vAlign w:val="center"/>
          </w:tcPr>
          <w:p w14:paraId="7B2891EE">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5FD33DFA">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481CD678">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4257B8AE">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0381F3D3">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790725EF">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67ADADCD">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r>
      <w:tr w14:paraId="3F687D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78" w:hRule="atLeast"/>
          <w:jc w:val="center"/>
        </w:trPr>
        <w:tc>
          <w:tcPr>
            <w:tcW w:w="1120" w:type="dxa"/>
            <w:vMerge w:val="continue"/>
            <w:vAlign w:val="center"/>
          </w:tcPr>
          <w:p w14:paraId="6270C519">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1320" w:type="dxa"/>
            <w:vMerge w:val="continue"/>
            <w:vAlign w:val="center"/>
          </w:tcPr>
          <w:p w14:paraId="2E3A1BAE">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296EBB50">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4AF5BFEC">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098AA0F7">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5B804936">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184DF9D2">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14:paraId="16BD2FB3">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r>
      <w:tr w14:paraId="60A2A4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15ECA16">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栏次</w:t>
            </w:r>
          </w:p>
        </w:tc>
        <w:tc>
          <w:tcPr>
            <w:tcW w:w="2000" w:type="dxa"/>
            <w:vAlign w:val="center"/>
          </w:tcPr>
          <w:p w14:paraId="7B61D279">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1</w:t>
            </w:r>
          </w:p>
        </w:tc>
        <w:tc>
          <w:tcPr>
            <w:tcW w:w="2000" w:type="dxa"/>
            <w:vAlign w:val="center"/>
          </w:tcPr>
          <w:p w14:paraId="0897DFBB">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2</w:t>
            </w:r>
          </w:p>
        </w:tc>
        <w:tc>
          <w:tcPr>
            <w:tcW w:w="2000" w:type="dxa"/>
            <w:vAlign w:val="center"/>
          </w:tcPr>
          <w:p w14:paraId="10F689EF">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3</w:t>
            </w:r>
          </w:p>
        </w:tc>
        <w:tc>
          <w:tcPr>
            <w:tcW w:w="2000" w:type="dxa"/>
            <w:vAlign w:val="center"/>
          </w:tcPr>
          <w:p w14:paraId="15EDC49C">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4</w:t>
            </w:r>
          </w:p>
        </w:tc>
        <w:tc>
          <w:tcPr>
            <w:tcW w:w="2000" w:type="dxa"/>
            <w:vAlign w:val="center"/>
          </w:tcPr>
          <w:p w14:paraId="5D5615C8">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5</w:t>
            </w:r>
          </w:p>
        </w:tc>
        <w:tc>
          <w:tcPr>
            <w:tcW w:w="2000" w:type="dxa"/>
            <w:vAlign w:val="center"/>
          </w:tcPr>
          <w:p w14:paraId="378BB656">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6</w:t>
            </w:r>
          </w:p>
        </w:tc>
      </w:tr>
      <w:tr w14:paraId="587ECD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1F095A9B">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2296002用于社会福利的彩票公益金支出</w:t>
            </w:r>
          </w:p>
        </w:tc>
        <w:tc>
          <w:tcPr>
            <w:tcW w:w="2000" w:type="dxa"/>
            <w:vAlign w:val="center"/>
          </w:tcPr>
          <w:p w14:paraId="6D77212B">
            <w:pPr>
              <w:widowControl/>
              <w:shd w:val="clear"/>
              <w:jc w:val="center"/>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p>
        </w:tc>
        <w:tc>
          <w:tcPr>
            <w:tcW w:w="2000" w:type="dxa"/>
            <w:vAlign w:val="center"/>
          </w:tcPr>
          <w:p w14:paraId="30A33B7B">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14:paraId="6E37FAC4">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69.30</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14:paraId="79B85E1D">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14:paraId="10A81602">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69.30</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14:paraId="4D945157">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r>
              <w:rPr>
                <w:rFonts w:hint="eastAsia" w:ascii="仿宋" w:hAnsi="仿宋" w:eastAsia="仿宋" w:cs="仿宋"/>
                <w:color w:val="000000" w:themeColor="text1"/>
                <w:kern w:val="0"/>
                <w:sz w:val="32"/>
                <w:szCs w:val="32"/>
                <w:u w:val="none"/>
                <w14:textFill>
                  <w14:solidFill>
                    <w14:schemeClr w14:val="tx1"/>
                  </w14:solidFill>
                </w14:textFill>
              </w:rPr>
              <w:t>　</w:t>
            </w:r>
          </w:p>
        </w:tc>
      </w:tr>
    </w:tbl>
    <w:p w14:paraId="0072C94B">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注：本表反映部门本年度政府性基金预算财政拨款收入、支出及结转和结余情况</w:t>
      </w:r>
    </w:p>
    <w:p w14:paraId="57D95BA5">
      <w:pPr>
        <w:widowControl/>
        <w:shd w:val="clear"/>
        <w:jc w:val="left"/>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br w:type="page"/>
      </w:r>
    </w:p>
    <w:tbl>
      <w:tblPr>
        <w:tblStyle w:val="12"/>
        <w:tblW w:w="14819" w:type="dxa"/>
        <w:tblInd w:w="455" w:type="dxa"/>
        <w:tblLayout w:type="autofit"/>
        <w:tblCellMar>
          <w:top w:w="0" w:type="dxa"/>
          <w:left w:w="108" w:type="dxa"/>
          <w:bottom w:w="0" w:type="dxa"/>
          <w:right w:w="108" w:type="dxa"/>
        </w:tblCellMar>
      </w:tblPr>
      <w:tblGrid>
        <w:gridCol w:w="856"/>
        <w:gridCol w:w="540"/>
        <w:gridCol w:w="1027"/>
        <w:gridCol w:w="2035"/>
        <w:gridCol w:w="1174"/>
        <w:gridCol w:w="1262"/>
        <w:gridCol w:w="1225"/>
        <w:gridCol w:w="1683"/>
        <w:gridCol w:w="5017"/>
      </w:tblGrid>
      <w:tr w14:paraId="33399CF4">
        <w:tblPrEx>
          <w:tblCellMar>
            <w:top w:w="0" w:type="dxa"/>
            <w:left w:w="108" w:type="dxa"/>
            <w:bottom w:w="0" w:type="dxa"/>
            <w:right w:w="108" w:type="dxa"/>
          </w:tblCellMar>
        </w:tblPrEx>
        <w:trPr>
          <w:trHeight w:val="720" w:hRule="atLeast"/>
        </w:trPr>
        <w:tc>
          <w:tcPr>
            <w:tcW w:w="14819" w:type="dxa"/>
            <w:gridSpan w:val="9"/>
            <w:tcBorders>
              <w:top w:val="nil"/>
              <w:left w:val="nil"/>
              <w:bottom w:val="nil"/>
              <w:right w:val="nil"/>
            </w:tcBorders>
            <w:shd w:val="clear" w:color="000000" w:fill="FFFFFF"/>
            <w:vAlign w:val="center"/>
          </w:tcPr>
          <w:p w14:paraId="270DC73C">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国有资本经营预算财政拨款支出决算表</w:t>
            </w:r>
          </w:p>
        </w:tc>
      </w:tr>
      <w:tr w14:paraId="48EACC23">
        <w:tblPrEx>
          <w:tblCellMar>
            <w:top w:w="0" w:type="dxa"/>
            <w:left w:w="108" w:type="dxa"/>
            <w:bottom w:w="0" w:type="dxa"/>
            <w:right w:w="108" w:type="dxa"/>
          </w:tblCellMar>
        </w:tblPrEx>
        <w:trPr>
          <w:trHeight w:val="387" w:hRule="atLeast"/>
        </w:trPr>
        <w:tc>
          <w:tcPr>
            <w:tcW w:w="856" w:type="dxa"/>
            <w:tcBorders>
              <w:top w:val="nil"/>
              <w:left w:val="nil"/>
              <w:bottom w:val="nil"/>
              <w:right w:val="nil"/>
            </w:tcBorders>
            <w:shd w:val="clear" w:color="000000" w:fill="FFFFFF"/>
            <w:vAlign w:val="center"/>
          </w:tcPr>
          <w:p w14:paraId="02CF5432">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40" w:type="dxa"/>
            <w:tcBorders>
              <w:top w:val="nil"/>
              <w:left w:val="nil"/>
              <w:bottom w:val="nil"/>
              <w:right w:val="nil"/>
            </w:tcBorders>
            <w:shd w:val="clear" w:color="000000" w:fill="FFFFFF"/>
            <w:vAlign w:val="center"/>
          </w:tcPr>
          <w:p w14:paraId="1308E2C9">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nil"/>
              <w:right w:val="nil"/>
            </w:tcBorders>
            <w:shd w:val="clear" w:color="000000" w:fill="FFFFFF"/>
            <w:vAlign w:val="center"/>
          </w:tcPr>
          <w:p w14:paraId="17327C66">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1174" w:type="dxa"/>
            <w:tcBorders>
              <w:top w:val="nil"/>
              <w:left w:val="nil"/>
              <w:bottom w:val="nil"/>
              <w:right w:val="nil"/>
            </w:tcBorders>
            <w:shd w:val="clear" w:color="000000" w:fill="FFFFFF"/>
            <w:vAlign w:val="center"/>
          </w:tcPr>
          <w:p w14:paraId="20C78CAA">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87" w:type="dxa"/>
            <w:gridSpan w:val="2"/>
            <w:tcBorders>
              <w:top w:val="nil"/>
              <w:left w:val="nil"/>
              <w:bottom w:val="nil"/>
              <w:right w:val="nil"/>
            </w:tcBorders>
            <w:shd w:val="clear" w:color="000000" w:fill="FFFFFF"/>
            <w:vAlign w:val="center"/>
          </w:tcPr>
          <w:p w14:paraId="1C6C81E8">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6700" w:type="dxa"/>
            <w:gridSpan w:val="2"/>
            <w:tcBorders>
              <w:top w:val="nil"/>
              <w:left w:val="nil"/>
              <w:bottom w:val="nil"/>
              <w:right w:val="nil"/>
            </w:tcBorders>
            <w:shd w:val="clear" w:color="000000" w:fill="FFFFFF"/>
            <w:noWrap/>
            <w:vAlign w:val="center"/>
          </w:tcPr>
          <w:p w14:paraId="680A61A6">
            <w:pPr>
              <w:widowControl/>
              <w:shd w:val="clear"/>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公开0</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8</w:t>
            </w:r>
            <w:r>
              <w:rPr>
                <w:rFonts w:hint="eastAsia" w:ascii="仿宋" w:hAnsi="仿宋" w:eastAsia="仿宋" w:cs="仿宋"/>
                <w:color w:val="000000" w:themeColor="text1"/>
                <w:kern w:val="0"/>
                <w:sz w:val="32"/>
                <w:szCs w:val="32"/>
                <w:u w:val="none"/>
                <w14:textFill>
                  <w14:solidFill>
                    <w14:schemeClr w14:val="tx1"/>
                  </w14:solidFill>
                </w14:textFill>
              </w:rPr>
              <w:t>表</w:t>
            </w:r>
          </w:p>
        </w:tc>
      </w:tr>
      <w:tr w14:paraId="700CB48A">
        <w:tblPrEx>
          <w:tblCellMar>
            <w:top w:w="0" w:type="dxa"/>
            <w:left w:w="108" w:type="dxa"/>
            <w:bottom w:w="0" w:type="dxa"/>
            <w:right w:w="108" w:type="dxa"/>
          </w:tblCellMar>
        </w:tblPrEx>
        <w:trPr>
          <w:trHeight w:val="582" w:hRule="atLeast"/>
        </w:trPr>
        <w:tc>
          <w:tcPr>
            <w:tcW w:w="856" w:type="dxa"/>
            <w:tcBorders>
              <w:top w:val="nil"/>
              <w:left w:val="nil"/>
              <w:bottom w:val="nil"/>
              <w:right w:val="nil"/>
            </w:tcBorders>
            <w:shd w:val="clear" w:color="000000" w:fill="FFFFFF"/>
            <w:noWrap/>
            <w:vAlign w:val="center"/>
          </w:tcPr>
          <w:p w14:paraId="6846E0A3">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部门：</w:t>
            </w:r>
          </w:p>
        </w:tc>
        <w:tc>
          <w:tcPr>
            <w:tcW w:w="3602" w:type="dxa"/>
            <w:gridSpan w:val="3"/>
            <w:tcBorders>
              <w:top w:val="nil"/>
              <w:left w:val="nil"/>
              <w:bottom w:val="nil"/>
              <w:right w:val="nil"/>
            </w:tcBorders>
            <w:shd w:val="clear" w:color="000000" w:fill="FFFFFF"/>
            <w:vAlign w:val="center"/>
          </w:tcPr>
          <w:p w14:paraId="4A5F5BD9">
            <w:pPr>
              <w:widowControl/>
              <w:shd w:val="clear"/>
              <w:tabs>
                <w:tab w:val="left" w:pos="423"/>
                <w:tab w:val="center" w:pos="1939"/>
              </w:tabs>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湘潭县分水乡人民政府</w:t>
            </w:r>
          </w:p>
        </w:tc>
        <w:tc>
          <w:tcPr>
            <w:tcW w:w="1174" w:type="dxa"/>
            <w:tcBorders>
              <w:top w:val="nil"/>
              <w:left w:val="nil"/>
              <w:bottom w:val="single" w:color="auto" w:sz="8" w:space="0"/>
              <w:right w:val="nil"/>
            </w:tcBorders>
            <w:shd w:val="clear" w:color="000000" w:fill="FFFFFF"/>
            <w:vAlign w:val="center"/>
          </w:tcPr>
          <w:p w14:paraId="626ED96F">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87" w:type="dxa"/>
            <w:gridSpan w:val="2"/>
            <w:tcBorders>
              <w:top w:val="nil"/>
              <w:left w:val="nil"/>
              <w:bottom w:val="single" w:color="auto" w:sz="8" w:space="0"/>
              <w:right w:val="nil"/>
            </w:tcBorders>
            <w:shd w:val="clear" w:color="000000" w:fill="FFFFFF"/>
            <w:vAlign w:val="center"/>
          </w:tcPr>
          <w:p w14:paraId="0583B1FC">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6700" w:type="dxa"/>
            <w:gridSpan w:val="2"/>
            <w:tcBorders>
              <w:top w:val="nil"/>
              <w:left w:val="nil"/>
              <w:bottom w:val="nil"/>
              <w:right w:val="nil"/>
            </w:tcBorders>
            <w:shd w:val="clear" w:color="000000" w:fill="FFFFFF"/>
            <w:noWrap/>
            <w:vAlign w:val="center"/>
          </w:tcPr>
          <w:p w14:paraId="70BA3E58">
            <w:pPr>
              <w:widowControl/>
              <w:shd w:val="clear"/>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单位：万元</w:t>
            </w:r>
          </w:p>
        </w:tc>
      </w:tr>
      <w:tr w14:paraId="2370DEA1">
        <w:tblPrEx>
          <w:tblCellMar>
            <w:top w:w="0" w:type="dxa"/>
            <w:left w:w="108" w:type="dxa"/>
            <w:bottom w:w="0" w:type="dxa"/>
            <w:right w:w="108" w:type="dxa"/>
          </w:tblCellMar>
        </w:tblPrEx>
        <w:trPr>
          <w:trHeight w:val="402" w:hRule="atLeast"/>
        </w:trPr>
        <w:tc>
          <w:tcPr>
            <w:tcW w:w="4458" w:type="dxa"/>
            <w:gridSpan w:val="4"/>
            <w:tcBorders>
              <w:top w:val="single" w:color="auto" w:sz="8" w:space="0"/>
              <w:left w:val="single" w:color="auto" w:sz="8" w:space="0"/>
              <w:bottom w:val="single" w:color="auto" w:sz="4" w:space="0"/>
              <w:right w:val="single" w:color="auto" w:sz="4" w:space="0"/>
            </w:tcBorders>
            <w:vAlign w:val="center"/>
          </w:tcPr>
          <w:p w14:paraId="0AEA36A4">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xml:space="preserve">项 </w:t>
            </w:r>
            <w:r>
              <w:rPr>
                <w:rFonts w:hint="eastAsia" w:ascii="仿宋" w:hAnsi="仿宋" w:eastAsia="仿宋" w:cs="仿宋"/>
                <w:color w:val="000000" w:themeColor="text1"/>
                <w:kern w:val="0"/>
                <w:sz w:val="32"/>
                <w:szCs w:val="32"/>
                <w:u w:val="none"/>
                <w14:textFill>
                  <w14:solidFill>
                    <w14:schemeClr w14:val="tx1"/>
                  </w14:solidFill>
                </w14:textFill>
              </w:rPr>
              <w:t xml:space="preserve">   </w:t>
            </w:r>
            <w:r>
              <w:rPr>
                <w:rFonts w:hint="eastAsia" w:ascii="仿宋" w:hAnsi="仿宋" w:eastAsia="仿宋" w:cs="仿宋"/>
                <w:color w:val="000000" w:themeColor="text1"/>
                <w:kern w:val="0"/>
                <w:sz w:val="32"/>
                <w:szCs w:val="32"/>
                <w:u w:val="none"/>
                <w14:textFill>
                  <w14:solidFill>
                    <w14:schemeClr w14:val="tx1"/>
                  </w14:solidFill>
                </w14:textFill>
              </w:rPr>
              <w:t>目</w:t>
            </w:r>
          </w:p>
        </w:tc>
        <w:tc>
          <w:tcPr>
            <w:tcW w:w="10361" w:type="dxa"/>
            <w:gridSpan w:val="5"/>
            <w:tcBorders>
              <w:top w:val="single" w:color="auto" w:sz="8" w:space="0"/>
              <w:left w:val="nil"/>
              <w:bottom w:val="single" w:color="auto" w:sz="4" w:space="0"/>
              <w:right w:val="single" w:color="000000" w:sz="4" w:space="0"/>
            </w:tcBorders>
            <w:vAlign w:val="center"/>
          </w:tcPr>
          <w:p w14:paraId="457BF3D8">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本年支出</w:t>
            </w:r>
          </w:p>
        </w:tc>
      </w:tr>
      <w:tr w14:paraId="168BF335">
        <w:tblPrEx>
          <w:tblCellMar>
            <w:top w:w="0" w:type="dxa"/>
            <w:left w:w="108" w:type="dxa"/>
            <w:bottom w:w="0" w:type="dxa"/>
            <w:right w:w="108" w:type="dxa"/>
          </w:tblCellMar>
        </w:tblPrEx>
        <w:trPr>
          <w:trHeight w:val="402" w:hRule="atLeast"/>
        </w:trPr>
        <w:tc>
          <w:tcPr>
            <w:tcW w:w="2423" w:type="dxa"/>
            <w:gridSpan w:val="3"/>
            <w:vMerge w:val="restart"/>
            <w:tcBorders>
              <w:top w:val="single" w:color="auto" w:sz="4" w:space="0"/>
              <w:left w:val="single" w:color="auto" w:sz="8" w:space="0"/>
              <w:bottom w:val="single" w:color="auto" w:sz="4" w:space="0"/>
              <w:right w:val="single" w:color="auto" w:sz="4" w:space="0"/>
            </w:tcBorders>
            <w:vAlign w:val="center"/>
          </w:tcPr>
          <w:p w14:paraId="78A06A00">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功能分类科目编码</w:t>
            </w:r>
          </w:p>
        </w:tc>
        <w:tc>
          <w:tcPr>
            <w:tcW w:w="2035" w:type="dxa"/>
            <w:vMerge w:val="restart"/>
            <w:tcBorders>
              <w:top w:val="nil"/>
              <w:left w:val="single" w:color="auto" w:sz="4" w:space="0"/>
              <w:bottom w:val="single" w:color="auto" w:sz="4" w:space="0"/>
              <w:right w:val="single" w:color="auto" w:sz="4" w:space="0"/>
            </w:tcBorders>
            <w:vAlign w:val="center"/>
          </w:tcPr>
          <w:p w14:paraId="2B7D0793">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科目名称</w:t>
            </w:r>
          </w:p>
        </w:tc>
        <w:tc>
          <w:tcPr>
            <w:tcW w:w="2436" w:type="dxa"/>
            <w:gridSpan w:val="2"/>
            <w:vMerge w:val="restart"/>
            <w:tcBorders>
              <w:top w:val="nil"/>
              <w:left w:val="single" w:color="auto" w:sz="4" w:space="0"/>
              <w:bottom w:val="single" w:color="000000" w:sz="4" w:space="0"/>
              <w:right w:val="single" w:color="auto" w:sz="4" w:space="0"/>
            </w:tcBorders>
            <w:vAlign w:val="center"/>
          </w:tcPr>
          <w:p w14:paraId="5ED2AE7D">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2908" w:type="dxa"/>
            <w:gridSpan w:val="2"/>
            <w:vMerge w:val="restart"/>
            <w:tcBorders>
              <w:top w:val="nil"/>
              <w:left w:val="single" w:color="auto" w:sz="4" w:space="0"/>
              <w:bottom w:val="single" w:color="000000" w:sz="4" w:space="0"/>
              <w:right w:val="single" w:color="auto" w:sz="4" w:space="0"/>
            </w:tcBorders>
            <w:vAlign w:val="center"/>
          </w:tcPr>
          <w:p w14:paraId="32C4B37A">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xml:space="preserve">基本支出  </w:t>
            </w:r>
          </w:p>
        </w:tc>
        <w:tc>
          <w:tcPr>
            <w:tcW w:w="5017" w:type="dxa"/>
            <w:vMerge w:val="restart"/>
            <w:tcBorders>
              <w:top w:val="nil"/>
              <w:left w:val="single" w:color="auto" w:sz="4" w:space="0"/>
              <w:bottom w:val="single" w:color="000000" w:sz="4" w:space="0"/>
              <w:right w:val="single" w:color="auto" w:sz="4" w:space="0"/>
            </w:tcBorders>
            <w:vAlign w:val="center"/>
          </w:tcPr>
          <w:p w14:paraId="56F02F9F">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项目支出</w:t>
            </w:r>
          </w:p>
        </w:tc>
      </w:tr>
      <w:tr w14:paraId="5BB5A24E">
        <w:tblPrEx>
          <w:tblCellMar>
            <w:top w:w="0" w:type="dxa"/>
            <w:left w:w="108" w:type="dxa"/>
            <w:bottom w:w="0" w:type="dxa"/>
            <w:right w:w="108" w:type="dxa"/>
          </w:tblCellMar>
        </w:tblPrEx>
        <w:trPr>
          <w:trHeight w:val="402" w:hRule="atLeast"/>
        </w:trPr>
        <w:tc>
          <w:tcPr>
            <w:tcW w:w="2423" w:type="dxa"/>
            <w:gridSpan w:val="3"/>
            <w:vMerge w:val="continue"/>
            <w:tcBorders>
              <w:top w:val="single" w:color="auto" w:sz="4" w:space="0"/>
              <w:left w:val="single" w:color="auto" w:sz="8" w:space="0"/>
              <w:bottom w:val="single" w:color="auto" w:sz="4" w:space="0"/>
              <w:right w:val="single" w:color="auto" w:sz="4" w:space="0"/>
            </w:tcBorders>
            <w:vAlign w:val="center"/>
          </w:tcPr>
          <w:p w14:paraId="504DC493">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035" w:type="dxa"/>
            <w:vMerge w:val="continue"/>
            <w:tcBorders>
              <w:top w:val="nil"/>
              <w:left w:val="single" w:color="auto" w:sz="4" w:space="0"/>
              <w:bottom w:val="single" w:color="auto" w:sz="4" w:space="0"/>
              <w:right w:val="single" w:color="auto" w:sz="4" w:space="0"/>
            </w:tcBorders>
            <w:vAlign w:val="center"/>
          </w:tcPr>
          <w:p w14:paraId="7C05832D">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436" w:type="dxa"/>
            <w:gridSpan w:val="2"/>
            <w:vMerge w:val="continue"/>
            <w:tcBorders>
              <w:top w:val="nil"/>
              <w:left w:val="single" w:color="auto" w:sz="4" w:space="0"/>
              <w:bottom w:val="single" w:color="000000" w:sz="4" w:space="0"/>
              <w:right w:val="single" w:color="auto" w:sz="4" w:space="0"/>
            </w:tcBorders>
            <w:vAlign w:val="center"/>
          </w:tcPr>
          <w:p w14:paraId="489E3804">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908" w:type="dxa"/>
            <w:gridSpan w:val="2"/>
            <w:vMerge w:val="continue"/>
            <w:tcBorders>
              <w:top w:val="nil"/>
              <w:left w:val="single" w:color="auto" w:sz="4" w:space="0"/>
              <w:bottom w:val="single" w:color="000000" w:sz="4" w:space="0"/>
              <w:right w:val="single" w:color="auto" w:sz="4" w:space="0"/>
            </w:tcBorders>
            <w:vAlign w:val="center"/>
          </w:tcPr>
          <w:p w14:paraId="67C56100">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5017" w:type="dxa"/>
            <w:vMerge w:val="continue"/>
            <w:tcBorders>
              <w:top w:val="nil"/>
              <w:left w:val="single" w:color="auto" w:sz="4" w:space="0"/>
              <w:bottom w:val="single" w:color="000000" w:sz="4" w:space="0"/>
              <w:right w:val="single" w:color="auto" w:sz="4" w:space="0"/>
            </w:tcBorders>
            <w:vAlign w:val="center"/>
          </w:tcPr>
          <w:p w14:paraId="524770AF">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r>
      <w:tr w14:paraId="12CB2C0A">
        <w:tblPrEx>
          <w:tblCellMar>
            <w:top w:w="0" w:type="dxa"/>
            <w:left w:w="108" w:type="dxa"/>
            <w:bottom w:w="0" w:type="dxa"/>
            <w:right w:w="108" w:type="dxa"/>
          </w:tblCellMar>
        </w:tblPrEx>
        <w:trPr>
          <w:trHeight w:val="402" w:hRule="atLeast"/>
        </w:trPr>
        <w:tc>
          <w:tcPr>
            <w:tcW w:w="2423" w:type="dxa"/>
            <w:gridSpan w:val="3"/>
            <w:vMerge w:val="continue"/>
            <w:tcBorders>
              <w:top w:val="single" w:color="auto" w:sz="4" w:space="0"/>
              <w:left w:val="single" w:color="auto" w:sz="8" w:space="0"/>
              <w:bottom w:val="single" w:color="auto" w:sz="4" w:space="0"/>
              <w:right w:val="single" w:color="auto" w:sz="4" w:space="0"/>
            </w:tcBorders>
            <w:vAlign w:val="center"/>
          </w:tcPr>
          <w:p w14:paraId="521595A9">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035" w:type="dxa"/>
            <w:vMerge w:val="continue"/>
            <w:tcBorders>
              <w:top w:val="nil"/>
              <w:left w:val="single" w:color="auto" w:sz="4" w:space="0"/>
              <w:bottom w:val="single" w:color="auto" w:sz="4" w:space="0"/>
              <w:right w:val="single" w:color="auto" w:sz="4" w:space="0"/>
            </w:tcBorders>
            <w:vAlign w:val="center"/>
          </w:tcPr>
          <w:p w14:paraId="03CD4D4A">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436" w:type="dxa"/>
            <w:gridSpan w:val="2"/>
            <w:vMerge w:val="continue"/>
            <w:tcBorders>
              <w:top w:val="nil"/>
              <w:left w:val="single" w:color="auto" w:sz="4" w:space="0"/>
              <w:bottom w:val="single" w:color="000000" w:sz="4" w:space="0"/>
              <w:right w:val="single" w:color="auto" w:sz="4" w:space="0"/>
            </w:tcBorders>
            <w:vAlign w:val="center"/>
          </w:tcPr>
          <w:p w14:paraId="0302A09A">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908" w:type="dxa"/>
            <w:gridSpan w:val="2"/>
            <w:vMerge w:val="continue"/>
            <w:tcBorders>
              <w:top w:val="nil"/>
              <w:left w:val="single" w:color="auto" w:sz="4" w:space="0"/>
              <w:bottom w:val="single" w:color="000000" w:sz="4" w:space="0"/>
              <w:right w:val="single" w:color="auto" w:sz="4" w:space="0"/>
            </w:tcBorders>
            <w:vAlign w:val="center"/>
          </w:tcPr>
          <w:p w14:paraId="6B327F98">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5017" w:type="dxa"/>
            <w:vMerge w:val="continue"/>
            <w:tcBorders>
              <w:top w:val="nil"/>
              <w:left w:val="single" w:color="auto" w:sz="4" w:space="0"/>
              <w:bottom w:val="single" w:color="000000" w:sz="4" w:space="0"/>
              <w:right w:val="single" w:color="auto" w:sz="4" w:space="0"/>
            </w:tcBorders>
            <w:vAlign w:val="center"/>
          </w:tcPr>
          <w:p w14:paraId="1AF691AF">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r>
      <w:tr w14:paraId="71C0A2D1">
        <w:tblPrEx>
          <w:tblCellMar>
            <w:top w:w="0" w:type="dxa"/>
            <w:left w:w="108" w:type="dxa"/>
            <w:bottom w:w="0" w:type="dxa"/>
            <w:right w:w="108" w:type="dxa"/>
          </w:tblCellMar>
        </w:tblPrEx>
        <w:trPr>
          <w:trHeight w:val="402" w:hRule="atLeast"/>
        </w:trPr>
        <w:tc>
          <w:tcPr>
            <w:tcW w:w="4458" w:type="dxa"/>
            <w:gridSpan w:val="4"/>
            <w:tcBorders>
              <w:top w:val="single" w:color="auto" w:sz="4" w:space="0"/>
              <w:left w:val="single" w:color="auto" w:sz="8" w:space="0"/>
              <w:bottom w:val="single" w:color="auto" w:sz="4" w:space="0"/>
              <w:right w:val="single" w:color="000000" w:sz="4" w:space="0"/>
            </w:tcBorders>
            <w:vAlign w:val="center"/>
          </w:tcPr>
          <w:p w14:paraId="1FE89FBA">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栏次</w:t>
            </w:r>
          </w:p>
        </w:tc>
        <w:tc>
          <w:tcPr>
            <w:tcW w:w="2436" w:type="dxa"/>
            <w:gridSpan w:val="2"/>
            <w:tcBorders>
              <w:top w:val="nil"/>
              <w:left w:val="nil"/>
              <w:bottom w:val="single" w:color="auto" w:sz="4" w:space="0"/>
              <w:right w:val="single" w:color="auto" w:sz="4" w:space="0"/>
            </w:tcBorders>
            <w:vAlign w:val="center"/>
          </w:tcPr>
          <w:p w14:paraId="16D3148C">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w:t>
            </w:r>
          </w:p>
        </w:tc>
        <w:tc>
          <w:tcPr>
            <w:tcW w:w="2908" w:type="dxa"/>
            <w:gridSpan w:val="2"/>
            <w:tcBorders>
              <w:top w:val="nil"/>
              <w:left w:val="nil"/>
              <w:bottom w:val="single" w:color="auto" w:sz="4" w:space="0"/>
              <w:right w:val="single" w:color="auto" w:sz="4" w:space="0"/>
            </w:tcBorders>
            <w:vAlign w:val="center"/>
          </w:tcPr>
          <w:p w14:paraId="122FB531">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2</w:t>
            </w:r>
          </w:p>
        </w:tc>
        <w:tc>
          <w:tcPr>
            <w:tcW w:w="5017" w:type="dxa"/>
            <w:tcBorders>
              <w:top w:val="nil"/>
              <w:left w:val="nil"/>
              <w:bottom w:val="single" w:color="auto" w:sz="4" w:space="0"/>
              <w:right w:val="single" w:color="auto" w:sz="4" w:space="0"/>
            </w:tcBorders>
            <w:vAlign w:val="center"/>
          </w:tcPr>
          <w:p w14:paraId="4BFA9706">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3</w:t>
            </w:r>
          </w:p>
        </w:tc>
      </w:tr>
      <w:tr w14:paraId="19B7FD27">
        <w:tblPrEx>
          <w:tblCellMar>
            <w:top w:w="0" w:type="dxa"/>
            <w:left w:w="108" w:type="dxa"/>
            <w:bottom w:w="0" w:type="dxa"/>
            <w:right w:w="108" w:type="dxa"/>
          </w:tblCellMar>
        </w:tblPrEx>
        <w:trPr>
          <w:trHeight w:val="402" w:hRule="atLeast"/>
        </w:trPr>
        <w:tc>
          <w:tcPr>
            <w:tcW w:w="4458" w:type="dxa"/>
            <w:gridSpan w:val="4"/>
            <w:tcBorders>
              <w:top w:val="nil"/>
              <w:left w:val="single" w:color="auto" w:sz="8" w:space="0"/>
              <w:bottom w:val="single" w:color="auto" w:sz="4" w:space="0"/>
              <w:right w:val="single" w:color="000000" w:sz="4" w:space="0"/>
            </w:tcBorders>
            <w:vAlign w:val="center"/>
          </w:tcPr>
          <w:p w14:paraId="0AE3F779">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2436" w:type="dxa"/>
            <w:gridSpan w:val="2"/>
            <w:tcBorders>
              <w:top w:val="nil"/>
              <w:left w:val="nil"/>
              <w:bottom w:val="single" w:color="auto" w:sz="4" w:space="0"/>
              <w:right w:val="single" w:color="auto" w:sz="4" w:space="0"/>
            </w:tcBorders>
            <w:vAlign w:val="center"/>
          </w:tcPr>
          <w:p w14:paraId="20811B68">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14:paraId="56790F31">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14:paraId="69DB509C">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14:paraId="212261A4">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14:paraId="639998F1">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14:paraId="0B41B7F5">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14:paraId="55CA978A">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14:paraId="1A123467">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14:paraId="42590A39">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14:paraId="34B74E7C">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14:paraId="39664E7A">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14:paraId="2E0780EE">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14:paraId="4DF74455">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14:paraId="6943DC86">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14:paraId="7E47B7F8">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14:paraId="10E6419F">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14:paraId="74A5E5AF">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14:paraId="0849CAB6">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14:paraId="778EC35C">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14:paraId="296686DC">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14:paraId="0BEBC579">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14:paraId="0752ED9A">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14:paraId="1B8EE6B2">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14:paraId="636AD4EF">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14:paraId="2AC56DFA">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14:paraId="32894F7C">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14:paraId="425137EB">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14:paraId="23C43D29">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14:paraId="0CD5ABB2">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14:paraId="6874ED6A">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14:paraId="0D7C89EB">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14:paraId="46BCEF6C">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14:paraId="43D896DB">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14:paraId="64C400C8">
        <w:tblPrEx>
          <w:tblCellMar>
            <w:top w:w="0" w:type="dxa"/>
            <w:left w:w="108" w:type="dxa"/>
            <w:bottom w:w="0" w:type="dxa"/>
            <w:right w:w="108" w:type="dxa"/>
          </w:tblCellMar>
        </w:tblPrEx>
        <w:trPr>
          <w:trHeight w:val="720" w:hRule="atLeast"/>
        </w:trPr>
        <w:tc>
          <w:tcPr>
            <w:tcW w:w="14819" w:type="dxa"/>
            <w:gridSpan w:val="9"/>
            <w:tcBorders>
              <w:top w:val="single" w:color="auto" w:sz="8" w:space="0"/>
              <w:left w:val="nil"/>
              <w:bottom w:val="nil"/>
              <w:right w:val="nil"/>
            </w:tcBorders>
            <w:vAlign w:val="center"/>
          </w:tcPr>
          <w:p w14:paraId="40F3CB4D">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注：本表反映部门本年度国有资本经营预算财政拨款支出情况。</w:t>
            </w:r>
          </w:p>
        </w:tc>
      </w:tr>
    </w:tbl>
    <w:p w14:paraId="70D7E390">
      <w:pPr>
        <w:pStyle w:val="18"/>
        <w:shd w:val="clear"/>
        <w:rPr>
          <w:rFonts w:hint="eastAsia" w:ascii="仿宋" w:hAnsi="仿宋" w:eastAsia="仿宋" w:cs="仿宋"/>
          <w:color w:val="000000" w:themeColor="text1"/>
          <w:sz w:val="32"/>
          <w:szCs w:val="32"/>
          <w:u w:val="none"/>
          <w14:textFill>
            <w14:solidFill>
              <w14:schemeClr w14:val="tx1"/>
            </w14:solidFill>
          </w14:textFill>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14:paraId="4DA8E600">
      <w:pPr>
        <w:widowControl/>
        <w:shd w:val="clear"/>
        <w:jc w:val="both"/>
        <w:rPr>
          <w:rFonts w:hint="eastAsia" w:ascii="仿宋" w:hAnsi="仿宋" w:eastAsia="仿宋" w:cs="仿宋"/>
          <w:color w:val="000000" w:themeColor="text1"/>
          <w:kern w:val="0"/>
          <w:sz w:val="32"/>
          <w:szCs w:val="32"/>
          <w:u w:val="none"/>
          <w14:textFill>
            <w14:solidFill>
              <w14:schemeClr w14:val="tx1"/>
            </w14:solidFill>
          </w14:textFill>
        </w:rPr>
      </w:pPr>
    </w:p>
    <w:p w14:paraId="0302AC4F">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14:paraId="0705B897">
      <w:pPr>
        <w:pStyle w:val="5"/>
        <w:shd w:val="clear"/>
        <w:rPr>
          <w:rFonts w:hint="eastAsia" w:ascii="仿宋" w:hAnsi="仿宋" w:eastAsia="仿宋" w:cs="仿宋"/>
          <w:color w:val="000000" w:themeColor="text1"/>
          <w:sz w:val="32"/>
          <w:szCs w:val="32"/>
          <w:u w:val="none"/>
          <w14:textFill>
            <w14:solidFill>
              <w14:schemeClr w14:val="tx1"/>
            </w14:solidFill>
          </w14:textFill>
        </w:rPr>
      </w:pPr>
    </w:p>
    <w:p w14:paraId="48E054E3">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一般公共预算财政拨款“三公”经费支出决算表</w:t>
      </w:r>
    </w:p>
    <w:p w14:paraId="361255E0">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xml:space="preserve">部门：  </w:t>
      </w:r>
      <w:r>
        <w:rPr>
          <w:rFonts w:hint="eastAsia" w:ascii="仿宋" w:hAnsi="仿宋" w:eastAsia="仿宋" w:cs="仿宋"/>
          <w:color w:val="000000" w:themeColor="text1"/>
          <w:kern w:val="0"/>
          <w:sz w:val="32"/>
          <w:szCs w:val="32"/>
          <w:u w:val="none"/>
          <w:lang w:eastAsia="zh-CN"/>
          <w14:textFill>
            <w14:solidFill>
              <w14:schemeClr w14:val="tx1"/>
            </w14:solidFill>
          </w14:textFill>
        </w:rPr>
        <w:t>湘潭县分水乡人民政府</w:t>
      </w:r>
      <w:r>
        <w:rPr>
          <w:rFonts w:hint="eastAsia" w:ascii="仿宋" w:hAnsi="仿宋" w:eastAsia="仿宋" w:cs="仿宋"/>
          <w:color w:val="000000" w:themeColor="text1"/>
          <w:kern w:val="0"/>
          <w:sz w:val="32"/>
          <w:szCs w:val="32"/>
          <w:u w:val="none"/>
          <w14:textFill>
            <w14:solidFill>
              <w14:schemeClr w14:val="tx1"/>
            </w14:solidFill>
          </w14:textFill>
        </w:rPr>
        <w:t xml:space="preserve">                                                                                                                             公开0</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9</w:t>
      </w:r>
      <w:r>
        <w:rPr>
          <w:rFonts w:hint="eastAsia" w:ascii="仿宋" w:hAnsi="仿宋" w:eastAsia="仿宋" w:cs="仿宋"/>
          <w:color w:val="000000" w:themeColor="text1"/>
          <w:kern w:val="0"/>
          <w:sz w:val="32"/>
          <w:szCs w:val="32"/>
          <w:u w:val="none"/>
          <w14:textFill>
            <w14:solidFill>
              <w14:schemeClr w14:val="tx1"/>
            </w14:solidFill>
          </w14:textFill>
        </w:rPr>
        <w:t>表</w:t>
      </w:r>
    </w:p>
    <w:p w14:paraId="52A15D7C">
      <w:pPr>
        <w:widowControl/>
        <w:shd w:val="clear"/>
        <w:ind w:right="420"/>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单位：万元</w:t>
      </w:r>
    </w:p>
    <w:tbl>
      <w:tblPr>
        <w:tblStyle w:val="12"/>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0038195">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BEAC7D2">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预算数</w:t>
            </w:r>
          </w:p>
        </w:tc>
        <w:tc>
          <w:tcPr>
            <w:tcW w:w="7320" w:type="dxa"/>
            <w:gridSpan w:val="6"/>
            <w:tcBorders>
              <w:top w:val="single" w:color="auto" w:sz="8" w:space="0"/>
              <w:left w:val="nil"/>
              <w:bottom w:val="single" w:color="auto" w:sz="4" w:space="0"/>
              <w:right w:val="single" w:color="000000" w:sz="8" w:space="0"/>
            </w:tcBorders>
            <w:vAlign w:val="center"/>
          </w:tcPr>
          <w:p w14:paraId="346F73B9">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决算数</w:t>
            </w:r>
          </w:p>
        </w:tc>
      </w:tr>
      <w:tr w14:paraId="7BFDC3CB">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4D7FB6A3">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1220" w:type="dxa"/>
            <w:vMerge w:val="restart"/>
            <w:tcBorders>
              <w:top w:val="nil"/>
              <w:left w:val="single" w:color="auto" w:sz="4" w:space="0"/>
              <w:bottom w:val="single" w:color="000000" w:sz="4" w:space="0"/>
              <w:right w:val="single" w:color="auto" w:sz="4" w:space="0"/>
            </w:tcBorders>
            <w:vAlign w:val="center"/>
          </w:tcPr>
          <w:p w14:paraId="447FC579">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39943AE1">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3F853414">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w:t>
            </w:r>
          </w:p>
          <w:p w14:paraId="0353F6EC">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接待费</w:t>
            </w:r>
          </w:p>
        </w:tc>
        <w:tc>
          <w:tcPr>
            <w:tcW w:w="1220" w:type="dxa"/>
            <w:vMerge w:val="restart"/>
            <w:tcBorders>
              <w:top w:val="nil"/>
              <w:left w:val="nil"/>
              <w:bottom w:val="single" w:color="000000" w:sz="4" w:space="0"/>
              <w:right w:val="single" w:color="auto" w:sz="4" w:space="0"/>
            </w:tcBorders>
            <w:vAlign w:val="center"/>
          </w:tcPr>
          <w:p w14:paraId="77778AC5">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1220" w:type="dxa"/>
            <w:vMerge w:val="restart"/>
            <w:tcBorders>
              <w:top w:val="nil"/>
              <w:left w:val="single" w:color="auto" w:sz="4" w:space="0"/>
              <w:bottom w:val="single" w:color="000000" w:sz="4" w:space="0"/>
              <w:right w:val="single" w:color="auto" w:sz="4" w:space="0"/>
            </w:tcBorders>
            <w:vAlign w:val="center"/>
          </w:tcPr>
          <w:p w14:paraId="1F5DBBC2">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098E5C8">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22826249">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w:t>
            </w:r>
          </w:p>
          <w:p w14:paraId="24B743CE">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接待费</w:t>
            </w:r>
          </w:p>
        </w:tc>
      </w:tr>
      <w:tr w14:paraId="3F6DFDAA">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58714AD">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vMerge w:val="continue"/>
            <w:tcBorders>
              <w:top w:val="nil"/>
              <w:left w:val="single" w:color="auto" w:sz="4" w:space="0"/>
              <w:bottom w:val="single" w:color="000000" w:sz="4" w:space="0"/>
              <w:right w:val="single" w:color="auto" w:sz="4" w:space="0"/>
            </w:tcBorders>
            <w:vAlign w:val="center"/>
          </w:tcPr>
          <w:p w14:paraId="5F76A696">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tcBorders>
              <w:top w:val="nil"/>
              <w:left w:val="nil"/>
              <w:bottom w:val="single" w:color="auto" w:sz="4" w:space="0"/>
              <w:right w:val="single" w:color="auto" w:sz="4" w:space="0"/>
            </w:tcBorders>
            <w:vAlign w:val="center"/>
          </w:tcPr>
          <w:p w14:paraId="1A421197">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小计</w:t>
            </w:r>
          </w:p>
        </w:tc>
        <w:tc>
          <w:tcPr>
            <w:tcW w:w="1220" w:type="dxa"/>
            <w:tcBorders>
              <w:top w:val="nil"/>
              <w:left w:val="nil"/>
              <w:bottom w:val="single" w:color="auto" w:sz="4" w:space="0"/>
              <w:right w:val="single" w:color="auto" w:sz="4" w:space="0"/>
            </w:tcBorders>
            <w:vAlign w:val="center"/>
          </w:tcPr>
          <w:p w14:paraId="5BBA8154">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购置费</w:t>
            </w:r>
          </w:p>
        </w:tc>
        <w:tc>
          <w:tcPr>
            <w:tcW w:w="1220" w:type="dxa"/>
            <w:tcBorders>
              <w:top w:val="nil"/>
              <w:left w:val="nil"/>
              <w:bottom w:val="single" w:color="auto" w:sz="4" w:space="0"/>
              <w:right w:val="single" w:color="auto" w:sz="4" w:space="0"/>
            </w:tcBorders>
            <w:vAlign w:val="center"/>
          </w:tcPr>
          <w:p w14:paraId="7A5FF7DD">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5D4D854">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vMerge w:val="continue"/>
            <w:tcBorders>
              <w:top w:val="nil"/>
              <w:left w:val="nil"/>
              <w:bottom w:val="single" w:color="000000" w:sz="4" w:space="0"/>
              <w:right w:val="single" w:color="auto" w:sz="4" w:space="0"/>
            </w:tcBorders>
            <w:vAlign w:val="center"/>
          </w:tcPr>
          <w:p w14:paraId="29133E9C">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vMerge w:val="continue"/>
            <w:tcBorders>
              <w:top w:val="nil"/>
              <w:left w:val="single" w:color="auto" w:sz="4" w:space="0"/>
              <w:bottom w:val="single" w:color="000000" w:sz="4" w:space="0"/>
              <w:right w:val="single" w:color="auto" w:sz="4" w:space="0"/>
            </w:tcBorders>
            <w:vAlign w:val="center"/>
          </w:tcPr>
          <w:p w14:paraId="23341F68">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tcBorders>
              <w:top w:val="nil"/>
              <w:left w:val="nil"/>
              <w:bottom w:val="single" w:color="auto" w:sz="4" w:space="0"/>
              <w:right w:val="single" w:color="auto" w:sz="4" w:space="0"/>
            </w:tcBorders>
            <w:vAlign w:val="center"/>
          </w:tcPr>
          <w:p w14:paraId="400B7401">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小计</w:t>
            </w:r>
          </w:p>
        </w:tc>
        <w:tc>
          <w:tcPr>
            <w:tcW w:w="1220" w:type="dxa"/>
            <w:tcBorders>
              <w:top w:val="nil"/>
              <w:left w:val="nil"/>
              <w:bottom w:val="single" w:color="auto" w:sz="4" w:space="0"/>
              <w:right w:val="single" w:color="auto" w:sz="4" w:space="0"/>
            </w:tcBorders>
            <w:vAlign w:val="center"/>
          </w:tcPr>
          <w:p w14:paraId="3FBF0FFB">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购置费</w:t>
            </w:r>
          </w:p>
        </w:tc>
        <w:tc>
          <w:tcPr>
            <w:tcW w:w="1220" w:type="dxa"/>
            <w:tcBorders>
              <w:top w:val="nil"/>
              <w:left w:val="nil"/>
              <w:bottom w:val="single" w:color="auto" w:sz="4" w:space="0"/>
              <w:right w:val="single" w:color="auto" w:sz="4" w:space="0"/>
            </w:tcBorders>
            <w:vAlign w:val="center"/>
          </w:tcPr>
          <w:p w14:paraId="32679E4B">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1ADA2AF1">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r>
      <w:tr w14:paraId="700BF788">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6428F303">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w:t>
            </w:r>
          </w:p>
        </w:tc>
        <w:tc>
          <w:tcPr>
            <w:tcW w:w="1220" w:type="dxa"/>
            <w:tcBorders>
              <w:top w:val="nil"/>
              <w:left w:val="nil"/>
              <w:bottom w:val="single" w:color="auto" w:sz="4" w:space="0"/>
              <w:right w:val="single" w:color="auto" w:sz="4" w:space="0"/>
            </w:tcBorders>
            <w:vAlign w:val="center"/>
          </w:tcPr>
          <w:p w14:paraId="4638A009">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2</w:t>
            </w:r>
          </w:p>
        </w:tc>
        <w:tc>
          <w:tcPr>
            <w:tcW w:w="1220" w:type="dxa"/>
            <w:tcBorders>
              <w:top w:val="nil"/>
              <w:left w:val="nil"/>
              <w:bottom w:val="single" w:color="auto" w:sz="4" w:space="0"/>
              <w:right w:val="single" w:color="auto" w:sz="4" w:space="0"/>
            </w:tcBorders>
            <w:vAlign w:val="center"/>
          </w:tcPr>
          <w:p w14:paraId="6CAAF3F1">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3</w:t>
            </w:r>
          </w:p>
        </w:tc>
        <w:tc>
          <w:tcPr>
            <w:tcW w:w="1220" w:type="dxa"/>
            <w:tcBorders>
              <w:top w:val="nil"/>
              <w:left w:val="nil"/>
              <w:bottom w:val="single" w:color="auto" w:sz="4" w:space="0"/>
              <w:right w:val="single" w:color="auto" w:sz="4" w:space="0"/>
            </w:tcBorders>
            <w:vAlign w:val="center"/>
          </w:tcPr>
          <w:p w14:paraId="5C566BB4">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4</w:t>
            </w:r>
          </w:p>
        </w:tc>
        <w:tc>
          <w:tcPr>
            <w:tcW w:w="1220" w:type="dxa"/>
            <w:tcBorders>
              <w:top w:val="nil"/>
              <w:left w:val="nil"/>
              <w:bottom w:val="single" w:color="auto" w:sz="4" w:space="0"/>
              <w:right w:val="single" w:color="auto" w:sz="4" w:space="0"/>
            </w:tcBorders>
            <w:vAlign w:val="center"/>
          </w:tcPr>
          <w:p w14:paraId="2D78C27E">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5</w:t>
            </w:r>
          </w:p>
        </w:tc>
        <w:tc>
          <w:tcPr>
            <w:tcW w:w="1220" w:type="dxa"/>
            <w:tcBorders>
              <w:top w:val="nil"/>
              <w:left w:val="nil"/>
              <w:bottom w:val="single" w:color="auto" w:sz="4" w:space="0"/>
              <w:right w:val="single" w:color="auto" w:sz="4" w:space="0"/>
            </w:tcBorders>
            <w:vAlign w:val="center"/>
          </w:tcPr>
          <w:p w14:paraId="5916EC2F">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6</w:t>
            </w:r>
          </w:p>
        </w:tc>
        <w:tc>
          <w:tcPr>
            <w:tcW w:w="1220" w:type="dxa"/>
            <w:tcBorders>
              <w:top w:val="nil"/>
              <w:left w:val="nil"/>
              <w:bottom w:val="single" w:color="auto" w:sz="4" w:space="0"/>
              <w:right w:val="single" w:color="auto" w:sz="4" w:space="0"/>
            </w:tcBorders>
            <w:vAlign w:val="center"/>
          </w:tcPr>
          <w:p w14:paraId="0BB55526">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7</w:t>
            </w:r>
          </w:p>
        </w:tc>
        <w:tc>
          <w:tcPr>
            <w:tcW w:w="1220" w:type="dxa"/>
            <w:tcBorders>
              <w:top w:val="nil"/>
              <w:left w:val="nil"/>
              <w:bottom w:val="single" w:color="auto" w:sz="4" w:space="0"/>
              <w:right w:val="single" w:color="auto" w:sz="4" w:space="0"/>
            </w:tcBorders>
            <w:vAlign w:val="center"/>
          </w:tcPr>
          <w:p w14:paraId="7316607C">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8</w:t>
            </w:r>
          </w:p>
        </w:tc>
        <w:tc>
          <w:tcPr>
            <w:tcW w:w="1220" w:type="dxa"/>
            <w:tcBorders>
              <w:top w:val="nil"/>
              <w:left w:val="nil"/>
              <w:bottom w:val="single" w:color="auto" w:sz="4" w:space="0"/>
              <w:right w:val="single" w:color="auto" w:sz="4" w:space="0"/>
            </w:tcBorders>
            <w:vAlign w:val="center"/>
          </w:tcPr>
          <w:p w14:paraId="02E7D2A8">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9</w:t>
            </w:r>
          </w:p>
        </w:tc>
        <w:tc>
          <w:tcPr>
            <w:tcW w:w="1220" w:type="dxa"/>
            <w:tcBorders>
              <w:top w:val="nil"/>
              <w:left w:val="nil"/>
              <w:bottom w:val="single" w:color="auto" w:sz="4" w:space="0"/>
              <w:right w:val="single" w:color="auto" w:sz="4" w:space="0"/>
            </w:tcBorders>
            <w:vAlign w:val="center"/>
          </w:tcPr>
          <w:p w14:paraId="2A9C1BFC">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10</w:t>
            </w:r>
          </w:p>
        </w:tc>
        <w:tc>
          <w:tcPr>
            <w:tcW w:w="1220" w:type="dxa"/>
            <w:tcBorders>
              <w:top w:val="nil"/>
              <w:left w:val="nil"/>
              <w:bottom w:val="single" w:color="auto" w:sz="4" w:space="0"/>
              <w:right w:val="single" w:color="auto" w:sz="4" w:space="0"/>
            </w:tcBorders>
            <w:vAlign w:val="center"/>
          </w:tcPr>
          <w:p w14:paraId="5DBD094A">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11</w:t>
            </w:r>
          </w:p>
        </w:tc>
        <w:tc>
          <w:tcPr>
            <w:tcW w:w="1220" w:type="dxa"/>
            <w:tcBorders>
              <w:top w:val="nil"/>
              <w:left w:val="nil"/>
              <w:bottom w:val="single" w:color="auto" w:sz="4" w:space="0"/>
              <w:right w:val="single" w:color="auto" w:sz="8" w:space="0"/>
            </w:tcBorders>
            <w:vAlign w:val="center"/>
          </w:tcPr>
          <w:p w14:paraId="45BB6B73">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12</w:t>
            </w:r>
          </w:p>
        </w:tc>
      </w:tr>
      <w:tr w14:paraId="4705505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5AD3DFAE">
            <w:pPr>
              <w:widowControl/>
              <w:shd w:val="clear"/>
              <w:ind w:firstLine="640" w:firstLineChars="200"/>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w:t>
            </w:r>
          </w:p>
        </w:tc>
        <w:tc>
          <w:tcPr>
            <w:tcW w:w="1220" w:type="dxa"/>
            <w:tcBorders>
              <w:top w:val="nil"/>
              <w:left w:val="nil"/>
              <w:bottom w:val="single" w:color="auto" w:sz="8" w:space="0"/>
              <w:right w:val="single" w:color="auto" w:sz="4" w:space="0"/>
            </w:tcBorders>
            <w:vAlign w:val="center"/>
          </w:tcPr>
          <w:p w14:paraId="4ED75C29">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14:paraId="08532849">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14:paraId="49AB8266">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14:paraId="18667F0C">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0</w:t>
            </w:r>
          </w:p>
        </w:tc>
        <w:tc>
          <w:tcPr>
            <w:tcW w:w="1220" w:type="dxa"/>
            <w:tcBorders>
              <w:top w:val="nil"/>
              <w:left w:val="nil"/>
              <w:bottom w:val="single" w:color="auto" w:sz="8" w:space="0"/>
              <w:right w:val="single" w:color="auto" w:sz="4" w:space="0"/>
            </w:tcBorders>
            <w:vAlign w:val="center"/>
          </w:tcPr>
          <w:p w14:paraId="347B099E">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14:paraId="270D562A">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14:paraId="1665C826">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14:paraId="6DE4B255">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14:paraId="52A33DB9">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nil"/>
            </w:tcBorders>
            <w:vAlign w:val="center"/>
          </w:tcPr>
          <w:p w14:paraId="0DD35651">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single" w:color="auto" w:sz="4" w:space="0"/>
              <w:bottom w:val="single" w:color="auto" w:sz="8" w:space="0"/>
              <w:right w:val="single" w:color="auto" w:sz="8" w:space="0"/>
            </w:tcBorders>
            <w:vAlign w:val="center"/>
          </w:tcPr>
          <w:p w14:paraId="47C5DD26">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r>
    </w:tbl>
    <w:p w14:paraId="4D968890">
      <w:pPr>
        <w:widowControl/>
        <w:shd w:val="clear"/>
        <w:jc w:val="left"/>
        <w:rPr>
          <w:rFonts w:hint="eastAsia" w:ascii="仿宋" w:hAnsi="仿宋" w:eastAsia="仿宋" w:cs="仿宋"/>
          <w:color w:val="000000" w:themeColor="text1"/>
          <w:sz w:val="32"/>
          <w:szCs w:val="32"/>
          <w:u w:val="none"/>
          <w14:textFill>
            <w14:solidFill>
              <w14:schemeClr w14:val="tx1"/>
            </w14:solidFill>
          </w14:textFill>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cs="仿宋"/>
          <w:color w:val="000000" w:themeColor="text1"/>
          <w:kern w:val="0"/>
          <w:sz w:val="32"/>
          <w:szCs w:val="32"/>
          <w:u w:val="none"/>
          <w14:textFill>
            <w14:solidFill>
              <w14:schemeClr w14:val="tx1"/>
            </w14:solidFill>
          </w14:textFill>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04F92088">
      <w:pPr>
        <w:pStyle w:val="18"/>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14:paraId="30BDBE1C">
      <w:pPr>
        <w:pStyle w:val="18"/>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14:paraId="59470045">
      <w:pPr>
        <w:pStyle w:val="18"/>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14:paraId="24D4E63E">
      <w:pPr>
        <w:pStyle w:val="18"/>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14:paraId="36C065CF">
      <w:pPr>
        <w:pStyle w:val="18"/>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14:paraId="37E361C7">
      <w:pPr>
        <w:pStyle w:val="18"/>
        <w:shd w:val="clear"/>
        <w:ind w:firstLine="4320" w:firstLineChars="1350"/>
        <w:rPr>
          <w:rFonts w:hint="eastAsia" w:ascii="仿宋" w:hAnsi="仿宋" w:eastAsia="仿宋" w:cs="仿宋"/>
          <w:b/>
          <w:bCs/>
          <w:color w:val="000000" w:themeColor="text1"/>
          <w:sz w:val="32"/>
          <w:szCs w:val="32"/>
          <w:u w:val="none"/>
          <w14:textFill>
            <w14:solidFill>
              <w14:schemeClr w14:val="tx1"/>
            </w14:solidFill>
          </w14:textFill>
        </w:rPr>
      </w:pPr>
    </w:p>
    <w:p w14:paraId="5F92FD97">
      <w:pPr>
        <w:pStyle w:val="18"/>
        <w:shd w:val="clear"/>
        <w:ind w:firstLine="4320" w:firstLineChars="13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第三部分</w:t>
      </w:r>
    </w:p>
    <w:p w14:paraId="07E92AF1">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p>
    <w:p w14:paraId="10582AAE">
      <w:pPr>
        <w:pStyle w:val="18"/>
        <w:shd w:val="clear"/>
        <w:jc w:val="cente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2024</w:t>
      </w:r>
      <w:r>
        <w:rPr>
          <w:rFonts w:hint="eastAsia" w:ascii="仿宋" w:hAnsi="仿宋" w:eastAsia="仿宋" w:cs="仿宋"/>
          <w:b/>
          <w:bCs/>
          <w:color w:val="000000" w:themeColor="text1"/>
          <w:sz w:val="32"/>
          <w:szCs w:val="32"/>
          <w:u w:val="none"/>
          <w14:textFill>
            <w14:solidFill>
              <w14:schemeClr w14:val="tx1"/>
            </w14:solidFill>
          </w14:textFill>
        </w:rPr>
        <w:t>年度部门决算情况说明</w:t>
      </w:r>
    </w:p>
    <w:p w14:paraId="297A9D5C">
      <w:pPr>
        <w:widowControl/>
        <w:shd w:val="clear"/>
        <w:jc w:val="left"/>
        <w:rPr>
          <w:rFonts w:hint="eastAsia" w:ascii="仿宋" w:hAnsi="仿宋" w:eastAsia="仿宋" w:cs="仿宋"/>
          <w:color w:val="000000" w:themeColor="text1"/>
          <w:sz w:val="32"/>
          <w:szCs w:val="32"/>
          <w:u w:val="none"/>
          <w14:textFill>
            <w14:solidFill>
              <w14:schemeClr w14:val="tx1"/>
            </w14:solidFill>
          </w14:textFill>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2790F018">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一、收入支出决算总体情况说明</w:t>
      </w:r>
    </w:p>
    <w:p w14:paraId="5FE7AA9F">
      <w:pPr>
        <w:pStyle w:val="18"/>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2024年度收、支总计3082.91万元。与上年相比，增加238.4万元，主要是</w:t>
      </w:r>
      <w:r>
        <w:rPr>
          <w:rFonts w:hint="eastAsia" w:ascii="Times New Roman" w:hAnsi="Times New Roman" w:eastAsia="仿宋_GB2312" w:cs="Times New Roman"/>
          <w:color w:val="auto"/>
          <w:sz w:val="32"/>
          <w:szCs w:val="32"/>
        </w:rPr>
        <w:t>因</w:t>
      </w:r>
      <w:r>
        <w:rPr>
          <w:rFonts w:hint="eastAsia" w:ascii="Times New Roman" w:hAnsi="Times New Roman" w:eastAsia="仿宋_GB2312" w:cs="Times New Roman"/>
          <w:color w:val="auto"/>
          <w:sz w:val="32"/>
          <w:szCs w:val="32"/>
          <w:lang w:val="en-US" w:eastAsia="zh-CN"/>
        </w:rPr>
        <w:t>发生</w:t>
      </w:r>
      <w:r>
        <w:rPr>
          <w:rFonts w:hint="eastAsia" w:ascii="Times New Roman" w:hAnsi="Times New Roman" w:eastAsia="仿宋_GB2312" w:cs="Times New Roman"/>
          <w:color w:val="auto"/>
          <w:sz w:val="32"/>
          <w:szCs w:val="32"/>
        </w:rPr>
        <w:t>洪涝自然灾害，</w:t>
      </w:r>
      <w:r>
        <w:rPr>
          <w:rFonts w:hint="eastAsia" w:ascii="Times New Roman" w:hAnsi="Times New Roman" w:eastAsia="仿宋_GB2312" w:cs="Times New Roman"/>
          <w:color w:val="auto"/>
          <w:sz w:val="32"/>
          <w:szCs w:val="32"/>
          <w:lang w:val="en-US" w:eastAsia="zh-CN"/>
        </w:rPr>
        <w:t>导致抢险救灾及灾后重建资金投入增加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w:t>
      </w:r>
    </w:p>
    <w:p w14:paraId="1E989F36">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二、收入决算情况说明</w:t>
      </w:r>
    </w:p>
    <w:p w14:paraId="72556CC6">
      <w:pPr>
        <w:pStyle w:val="18"/>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本年收入合计3082.91万元，其中：财政拨款收入2391.53万元，占77.5%；其他收入691.38万元，占22.5%。</w:t>
      </w:r>
    </w:p>
    <w:p w14:paraId="7C1AF2AE">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三、支出决算情况说明</w:t>
      </w:r>
    </w:p>
    <w:p w14:paraId="1A0559CC">
      <w:pPr>
        <w:pStyle w:val="18"/>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本年支出合计3082.91万元，其中：基本支出3013.61万元，占97.76%；项目支出为69.3万元，占2.24%。</w:t>
      </w:r>
    </w:p>
    <w:p w14:paraId="56ECAD09">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四、财政拨款收入支出决算总体情况说明</w:t>
      </w:r>
    </w:p>
    <w:p w14:paraId="4B196062">
      <w:pPr>
        <w:pStyle w:val="18"/>
        <w:shd w:val="clear"/>
        <w:ind w:firstLine="640" w:firstLineChars="200"/>
        <w:rPr>
          <w:rFonts w:hint="eastAsia" w:ascii="仿宋" w:hAnsi="仿宋" w:eastAsia="仿宋" w:cs="仿宋"/>
          <w:color w:val="auto"/>
          <w:kern w:val="0"/>
          <w:sz w:val="32"/>
          <w:szCs w:val="32"/>
          <w:u w:val="none"/>
          <w:lang w:val="en-US" w:eastAsia="zh-CN"/>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2024年度财政拨款收、支总计2391.53万元，与上年相比，增加407.94万元，增加20.57%，</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主要是</w:t>
      </w:r>
      <w:r>
        <w:rPr>
          <w:rFonts w:hint="eastAsia" w:ascii="Times New Roman" w:hAnsi="Times New Roman" w:eastAsia="仿宋_GB2312" w:cs="Times New Roman"/>
          <w:color w:val="auto"/>
          <w:sz w:val="32"/>
          <w:szCs w:val="32"/>
        </w:rPr>
        <w:t>因</w:t>
      </w:r>
      <w:r>
        <w:rPr>
          <w:rFonts w:hint="eastAsia" w:ascii="Times New Roman" w:hAnsi="Times New Roman" w:eastAsia="仿宋_GB2312" w:cs="Times New Roman"/>
          <w:color w:val="auto"/>
          <w:sz w:val="32"/>
          <w:szCs w:val="32"/>
          <w:lang w:val="en-US" w:eastAsia="zh-CN"/>
        </w:rPr>
        <w:t>发生</w:t>
      </w:r>
      <w:r>
        <w:rPr>
          <w:rFonts w:hint="eastAsia" w:ascii="Times New Roman" w:hAnsi="Times New Roman" w:eastAsia="仿宋_GB2312" w:cs="Times New Roman"/>
          <w:color w:val="auto"/>
          <w:sz w:val="32"/>
          <w:szCs w:val="32"/>
        </w:rPr>
        <w:t>洪涝自然灾害，增加</w:t>
      </w:r>
      <w:r>
        <w:rPr>
          <w:rFonts w:hint="eastAsia" w:ascii="Times New Roman" w:hAnsi="Times New Roman" w:eastAsia="仿宋_GB2312" w:cs="Times New Roman"/>
          <w:color w:val="auto"/>
          <w:sz w:val="32"/>
          <w:szCs w:val="32"/>
          <w:lang w:val="en-US" w:eastAsia="zh-CN"/>
        </w:rPr>
        <w:t>的抢险救灾及灾后重建资金</w:t>
      </w:r>
      <w:r>
        <w:rPr>
          <w:rFonts w:hint="eastAsia" w:ascii="仿宋" w:hAnsi="仿宋" w:eastAsia="仿宋" w:cs="仿宋"/>
          <w:color w:val="auto"/>
          <w:kern w:val="0"/>
          <w:sz w:val="32"/>
          <w:szCs w:val="32"/>
          <w:u w:val="none"/>
          <w:lang w:val="en-US" w:eastAsia="zh-CN"/>
        </w:rPr>
        <w:t>，导致2024年度财政拨款收、支增加。</w:t>
      </w:r>
    </w:p>
    <w:p w14:paraId="18243E98">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五、一般公共预算财政拨款支出决算情况说明</w:t>
      </w:r>
    </w:p>
    <w:p w14:paraId="5A35A9A0">
      <w:pPr>
        <w:pStyle w:val="18"/>
        <w:shd w:val="clear"/>
        <w:ind w:firstLine="640" w:firstLineChars="20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（一）</w:t>
      </w:r>
      <w:r>
        <w:rPr>
          <w:rFonts w:hint="eastAsia" w:ascii="仿宋" w:hAnsi="仿宋" w:eastAsia="仿宋" w:cs="仿宋"/>
          <w:b/>
          <w:bCs/>
          <w:color w:val="000000" w:themeColor="text1"/>
          <w:sz w:val="32"/>
          <w:szCs w:val="32"/>
          <w:u w:val="none"/>
          <w14:textFill>
            <w14:solidFill>
              <w14:schemeClr w14:val="tx1"/>
            </w14:solidFill>
          </w14:textFill>
        </w:rPr>
        <w:t>一般公共预算</w:t>
      </w:r>
      <w:r>
        <w:rPr>
          <w:rFonts w:hint="eastAsia" w:ascii="仿宋" w:hAnsi="仿宋" w:eastAsia="仿宋" w:cs="仿宋"/>
          <w:b/>
          <w:bCs/>
          <w:color w:val="000000" w:themeColor="text1"/>
          <w:sz w:val="32"/>
          <w:szCs w:val="32"/>
          <w:u w:val="none"/>
          <w14:textFill>
            <w14:solidFill>
              <w14:schemeClr w14:val="tx1"/>
            </w14:solidFill>
          </w14:textFill>
        </w:rPr>
        <w:t>财政拨款支出决算总体情况</w:t>
      </w:r>
    </w:p>
    <w:p w14:paraId="41F83C04">
      <w:pPr>
        <w:pStyle w:val="18"/>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2024年度一般公共预算财政拨款支出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2322.23</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万元，占本年支出合计的75%，与上年相比，财政拨款支出增加407.94万元</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增加25%</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w:t>
      </w:r>
      <w:r>
        <w:rPr>
          <w:rFonts w:hint="eastAsia" w:ascii="仿宋" w:hAnsi="仿宋" w:eastAsia="仿宋" w:cs="仿宋"/>
          <w:color w:val="auto"/>
          <w:kern w:val="0"/>
          <w:sz w:val="32"/>
          <w:szCs w:val="32"/>
          <w:u w:val="none"/>
          <w:lang w:val="en-US" w:eastAsia="zh-CN"/>
        </w:rPr>
        <w:t>主要是因为人员增加、社保公积金调整，遭遇洪水灾害，救灾与灾后恢复重建、以及农林水设施方面的投入增加，导致2024年度财政拨款收、支增加。</w:t>
      </w:r>
    </w:p>
    <w:p w14:paraId="020FAB38">
      <w:pPr>
        <w:pStyle w:val="18"/>
        <w:shd w:val="clear"/>
        <w:ind w:firstLine="480" w:firstLineChars="1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（二）</w:t>
      </w:r>
      <w:r>
        <w:rPr>
          <w:rFonts w:hint="eastAsia" w:ascii="仿宋" w:hAnsi="仿宋" w:eastAsia="仿宋" w:cs="仿宋"/>
          <w:b/>
          <w:bCs/>
          <w:color w:val="000000" w:themeColor="text1"/>
          <w:sz w:val="32"/>
          <w:szCs w:val="32"/>
          <w:u w:val="none"/>
          <w14:textFill>
            <w14:solidFill>
              <w14:schemeClr w14:val="tx1"/>
            </w14:solidFill>
          </w14:textFill>
        </w:rPr>
        <w:t>一般公共预算</w:t>
      </w:r>
      <w:r>
        <w:rPr>
          <w:rFonts w:hint="eastAsia" w:ascii="仿宋" w:hAnsi="仿宋" w:eastAsia="仿宋" w:cs="仿宋"/>
          <w:b/>
          <w:bCs/>
          <w:color w:val="000000" w:themeColor="text1"/>
          <w:sz w:val="32"/>
          <w:szCs w:val="32"/>
          <w:u w:val="none"/>
          <w14:textFill>
            <w14:solidFill>
              <w14:schemeClr w14:val="tx1"/>
            </w14:solidFill>
          </w14:textFill>
        </w:rPr>
        <w:t>财政拨款支出决算结构情况</w:t>
      </w:r>
    </w:p>
    <w:p w14:paraId="48810AB9">
      <w:pPr>
        <w:pStyle w:val="18"/>
        <w:shd w:val="clear"/>
        <w:ind w:firstLine="640" w:firstLineChars="200"/>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2024年度</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一般公共预算财政</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拨款支出2322.23万元，主要用于以下方</w:t>
      </w:r>
      <w:r>
        <w:rPr>
          <w:rFonts w:hint="eastAsia" w:ascii="仿宋" w:hAnsi="仿宋" w:eastAsia="仿宋" w:cs="仿宋"/>
          <w:color w:val="000000" w:themeColor="text1"/>
          <w:kern w:val="0"/>
          <w:sz w:val="32"/>
          <w:szCs w:val="32"/>
          <w:u w:val="none"/>
          <w14:textFill>
            <w14:solidFill>
              <w14:schemeClr w14:val="tx1"/>
            </w14:solidFill>
          </w14:textFill>
        </w:rPr>
        <w:t>面：一般公共服务支出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1301.85</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比55</w:t>
      </w:r>
      <w:r>
        <w:rPr>
          <w:rFonts w:hint="eastAsia" w:ascii="仿宋" w:hAnsi="仿宋" w:eastAsia="仿宋" w:cs="仿宋"/>
          <w:color w:val="000000" w:themeColor="text1"/>
          <w:kern w:val="0"/>
          <w:sz w:val="32"/>
          <w:szCs w:val="32"/>
          <w:u w:val="none"/>
          <w14:textFill>
            <w14:solidFill>
              <w14:schemeClr w14:val="tx1"/>
            </w14:solidFill>
          </w14:textFill>
        </w:rPr>
        <w:t>%；</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国防支出1.32万元，占比0.05%；</w:t>
      </w:r>
      <w:r>
        <w:rPr>
          <w:rFonts w:hint="eastAsia" w:ascii="仿宋" w:hAnsi="仿宋" w:eastAsia="仿宋" w:cs="仿宋"/>
          <w:color w:val="000000" w:themeColor="text1"/>
          <w:kern w:val="0"/>
          <w:sz w:val="32"/>
          <w:szCs w:val="32"/>
          <w:u w:val="none"/>
          <w14:textFill>
            <w14:solidFill>
              <w14:schemeClr w14:val="tx1"/>
            </w14:solidFill>
          </w14:textFill>
        </w:rPr>
        <w:t>社会保障和就业支出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140.75</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6</w:t>
      </w:r>
      <w:r>
        <w:rPr>
          <w:rFonts w:hint="eastAsia" w:ascii="仿宋" w:hAnsi="仿宋" w:eastAsia="仿宋" w:cs="仿宋"/>
          <w:color w:val="000000" w:themeColor="text1"/>
          <w:kern w:val="0"/>
          <w:sz w:val="32"/>
          <w:szCs w:val="32"/>
          <w:u w:val="none"/>
          <w14:textFill>
            <w14:solidFill>
              <w14:schemeClr w14:val="tx1"/>
            </w14:solidFill>
          </w14:textFill>
        </w:rPr>
        <w:t>%；卫生健康支出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60.68</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2.4</w:t>
      </w:r>
      <w:r>
        <w:rPr>
          <w:rFonts w:hint="eastAsia" w:ascii="仿宋" w:hAnsi="仿宋" w:eastAsia="仿宋" w:cs="仿宋"/>
          <w:color w:val="000000" w:themeColor="text1"/>
          <w:kern w:val="0"/>
          <w:sz w:val="32"/>
          <w:szCs w:val="32"/>
          <w:u w:val="none"/>
          <w14:textFill>
            <w14:solidFill>
              <w14:schemeClr w14:val="tx1"/>
            </w14:solidFill>
          </w14:textFill>
        </w:rPr>
        <w:t>%；</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节能环保支出8万元，占比0.31%；</w:t>
      </w:r>
      <w:r>
        <w:rPr>
          <w:rFonts w:hint="eastAsia" w:ascii="仿宋" w:hAnsi="仿宋" w:eastAsia="仿宋" w:cs="仿宋"/>
          <w:color w:val="000000" w:themeColor="text1"/>
          <w:kern w:val="0"/>
          <w:sz w:val="32"/>
          <w:szCs w:val="32"/>
          <w:u w:val="none"/>
          <w14:textFill>
            <w14:solidFill>
              <w14:schemeClr w14:val="tx1"/>
            </w14:solidFill>
          </w14:textFill>
        </w:rPr>
        <w:t>城乡社区支出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44.18</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1.6</w:t>
      </w:r>
      <w:r>
        <w:rPr>
          <w:rFonts w:hint="eastAsia" w:ascii="仿宋" w:hAnsi="仿宋" w:eastAsia="仿宋" w:cs="仿宋"/>
          <w:color w:val="000000" w:themeColor="text1"/>
          <w:kern w:val="0"/>
          <w:sz w:val="32"/>
          <w:szCs w:val="32"/>
          <w:u w:val="none"/>
          <w14:textFill>
            <w14:solidFill>
              <w14:schemeClr w14:val="tx1"/>
            </w14:solidFill>
          </w14:textFill>
        </w:rPr>
        <w:t>%；农林水</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649.99</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26.9</w:t>
      </w:r>
      <w:r>
        <w:rPr>
          <w:rFonts w:hint="eastAsia" w:ascii="仿宋" w:hAnsi="仿宋" w:eastAsia="仿宋" w:cs="仿宋"/>
          <w:color w:val="000000" w:themeColor="text1"/>
          <w:kern w:val="0"/>
          <w:sz w:val="32"/>
          <w:szCs w:val="32"/>
          <w:u w:val="none"/>
          <w14:textFill>
            <w14:solidFill>
              <w14:schemeClr w14:val="tx1"/>
            </w14:solidFill>
          </w14:textFill>
        </w:rPr>
        <w:t>%</w:t>
      </w:r>
      <w:r>
        <w:rPr>
          <w:rFonts w:hint="eastAsia" w:ascii="仿宋" w:hAnsi="仿宋" w:eastAsia="仿宋" w:cs="仿宋"/>
          <w:color w:val="000000" w:themeColor="text1"/>
          <w:kern w:val="0"/>
          <w:sz w:val="32"/>
          <w:szCs w:val="32"/>
          <w:u w:val="none"/>
          <w:lang w:eastAsia="zh-CN"/>
          <w14:textFill>
            <w14:solidFill>
              <w14:schemeClr w14:val="tx1"/>
            </w14:solidFill>
          </w14:textFill>
        </w:rPr>
        <w:t>；住房保障支出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95.44万元，</w:t>
      </w:r>
      <w:r>
        <w:rPr>
          <w:rFonts w:hint="eastAsia" w:ascii="仿宋" w:hAnsi="仿宋" w:eastAsia="仿宋" w:cs="仿宋"/>
          <w:color w:val="000000" w:themeColor="text1"/>
          <w:kern w:val="0"/>
          <w:sz w:val="32"/>
          <w:szCs w:val="32"/>
          <w:u w:val="none"/>
          <w14:textFill>
            <w14:solidFill>
              <w14:schemeClr w14:val="tx1"/>
            </w14:solidFill>
          </w14:textFill>
        </w:rPr>
        <w:t>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4</w:t>
      </w:r>
      <w:r>
        <w:rPr>
          <w:rFonts w:hint="eastAsia" w:ascii="仿宋" w:hAnsi="仿宋" w:eastAsia="仿宋" w:cs="仿宋"/>
          <w:color w:val="000000" w:themeColor="text1"/>
          <w:kern w:val="0"/>
          <w:sz w:val="32"/>
          <w:szCs w:val="32"/>
          <w:u w:val="none"/>
          <w14:textFill>
            <w14:solidFill>
              <w14:schemeClr w14:val="tx1"/>
            </w14:solidFill>
          </w14:textFill>
        </w:rPr>
        <w:t>%</w:t>
      </w:r>
      <w:r>
        <w:rPr>
          <w:rFonts w:hint="eastAsia" w:ascii="仿宋" w:hAnsi="仿宋" w:eastAsia="仿宋" w:cs="仿宋"/>
          <w:color w:val="000000" w:themeColor="text1"/>
          <w:kern w:val="0"/>
          <w:sz w:val="32"/>
          <w:szCs w:val="32"/>
          <w:u w:val="none"/>
          <w:lang w:eastAsia="zh-CN"/>
          <w14:textFill>
            <w14:solidFill>
              <w14:schemeClr w14:val="tx1"/>
            </w14:solidFill>
          </w14:textFill>
        </w:rPr>
        <w:t>；</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灾害防治及应急管理支出20万元，占比0.84%，其他支出69.3万元，占比2.9%。</w:t>
      </w:r>
    </w:p>
    <w:p w14:paraId="469697DE">
      <w:pPr>
        <w:pStyle w:val="18"/>
        <w:shd w:val="clear"/>
        <w:ind w:firstLine="800" w:firstLineChars="2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（三）</w:t>
      </w:r>
      <w:r>
        <w:rPr>
          <w:rFonts w:hint="eastAsia" w:ascii="仿宋" w:hAnsi="仿宋" w:eastAsia="仿宋" w:cs="仿宋"/>
          <w:b/>
          <w:bCs/>
          <w:color w:val="000000" w:themeColor="text1"/>
          <w:sz w:val="32"/>
          <w:szCs w:val="32"/>
          <w:u w:val="none"/>
          <w:lang w:val="en-US" w:eastAsia="zh-CN"/>
          <w14:textFill>
            <w14:solidFill>
              <w14:schemeClr w14:val="tx1"/>
            </w14:solidFill>
          </w14:textFill>
        </w:rPr>
        <w:t>一般公共预算</w:t>
      </w:r>
      <w:r>
        <w:rPr>
          <w:rFonts w:hint="eastAsia" w:ascii="仿宋" w:hAnsi="仿宋" w:eastAsia="仿宋" w:cs="仿宋"/>
          <w:b/>
          <w:bCs/>
          <w:color w:val="000000" w:themeColor="text1"/>
          <w:sz w:val="32"/>
          <w:szCs w:val="32"/>
          <w:u w:val="none"/>
          <w14:textFill>
            <w14:solidFill>
              <w14:schemeClr w14:val="tx1"/>
            </w14:solidFill>
          </w14:textFill>
        </w:rPr>
        <w:t>财政拨款支出决算具体情况</w:t>
      </w:r>
    </w:p>
    <w:p w14:paraId="20DA942A">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2024</w:t>
      </w:r>
      <w:r>
        <w:rPr>
          <w:rFonts w:hint="eastAsia" w:ascii="仿宋" w:hAnsi="仿宋" w:eastAsia="仿宋" w:cs="仿宋"/>
          <w:color w:val="000000" w:themeColor="text1"/>
          <w:kern w:val="0"/>
          <w:sz w:val="32"/>
          <w:szCs w:val="32"/>
          <w:u w:val="none"/>
          <w14:textFill>
            <w14:solidFill>
              <w14:schemeClr w14:val="tx1"/>
            </w14:solidFill>
          </w14:textFill>
        </w:rPr>
        <w:t>年度财政拨款支出年初预算数为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2322.23</w:t>
      </w:r>
      <w:r>
        <w:rPr>
          <w:rFonts w:hint="eastAsia" w:ascii="仿宋" w:hAnsi="仿宋" w:eastAsia="仿宋" w:cs="仿宋"/>
          <w:color w:val="000000" w:themeColor="text1"/>
          <w:kern w:val="0"/>
          <w:sz w:val="32"/>
          <w:szCs w:val="32"/>
          <w:u w:val="none"/>
          <w14:textFill>
            <w14:solidFill>
              <w14:schemeClr w14:val="tx1"/>
            </w14:solidFill>
          </w14:textFill>
        </w:rPr>
        <w:t>万元，支出决算数为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2322.23</w:t>
      </w:r>
      <w:r>
        <w:rPr>
          <w:rFonts w:hint="eastAsia" w:ascii="仿宋" w:hAnsi="仿宋" w:eastAsia="仿宋" w:cs="仿宋"/>
          <w:color w:val="000000" w:themeColor="text1"/>
          <w:kern w:val="0"/>
          <w:sz w:val="32"/>
          <w:szCs w:val="32"/>
          <w:u w:val="none"/>
          <w14:textFill>
            <w14:solidFill>
              <w14:schemeClr w14:val="tx1"/>
            </w14:solidFill>
          </w14:textFill>
        </w:rPr>
        <w:t>万元，完成年初预算的100%，其中：</w:t>
      </w:r>
    </w:p>
    <w:p w14:paraId="36AC5AE4">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1、一般公共服务（类）人大事务（款）机关服务（项）年初预算为</w:t>
      </w:r>
      <w:r>
        <w:rPr>
          <w:rFonts w:hint="eastAsia" w:ascii="仿宋" w:hAnsi="仿宋" w:eastAsia="仿宋" w:cs="仿宋"/>
          <w:color w:val="auto"/>
          <w:kern w:val="0"/>
          <w:sz w:val="32"/>
          <w:szCs w:val="32"/>
          <w:u w:val="none"/>
          <w:lang w:val="en-US" w:eastAsia="zh-CN"/>
        </w:rPr>
        <w:t>22.49</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22.49</w:t>
      </w:r>
      <w:r>
        <w:rPr>
          <w:rFonts w:hint="eastAsia" w:ascii="仿宋" w:hAnsi="仿宋" w:eastAsia="仿宋" w:cs="仿宋"/>
          <w:color w:val="auto"/>
          <w:kern w:val="0"/>
          <w:sz w:val="32"/>
          <w:szCs w:val="32"/>
          <w:u w:val="none"/>
        </w:rPr>
        <w:t>万元，完成年初预算的100%。</w:t>
      </w:r>
    </w:p>
    <w:p w14:paraId="49B14851">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2、一般公共服务（类）政府办公厅（室）及相关机构事务（款）行政运行（项）</w:t>
      </w:r>
    </w:p>
    <w:p w14:paraId="06E458D2">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1154.35</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1154.35</w:t>
      </w:r>
      <w:r>
        <w:rPr>
          <w:rFonts w:hint="eastAsia" w:ascii="仿宋" w:hAnsi="仿宋" w:eastAsia="仿宋" w:cs="仿宋"/>
          <w:color w:val="auto"/>
          <w:kern w:val="0"/>
          <w:sz w:val="32"/>
          <w:szCs w:val="32"/>
          <w:u w:val="none"/>
        </w:rPr>
        <w:t>万元，完成年初预算的100%。</w:t>
      </w:r>
    </w:p>
    <w:p w14:paraId="1D17FA95">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3、一般公共服务（类）政府办公厅（室）及相关机构事务（款）</w:t>
      </w:r>
      <w:r>
        <w:rPr>
          <w:rFonts w:hint="eastAsia" w:ascii="仿宋" w:hAnsi="仿宋" w:eastAsia="仿宋" w:cs="仿宋"/>
          <w:color w:val="auto"/>
          <w:kern w:val="0"/>
          <w:sz w:val="32"/>
          <w:szCs w:val="32"/>
          <w:u w:val="none"/>
          <w:lang w:val="en-US" w:eastAsia="zh-CN"/>
        </w:rPr>
        <w:t>其他政府办公厅（室）及相关机构事务支出</w:t>
      </w:r>
      <w:r>
        <w:rPr>
          <w:rFonts w:hint="eastAsia" w:ascii="仿宋" w:hAnsi="仿宋" w:eastAsia="仿宋" w:cs="仿宋"/>
          <w:color w:val="auto"/>
          <w:kern w:val="0"/>
          <w:sz w:val="32"/>
          <w:szCs w:val="32"/>
          <w:u w:val="none"/>
        </w:rPr>
        <w:t>（项）</w:t>
      </w:r>
    </w:p>
    <w:p w14:paraId="58EC1527">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97.99</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97.99</w:t>
      </w:r>
      <w:r>
        <w:rPr>
          <w:rFonts w:hint="eastAsia" w:ascii="仿宋" w:hAnsi="仿宋" w:eastAsia="仿宋" w:cs="仿宋"/>
          <w:color w:val="auto"/>
          <w:kern w:val="0"/>
          <w:sz w:val="32"/>
          <w:szCs w:val="32"/>
          <w:u w:val="none"/>
        </w:rPr>
        <w:t>万元，完成年初预算的100%。</w:t>
      </w:r>
    </w:p>
    <w:p w14:paraId="70530A82">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4</w:t>
      </w:r>
      <w:r>
        <w:rPr>
          <w:rFonts w:hint="eastAsia" w:ascii="仿宋" w:hAnsi="仿宋" w:eastAsia="仿宋" w:cs="仿宋"/>
          <w:color w:val="000000" w:themeColor="text1"/>
          <w:kern w:val="0"/>
          <w:sz w:val="32"/>
          <w:szCs w:val="32"/>
          <w:u w:val="none"/>
          <w14:textFill>
            <w14:solidFill>
              <w14:schemeClr w14:val="tx1"/>
            </w14:solidFill>
          </w14:textFill>
        </w:rPr>
        <w:t>、一般公共服务（类）</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财政</w:t>
      </w:r>
      <w:r>
        <w:rPr>
          <w:rFonts w:hint="eastAsia" w:ascii="仿宋" w:hAnsi="仿宋" w:eastAsia="仿宋" w:cs="仿宋"/>
          <w:color w:val="000000" w:themeColor="text1"/>
          <w:kern w:val="0"/>
          <w:sz w:val="32"/>
          <w:szCs w:val="32"/>
          <w:u w:val="none"/>
          <w14:textFill>
            <w14:solidFill>
              <w14:schemeClr w14:val="tx1"/>
            </w14:solidFill>
          </w14:textFill>
        </w:rPr>
        <w:t>事务（款）</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其他财政事务支出</w:t>
      </w:r>
      <w:r>
        <w:rPr>
          <w:rFonts w:hint="eastAsia" w:ascii="仿宋" w:hAnsi="仿宋" w:eastAsia="仿宋" w:cs="仿宋"/>
          <w:color w:val="000000" w:themeColor="text1"/>
          <w:kern w:val="0"/>
          <w:sz w:val="32"/>
          <w:szCs w:val="32"/>
          <w:u w:val="none"/>
          <w14:textFill>
            <w14:solidFill>
              <w14:schemeClr w14:val="tx1"/>
            </w14:solidFill>
          </w14:textFill>
        </w:rPr>
        <w:t>（项）</w:t>
      </w:r>
    </w:p>
    <w:p w14:paraId="53B4D64E">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年初预算为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2.88</w:t>
      </w:r>
      <w:r>
        <w:rPr>
          <w:rFonts w:hint="eastAsia" w:ascii="仿宋" w:hAnsi="仿宋" w:eastAsia="仿宋" w:cs="仿宋"/>
          <w:color w:val="000000" w:themeColor="text1"/>
          <w:kern w:val="0"/>
          <w:sz w:val="32"/>
          <w:szCs w:val="32"/>
          <w:u w:val="none"/>
          <w14:textFill>
            <w14:solidFill>
              <w14:schemeClr w14:val="tx1"/>
            </w14:solidFill>
          </w14:textFill>
        </w:rPr>
        <w:t>万元，支出决算为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2.88</w:t>
      </w:r>
      <w:r>
        <w:rPr>
          <w:rFonts w:hint="eastAsia" w:ascii="仿宋" w:hAnsi="仿宋" w:eastAsia="仿宋" w:cs="仿宋"/>
          <w:color w:val="000000" w:themeColor="text1"/>
          <w:kern w:val="0"/>
          <w:sz w:val="32"/>
          <w:szCs w:val="32"/>
          <w:u w:val="none"/>
          <w14:textFill>
            <w14:solidFill>
              <w14:schemeClr w14:val="tx1"/>
            </w14:solidFill>
          </w14:textFill>
        </w:rPr>
        <w:t>万元，完成年初预算的100%。</w:t>
      </w:r>
    </w:p>
    <w:p w14:paraId="5AF38781">
      <w:pPr>
        <w:pStyle w:val="18"/>
        <w:keepNext w:val="0"/>
        <w:keepLines w:val="0"/>
        <w:pageBreakBefore w:val="0"/>
        <w:widowControl w:val="0"/>
        <w:numPr>
          <w:ilvl w:val="0"/>
          <w:numId w:val="2"/>
        </w:numPr>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一般公共服务（类）</w:t>
      </w:r>
      <w:r>
        <w:rPr>
          <w:rFonts w:hint="eastAsia" w:ascii="仿宋" w:hAnsi="仿宋" w:eastAsia="仿宋" w:cs="仿宋"/>
          <w:color w:val="auto"/>
          <w:kern w:val="0"/>
          <w:sz w:val="32"/>
          <w:szCs w:val="32"/>
          <w:u w:val="none"/>
          <w:lang w:val="en-US" w:eastAsia="zh-CN"/>
        </w:rPr>
        <w:t>信访事务（款）</w:t>
      </w:r>
      <w:r>
        <w:rPr>
          <w:rFonts w:hint="eastAsia" w:ascii="仿宋" w:hAnsi="仿宋" w:eastAsia="仿宋" w:cs="仿宋"/>
          <w:color w:val="auto"/>
          <w:kern w:val="0"/>
          <w:sz w:val="32"/>
          <w:szCs w:val="32"/>
          <w:u w:val="none"/>
        </w:rPr>
        <w:t>信访</w:t>
      </w:r>
      <w:r>
        <w:rPr>
          <w:rFonts w:hint="eastAsia" w:ascii="仿宋" w:hAnsi="仿宋" w:eastAsia="仿宋" w:cs="仿宋"/>
          <w:color w:val="auto"/>
          <w:kern w:val="0"/>
          <w:sz w:val="32"/>
          <w:szCs w:val="32"/>
          <w:u w:val="none"/>
          <w:lang w:val="en-US" w:eastAsia="zh-CN"/>
        </w:rPr>
        <w:t>业</w:t>
      </w:r>
      <w:r>
        <w:rPr>
          <w:rFonts w:hint="eastAsia" w:ascii="仿宋" w:hAnsi="仿宋" w:eastAsia="仿宋" w:cs="仿宋"/>
          <w:color w:val="auto"/>
          <w:kern w:val="0"/>
          <w:sz w:val="32"/>
          <w:szCs w:val="32"/>
          <w:u w:val="none"/>
        </w:rPr>
        <w:t>务（项）</w:t>
      </w:r>
    </w:p>
    <w:p w14:paraId="29DADEB5">
      <w:pPr>
        <w:pStyle w:val="18"/>
        <w:keepNext w:val="0"/>
        <w:keepLines w:val="0"/>
        <w:pageBreakBefore w:val="0"/>
        <w:widowControl w:val="0"/>
        <w:numPr>
          <w:numId w:val="0"/>
        </w:numPr>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7.1</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7.1</w:t>
      </w:r>
      <w:r>
        <w:rPr>
          <w:rFonts w:hint="eastAsia" w:ascii="仿宋" w:hAnsi="仿宋" w:eastAsia="仿宋" w:cs="仿宋"/>
          <w:color w:val="auto"/>
          <w:kern w:val="0"/>
          <w:sz w:val="32"/>
          <w:szCs w:val="32"/>
          <w:u w:val="none"/>
        </w:rPr>
        <w:t>万元，完成年初预算的100%。</w:t>
      </w:r>
    </w:p>
    <w:p w14:paraId="5FF674B0">
      <w:pPr>
        <w:pStyle w:val="18"/>
        <w:keepNext w:val="0"/>
        <w:keepLines w:val="0"/>
        <w:pageBreakBefore w:val="0"/>
        <w:widowControl w:val="0"/>
        <w:numPr>
          <w:numId w:val="0"/>
        </w:numPr>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6、</w:t>
      </w:r>
      <w:r>
        <w:rPr>
          <w:rFonts w:hint="eastAsia" w:ascii="仿宋" w:hAnsi="仿宋" w:eastAsia="仿宋" w:cs="仿宋"/>
          <w:color w:val="auto"/>
          <w:kern w:val="0"/>
          <w:sz w:val="32"/>
          <w:szCs w:val="32"/>
          <w:u w:val="none"/>
        </w:rPr>
        <w:t>一般公共服务（类）</w:t>
      </w:r>
      <w:r>
        <w:rPr>
          <w:rFonts w:hint="eastAsia" w:ascii="仿宋" w:hAnsi="仿宋" w:eastAsia="仿宋" w:cs="仿宋"/>
          <w:color w:val="auto"/>
          <w:kern w:val="0"/>
          <w:sz w:val="32"/>
          <w:szCs w:val="32"/>
          <w:u w:val="none"/>
          <w:lang w:val="en-US" w:eastAsia="zh-CN"/>
        </w:rPr>
        <w:t>其他一般公共服务支出</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val="en-US" w:eastAsia="zh-CN"/>
        </w:rPr>
        <w:t>其他一般公共服务支出</w:t>
      </w:r>
      <w:r>
        <w:rPr>
          <w:rFonts w:hint="eastAsia" w:ascii="仿宋" w:hAnsi="仿宋" w:eastAsia="仿宋" w:cs="仿宋"/>
          <w:color w:val="auto"/>
          <w:kern w:val="0"/>
          <w:sz w:val="32"/>
          <w:szCs w:val="32"/>
          <w:u w:val="none"/>
        </w:rPr>
        <w:t>（项）</w:t>
      </w:r>
    </w:p>
    <w:p w14:paraId="2FC832E9">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lang w:eastAsia="zh-CN"/>
        </w:rPr>
      </w:pPr>
      <w:r>
        <w:rPr>
          <w:rFonts w:hint="eastAsia" w:ascii="仿宋" w:hAnsi="仿宋" w:eastAsia="仿宋" w:cs="仿宋"/>
          <w:color w:val="auto"/>
          <w:kern w:val="0"/>
          <w:sz w:val="32"/>
          <w:szCs w:val="32"/>
          <w:u w:val="none"/>
          <w:lang w:eastAsia="zh-CN"/>
        </w:rPr>
        <w:tab/>
      </w: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17.02</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17.02</w:t>
      </w:r>
      <w:r>
        <w:rPr>
          <w:rFonts w:hint="eastAsia" w:ascii="仿宋" w:hAnsi="仿宋" w:eastAsia="仿宋" w:cs="仿宋"/>
          <w:color w:val="auto"/>
          <w:kern w:val="0"/>
          <w:sz w:val="32"/>
          <w:szCs w:val="32"/>
          <w:u w:val="none"/>
        </w:rPr>
        <w:t>万元，完成年初预算的100%</w:t>
      </w:r>
      <w:r>
        <w:rPr>
          <w:rFonts w:hint="eastAsia" w:ascii="仿宋" w:hAnsi="仿宋" w:eastAsia="仿宋" w:cs="仿宋"/>
          <w:color w:val="auto"/>
          <w:kern w:val="0"/>
          <w:sz w:val="32"/>
          <w:szCs w:val="32"/>
          <w:u w:val="none"/>
          <w:lang w:eastAsia="zh-CN"/>
        </w:rPr>
        <w:t>。</w:t>
      </w:r>
    </w:p>
    <w:p w14:paraId="1DFCC842">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7</w:t>
      </w:r>
      <w:r>
        <w:rPr>
          <w:rFonts w:hint="eastAsia" w:ascii="仿宋" w:hAnsi="仿宋" w:eastAsia="仿宋" w:cs="仿宋"/>
          <w:color w:val="auto"/>
          <w:kern w:val="0"/>
          <w:sz w:val="32"/>
          <w:szCs w:val="32"/>
          <w:u w:val="none"/>
        </w:rPr>
        <w:t>、</w:t>
      </w:r>
      <w:r>
        <w:rPr>
          <w:rFonts w:hint="eastAsia" w:ascii="仿宋" w:hAnsi="仿宋" w:eastAsia="仿宋" w:cs="仿宋"/>
          <w:color w:val="auto"/>
          <w:kern w:val="0"/>
          <w:sz w:val="32"/>
          <w:szCs w:val="32"/>
          <w:u w:val="none"/>
          <w:lang w:eastAsia="zh-CN"/>
        </w:rPr>
        <w:t>国防支出</w:t>
      </w:r>
      <w:r>
        <w:rPr>
          <w:rFonts w:hint="eastAsia" w:ascii="仿宋" w:hAnsi="仿宋" w:eastAsia="仿宋" w:cs="仿宋"/>
          <w:color w:val="auto"/>
          <w:kern w:val="0"/>
          <w:sz w:val="32"/>
          <w:szCs w:val="32"/>
          <w:u w:val="none"/>
        </w:rPr>
        <w:t>（类）</w:t>
      </w:r>
      <w:r>
        <w:rPr>
          <w:rFonts w:hint="eastAsia" w:ascii="仿宋" w:hAnsi="仿宋" w:eastAsia="仿宋" w:cs="仿宋"/>
          <w:color w:val="auto"/>
          <w:kern w:val="0"/>
          <w:sz w:val="32"/>
          <w:szCs w:val="32"/>
          <w:u w:val="none"/>
          <w:lang w:eastAsia="zh-CN"/>
        </w:rPr>
        <w:t>国防动员</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eastAsia="zh-CN"/>
        </w:rPr>
        <w:t>兵役征集</w:t>
      </w:r>
      <w:r>
        <w:rPr>
          <w:rFonts w:hint="eastAsia" w:ascii="仿宋" w:hAnsi="仿宋" w:eastAsia="仿宋" w:cs="仿宋"/>
          <w:color w:val="auto"/>
          <w:kern w:val="0"/>
          <w:sz w:val="32"/>
          <w:szCs w:val="32"/>
          <w:u w:val="none"/>
        </w:rPr>
        <w:t>（项）</w:t>
      </w:r>
    </w:p>
    <w:p w14:paraId="6BBEFB13">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1.32</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1.32</w:t>
      </w:r>
      <w:r>
        <w:rPr>
          <w:rFonts w:hint="eastAsia" w:ascii="仿宋" w:hAnsi="仿宋" w:eastAsia="仿宋" w:cs="仿宋"/>
          <w:color w:val="auto"/>
          <w:kern w:val="0"/>
          <w:sz w:val="32"/>
          <w:szCs w:val="32"/>
          <w:u w:val="none"/>
        </w:rPr>
        <w:t>万元，完成年初预算的100%。</w:t>
      </w:r>
    </w:p>
    <w:p w14:paraId="1648C7A6">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8</w:t>
      </w:r>
      <w:r>
        <w:rPr>
          <w:rFonts w:hint="eastAsia" w:ascii="仿宋" w:hAnsi="仿宋" w:eastAsia="仿宋" w:cs="仿宋"/>
          <w:color w:val="auto"/>
          <w:kern w:val="0"/>
          <w:sz w:val="32"/>
          <w:szCs w:val="32"/>
          <w:u w:val="none"/>
        </w:rPr>
        <w:t>、社会保障和就业支出（类）行政事业单位养老支出（款）行政事业单位基本养老保险缴费支出（项）</w:t>
      </w:r>
    </w:p>
    <w:p w14:paraId="517279AF">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106.02</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106.02</w:t>
      </w:r>
      <w:r>
        <w:rPr>
          <w:rFonts w:hint="eastAsia" w:ascii="仿宋" w:hAnsi="仿宋" w:eastAsia="仿宋" w:cs="仿宋"/>
          <w:color w:val="auto"/>
          <w:kern w:val="0"/>
          <w:sz w:val="32"/>
          <w:szCs w:val="32"/>
          <w:u w:val="none"/>
        </w:rPr>
        <w:t>万元，完成年初预算的100%。</w:t>
      </w:r>
    </w:p>
    <w:p w14:paraId="5D5F4A9B">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9</w:t>
      </w:r>
      <w:r>
        <w:rPr>
          <w:rFonts w:hint="eastAsia" w:ascii="仿宋" w:hAnsi="仿宋" w:eastAsia="仿宋" w:cs="仿宋"/>
          <w:color w:val="auto"/>
          <w:kern w:val="0"/>
          <w:sz w:val="32"/>
          <w:szCs w:val="32"/>
          <w:u w:val="none"/>
        </w:rPr>
        <w:t>、社会保障和就业支出（类）行政事业单位养老支出（款）机关事业单位</w:t>
      </w:r>
      <w:r>
        <w:rPr>
          <w:rFonts w:hint="eastAsia" w:ascii="仿宋" w:hAnsi="仿宋" w:eastAsia="仿宋" w:cs="仿宋"/>
          <w:color w:val="auto"/>
          <w:kern w:val="0"/>
          <w:sz w:val="32"/>
          <w:szCs w:val="32"/>
          <w:u w:val="none"/>
          <w:lang w:eastAsia="zh-CN"/>
        </w:rPr>
        <w:t>职业年金</w:t>
      </w:r>
      <w:r>
        <w:rPr>
          <w:rFonts w:hint="eastAsia" w:ascii="仿宋" w:hAnsi="仿宋" w:eastAsia="仿宋" w:cs="仿宋"/>
          <w:color w:val="auto"/>
          <w:kern w:val="0"/>
          <w:sz w:val="32"/>
          <w:szCs w:val="32"/>
          <w:u w:val="none"/>
        </w:rPr>
        <w:t>缴费支出（项）</w:t>
      </w:r>
    </w:p>
    <w:p w14:paraId="3B7CD2FB">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34.73</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34.73</w:t>
      </w:r>
      <w:r>
        <w:rPr>
          <w:rFonts w:hint="eastAsia" w:ascii="仿宋" w:hAnsi="仿宋" w:eastAsia="仿宋" w:cs="仿宋"/>
          <w:color w:val="auto"/>
          <w:kern w:val="0"/>
          <w:sz w:val="32"/>
          <w:szCs w:val="32"/>
          <w:u w:val="none"/>
        </w:rPr>
        <w:t>万元，完成年初预算的100%。</w:t>
      </w:r>
    </w:p>
    <w:p w14:paraId="4D6CD7AC">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10</w:t>
      </w:r>
      <w:r>
        <w:rPr>
          <w:rFonts w:hint="eastAsia" w:ascii="仿宋" w:hAnsi="仿宋" w:eastAsia="仿宋" w:cs="仿宋"/>
          <w:color w:val="auto"/>
          <w:kern w:val="0"/>
          <w:sz w:val="32"/>
          <w:szCs w:val="32"/>
          <w:u w:val="none"/>
        </w:rPr>
        <w:t>、卫生健康支出（类）行政事业单位医疗（款）行政单位医疗（项）</w:t>
      </w:r>
    </w:p>
    <w:p w14:paraId="685A2ED5">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60.68</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60.68</w:t>
      </w:r>
      <w:r>
        <w:rPr>
          <w:rFonts w:hint="eastAsia" w:ascii="仿宋" w:hAnsi="仿宋" w:eastAsia="仿宋" w:cs="仿宋"/>
          <w:color w:val="auto"/>
          <w:kern w:val="0"/>
          <w:sz w:val="32"/>
          <w:szCs w:val="32"/>
          <w:u w:val="none"/>
        </w:rPr>
        <w:t>万元，完成年初预算的100%。</w:t>
      </w:r>
    </w:p>
    <w:p w14:paraId="3BB15E13">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1</w:t>
      </w:r>
      <w:r>
        <w:rPr>
          <w:rFonts w:hint="eastAsia" w:ascii="仿宋" w:hAnsi="仿宋" w:eastAsia="仿宋" w:cs="仿宋"/>
          <w:color w:val="auto"/>
          <w:kern w:val="0"/>
          <w:sz w:val="32"/>
          <w:szCs w:val="32"/>
          <w:u w:val="none"/>
          <w:lang w:val="en-US" w:eastAsia="zh-CN"/>
        </w:rPr>
        <w:t>1</w:t>
      </w:r>
      <w:r>
        <w:rPr>
          <w:rFonts w:hint="eastAsia" w:ascii="仿宋" w:hAnsi="仿宋" w:eastAsia="仿宋" w:cs="仿宋"/>
          <w:color w:val="auto"/>
          <w:kern w:val="0"/>
          <w:sz w:val="32"/>
          <w:szCs w:val="32"/>
          <w:u w:val="none"/>
        </w:rPr>
        <w:t>、</w:t>
      </w:r>
      <w:r>
        <w:rPr>
          <w:rFonts w:hint="eastAsia" w:ascii="仿宋" w:hAnsi="仿宋" w:eastAsia="仿宋" w:cs="仿宋"/>
          <w:color w:val="auto"/>
          <w:kern w:val="0"/>
          <w:sz w:val="32"/>
          <w:szCs w:val="32"/>
          <w:u w:val="none"/>
          <w:lang w:val="en-US" w:eastAsia="zh-CN"/>
        </w:rPr>
        <w:t>节能环保支出</w:t>
      </w:r>
      <w:r>
        <w:rPr>
          <w:rFonts w:hint="eastAsia" w:ascii="仿宋" w:hAnsi="仿宋" w:eastAsia="仿宋" w:cs="仿宋"/>
          <w:color w:val="auto"/>
          <w:kern w:val="0"/>
          <w:sz w:val="32"/>
          <w:szCs w:val="32"/>
          <w:u w:val="none"/>
        </w:rPr>
        <w:t>（类）</w:t>
      </w:r>
      <w:r>
        <w:rPr>
          <w:rFonts w:hint="eastAsia" w:ascii="仿宋" w:hAnsi="仿宋" w:eastAsia="仿宋" w:cs="仿宋"/>
          <w:color w:val="auto"/>
          <w:kern w:val="0"/>
          <w:sz w:val="32"/>
          <w:szCs w:val="32"/>
          <w:u w:val="none"/>
          <w:lang w:val="en-US" w:eastAsia="zh-CN"/>
        </w:rPr>
        <w:t>自然生态保护</w:t>
      </w:r>
      <w:r>
        <w:rPr>
          <w:rFonts w:hint="eastAsia" w:ascii="仿宋" w:hAnsi="仿宋" w:eastAsia="仿宋" w:cs="仿宋"/>
          <w:color w:val="auto"/>
          <w:kern w:val="0"/>
          <w:sz w:val="32"/>
          <w:szCs w:val="32"/>
          <w:u w:val="none"/>
        </w:rPr>
        <w:t>（款）其他</w:t>
      </w:r>
      <w:r>
        <w:rPr>
          <w:rFonts w:hint="eastAsia" w:ascii="仿宋" w:hAnsi="仿宋" w:eastAsia="仿宋" w:cs="仿宋"/>
          <w:color w:val="auto"/>
          <w:kern w:val="0"/>
          <w:sz w:val="32"/>
          <w:szCs w:val="32"/>
          <w:u w:val="none"/>
          <w:lang w:val="en-US" w:eastAsia="zh-CN"/>
        </w:rPr>
        <w:t>自然生态保护</w:t>
      </w:r>
      <w:r>
        <w:rPr>
          <w:rFonts w:hint="eastAsia" w:ascii="仿宋" w:hAnsi="仿宋" w:eastAsia="仿宋" w:cs="仿宋"/>
          <w:color w:val="auto"/>
          <w:kern w:val="0"/>
          <w:sz w:val="32"/>
          <w:szCs w:val="32"/>
          <w:u w:val="none"/>
        </w:rPr>
        <w:t>支出（项）</w:t>
      </w:r>
    </w:p>
    <w:p w14:paraId="4AFCAEC2">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8</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8</w:t>
      </w:r>
      <w:r>
        <w:rPr>
          <w:rFonts w:hint="eastAsia" w:ascii="仿宋" w:hAnsi="仿宋" w:eastAsia="仿宋" w:cs="仿宋"/>
          <w:color w:val="auto"/>
          <w:kern w:val="0"/>
          <w:sz w:val="32"/>
          <w:szCs w:val="32"/>
          <w:u w:val="none"/>
        </w:rPr>
        <w:t>万元，完成年初预算的100%。</w:t>
      </w:r>
    </w:p>
    <w:p w14:paraId="483E24CE">
      <w:pPr>
        <w:pStyle w:val="18"/>
        <w:keepNext w:val="0"/>
        <w:keepLines w:val="0"/>
        <w:pageBreakBefore w:val="0"/>
        <w:widowControl w:val="0"/>
        <w:numPr>
          <w:ilvl w:val="0"/>
          <w:numId w:val="3"/>
        </w:numPr>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城乡社区支出（类）城乡社区公共设施（款）小城镇基础设施建设（项）</w:t>
      </w:r>
    </w:p>
    <w:p w14:paraId="47FCB82E">
      <w:pPr>
        <w:pStyle w:val="18"/>
        <w:keepNext w:val="0"/>
        <w:keepLines w:val="0"/>
        <w:pageBreakBefore w:val="0"/>
        <w:widowControl w:val="0"/>
        <w:numPr>
          <w:numId w:val="0"/>
        </w:numPr>
        <w:shd w:val="clear"/>
        <w:kinsoku/>
        <w:wordWrap/>
        <w:overflowPunct/>
        <w:topLinePunct w:val="0"/>
        <w:bidi w:val="0"/>
        <w:snapToGrid/>
        <w:spacing w:line="600" w:lineRule="exact"/>
        <w:ind w:firstLine="320" w:firstLineChars="100"/>
        <w:textAlignment w:val="auto"/>
        <w:rPr>
          <w:rFonts w:hint="default"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18</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18</w:t>
      </w:r>
      <w:r>
        <w:rPr>
          <w:rFonts w:hint="eastAsia" w:ascii="仿宋" w:hAnsi="仿宋" w:eastAsia="仿宋" w:cs="仿宋"/>
          <w:color w:val="auto"/>
          <w:kern w:val="0"/>
          <w:sz w:val="32"/>
          <w:szCs w:val="32"/>
          <w:u w:val="none"/>
        </w:rPr>
        <w:t>万元，完成年初预算的100%。</w:t>
      </w:r>
    </w:p>
    <w:p w14:paraId="5602F8C2">
      <w:pPr>
        <w:pStyle w:val="18"/>
        <w:keepNext w:val="0"/>
        <w:keepLines w:val="0"/>
        <w:pageBreakBefore w:val="0"/>
        <w:widowControl w:val="0"/>
        <w:numPr>
          <w:ilvl w:val="0"/>
          <w:numId w:val="3"/>
        </w:numPr>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城乡社区支出（类）城乡社区环境卫生（款）城乡社区环境卫生（项）</w:t>
      </w:r>
    </w:p>
    <w:p w14:paraId="06BA02A4">
      <w:pPr>
        <w:pStyle w:val="18"/>
        <w:keepNext w:val="0"/>
        <w:keepLines w:val="0"/>
        <w:pageBreakBefore w:val="0"/>
        <w:widowControl w:val="0"/>
        <w:numPr>
          <w:ilvl w:val="0"/>
          <w:numId w:val="0"/>
        </w:numPr>
        <w:shd w:val="clear"/>
        <w:kinsoku/>
        <w:wordWrap/>
        <w:overflowPunct/>
        <w:topLinePunct w:val="0"/>
        <w:bidi w:val="0"/>
        <w:snapToGrid/>
        <w:spacing w:line="600" w:lineRule="exact"/>
        <w:ind w:firstLine="320" w:firstLineChars="100"/>
        <w:textAlignment w:val="auto"/>
        <w:rPr>
          <w:rFonts w:hint="default"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26.19</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26.19</w:t>
      </w:r>
      <w:r>
        <w:rPr>
          <w:rFonts w:hint="eastAsia" w:ascii="仿宋" w:hAnsi="仿宋" w:eastAsia="仿宋" w:cs="仿宋"/>
          <w:color w:val="auto"/>
          <w:kern w:val="0"/>
          <w:sz w:val="32"/>
          <w:szCs w:val="32"/>
          <w:u w:val="none"/>
        </w:rPr>
        <w:t>万元，完成年初预算的100%。</w:t>
      </w:r>
    </w:p>
    <w:p w14:paraId="02CDDDE6">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14</w:t>
      </w:r>
      <w:r>
        <w:rPr>
          <w:rFonts w:hint="eastAsia" w:ascii="仿宋" w:hAnsi="仿宋" w:eastAsia="仿宋" w:cs="仿宋"/>
          <w:color w:val="auto"/>
          <w:kern w:val="0"/>
          <w:sz w:val="32"/>
          <w:szCs w:val="32"/>
          <w:u w:val="none"/>
        </w:rPr>
        <w:t>、农林水支出（类）农业农村（款）</w:t>
      </w:r>
      <w:r>
        <w:rPr>
          <w:rFonts w:hint="eastAsia" w:ascii="仿宋" w:hAnsi="仿宋" w:eastAsia="仿宋" w:cs="仿宋"/>
          <w:color w:val="auto"/>
          <w:kern w:val="0"/>
          <w:sz w:val="32"/>
          <w:szCs w:val="32"/>
          <w:u w:val="none"/>
          <w:lang w:val="en-US" w:eastAsia="zh-CN"/>
        </w:rPr>
        <w:t>行政运行</w:t>
      </w:r>
      <w:r>
        <w:rPr>
          <w:rFonts w:hint="eastAsia" w:ascii="仿宋" w:hAnsi="仿宋" w:eastAsia="仿宋" w:cs="仿宋"/>
          <w:color w:val="auto"/>
          <w:kern w:val="0"/>
          <w:sz w:val="32"/>
          <w:szCs w:val="32"/>
          <w:u w:val="none"/>
        </w:rPr>
        <w:t>（项）。</w:t>
      </w:r>
    </w:p>
    <w:p w14:paraId="17913F9C">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58.25</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58.25</w:t>
      </w:r>
      <w:r>
        <w:rPr>
          <w:rFonts w:hint="eastAsia" w:ascii="仿宋" w:hAnsi="仿宋" w:eastAsia="仿宋" w:cs="仿宋"/>
          <w:color w:val="auto"/>
          <w:kern w:val="0"/>
          <w:sz w:val="32"/>
          <w:szCs w:val="32"/>
          <w:u w:val="none"/>
        </w:rPr>
        <w:t>万元，完成年初预算的100%</w:t>
      </w:r>
    </w:p>
    <w:p w14:paraId="355901FF">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15</w:t>
      </w:r>
      <w:r>
        <w:rPr>
          <w:rFonts w:hint="eastAsia" w:ascii="仿宋" w:hAnsi="仿宋" w:eastAsia="仿宋" w:cs="仿宋"/>
          <w:color w:val="auto"/>
          <w:kern w:val="0"/>
          <w:sz w:val="32"/>
          <w:szCs w:val="32"/>
          <w:u w:val="none"/>
        </w:rPr>
        <w:t>、农林水支出（类）农业农村（款）农村社会事业（项）。</w:t>
      </w:r>
    </w:p>
    <w:p w14:paraId="73886682">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28.99</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28.99</w:t>
      </w:r>
      <w:r>
        <w:rPr>
          <w:rFonts w:hint="eastAsia" w:ascii="仿宋" w:hAnsi="仿宋" w:eastAsia="仿宋" w:cs="仿宋"/>
          <w:color w:val="auto"/>
          <w:kern w:val="0"/>
          <w:sz w:val="32"/>
          <w:szCs w:val="32"/>
          <w:u w:val="none"/>
        </w:rPr>
        <w:t>万元，完成年初预算的100%。</w:t>
      </w:r>
    </w:p>
    <w:p w14:paraId="43FD594C">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16</w:t>
      </w:r>
      <w:r>
        <w:rPr>
          <w:rFonts w:hint="eastAsia" w:ascii="仿宋" w:hAnsi="仿宋" w:eastAsia="仿宋" w:cs="仿宋"/>
          <w:color w:val="auto"/>
          <w:kern w:val="0"/>
          <w:sz w:val="32"/>
          <w:szCs w:val="32"/>
          <w:u w:val="none"/>
        </w:rPr>
        <w:t>、农林水支出（类）农村</w:t>
      </w:r>
      <w:r>
        <w:rPr>
          <w:rFonts w:hint="eastAsia" w:ascii="仿宋" w:hAnsi="仿宋" w:eastAsia="仿宋" w:cs="仿宋"/>
          <w:color w:val="auto"/>
          <w:kern w:val="0"/>
          <w:sz w:val="32"/>
          <w:szCs w:val="32"/>
          <w:u w:val="none"/>
          <w:lang w:val="en-US" w:eastAsia="zh-CN"/>
        </w:rPr>
        <w:t>农村</w:t>
      </w:r>
      <w:r>
        <w:rPr>
          <w:rFonts w:hint="eastAsia" w:ascii="仿宋" w:hAnsi="仿宋" w:eastAsia="仿宋" w:cs="仿宋"/>
          <w:color w:val="auto"/>
          <w:kern w:val="0"/>
          <w:sz w:val="32"/>
          <w:szCs w:val="32"/>
          <w:u w:val="none"/>
        </w:rPr>
        <w:t>革（款）</w:t>
      </w:r>
      <w:r>
        <w:rPr>
          <w:rFonts w:hint="eastAsia" w:ascii="仿宋" w:hAnsi="仿宋" w:eastAsia="仿宋" w:cs="仿宋"/>
          <w:color w:val="auto"/>
          <w:kern w:val="0"/>
          <w:sz w:val="32"/>
          <w:szCs w:val="32"/>
          <w:u w:val="none"/>
          <w:lang w:eastAsia="zh-CN"/>
        </w:rPr>
        <w:t>其他农业农村支出</w:t>
      </w:r>
      <w:r>
        <w:rPr>
          <w:rFonts w:hint="eastAsia" w:ascii="仿宋" w:hAnsi="仿宋" w:eastAsia="仿宋" w:cs="仿宋"/>
          <w:color w:val="auto"/>
          <w:kern w:val="0"/>
          <w:sz w:val="32"/>
          <w:szCs w:val="32"/>
          <w:u w:val="none"/>
        </w:rPr>
        <w:t>（项）。</w:t>
      </w:r>
    </w:p>
    <w:p w14:paraId="1DFBDC74">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10.37</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10.37</w:t>
      </w:r>
      <w:r>
        <w:rPr>
          <w:rFonts w:hint="eastAsia" w:ascii="仿宋" w:hAnsi="仿宋" w:eastAsia="仿宋" w:cs="仿宋"/>
          <w:color w:val="auto"/>
          <w:kern w:val="0"/>
          <w:sz w:val="32"/>
          <w:szCs w:val="32"/>
          <w:u w:val="none"/>
        </w:rPr>
        <w:t>万元，完成年初预算的100%。</w:t>
      </w:r>
    </w:p>
    <w:p w14:paraId="041B2424">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default" w:ascii="仿宋" w:hAnsi="仿宋" w:eastAsia="仿宋" w:cs="仿宋"/>
          <w:color w:val="auto"/>
          <w:kern w:val="0"/>
          <w:sz w:val="32"/>
          <w:szCs w:val="32"/>
          <w:u w:val="none"/>
          <w:lang w:val="en-US"/>
        </w:rPr>
      </w:pPr>
      <w:r>
        <w:rPr>
          <w:rFonts w:hint="eastAsia" w:ascii="仿宋" w:hAnsi="仿宋" w:eastAsia="仿宋" w:cs="仿宋"/>
          <w:color w:val="auto"/>
          <w:kern w:val="0"/>
          <w:sz w:val="32"/>
          <w:szCs w:val="32"/>
          <w:u w:val="none"/>
          <w:lang w:val="en-US" w:eastAsia="zh-CN"/>
        </w:rPr>
        <w:t>17</w:t>
      </w:r>
      <w:r>
        <w:rPr>
          <w:rFonts w:hint="eastAsia" w:ascii="仿宋" w:hAnsi="仿宋" w:eastAsia="仿宋" w:cs="仿宋"/>
          <w:color w:val="auto"/>
          <w:kern w:val="0"/>
          <w:sz w:val="32"/>
          <w:szCs w:val="32"/>
          <w:u w:val="none"/>
        </w:rPr>
        <w:t>、农林水支出（类）</w:t>
      </w:r>
      <w:r>
        <w:rPr>
          <w:rFonts w:hint="eastAsia" w:ascii="仿宋" w:hAnsi="仿宋" w:eastAsia="仿宋" w:cs="仿宋"/>
          <w:color w:val="auto"/>
          <w:kern w:val="0"/>
          <w:sz w:val="32"/>
          <w:szCs w:val="32"/>
          <w:u w:val="none"/>
          <w:lang w:val="en-US" w:eastAsia="zh-CN"/>
        </w:rPr>
        <w:t>林业和草原</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val="en-US" w:eastAsia="zh-CN"/>
        </w:rPr>
        <w:t>林业草原防灾减灾</w:t>
      </w:r>
    </w:p>
    <w:p w14:paraId="17A38CB2">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50</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50</w:t>
      </w:r>
      <w:r>
        <w:rPr>
          <w:rFonts w:hint="eastAsia" w:ascii="仿宋" w:hAnsi="仿宋" w:eastAsia="仿宋" w:cs="仿宋"/>
          <w:color w:val="auto"/>
          <w:kern w:val="0"/>
          <w:sz w:val="32"/>
          <w:szCs w:val="32"/>
          <w:u w:val="none"/>
        </w:rPr>
        <w:t>万元，完成年初预算的100%。</w:t>
      </w:r>
    </w:p>
    <w:p w14:paraId="2E348077">
      <w:pPr>
        <w:pStyle w:val="18"/>
        <w:keepNext w:val="0"/>
        <w:keepLines w:val="0"/>
        <w:pageBreakBefore w:val="0"/>
        <w:widowControl w:val="0"/>
        <w:numPr>
          <w:numId w:val="0"/>
        </w:numPr>
        <w:shd w:val="clear"/>
        <w:kinsoku/>
        <w:wordWrap/>
        <w:overflowPunct/>
        <w:topLinePunct w:val="0"/>
        <w:bidi w:val="0"/>
        <w:snapToGrid/>
        <w:spacing w:line="600" w:lineRule="exact"/>
        <w:ind w:left="630" w:leftChars="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18、</w:t>
      </w:r>
      <w:r>
        <w:rPr>
          <w:rFonts w:hint="eastAsia" w:ascii="仿宋" w:hAnsi="仿宋" w:eastAsia="仿宋" w:cs="仿宋"/>
          <w:color w:val="auto"/>
          <w:kern w:val="0"/>
          <w:sz w:val="32"/>
          <w:szCs w:val="32"/>
          <w:u w:val="none"/>
        </w:rPr>
        <w:t>农林水支出（类）</w:t>
      </w:r>
      <w:r>
        <w:rPr>
          <w:rFonts w:hint="eastAsia" w:ascii="仿宋" w:hAnsi="仿宋" w:eastAsia="仿宋" w:cs="仿宋"/>
          <w:color w:val="auto"/>
          <w:kern w:val="0"/>
          <w:sz w:val="32"/>
          <w:szCs w:val="32"/>
          <w:u w:val="none"/>
          <w:lang w:val="en-US" w:eastAsia="zh-CN"/>
        </w:rPr>
        <w:t>水利</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val="en-US" w:eastAsia="zh-CN"/>
        </w:rPr>
        <w:t>水利工程建设</w:t>
      </w:r>
    </w:p>
    <w:p w14:paraId="283776DB">
      <w:pPr>
        <w:pStyle w:val="18"/>
        <w:keepNext w:val="0"/>
        <w:keepLines w:val="0"/>
        <w:pageBreakBefore w:val="0"/>
        <w:widowControl w:val="0"/>
        <w:numPr>
          <w:numId w:val="0"/>
        </w:numPr>
        <w:shd w:val="clear"/>
        <w:kinsoku/>
        <w:wordWrap/>
        <w:overflowPunct/>
        <w:topLinePunct w:val="0"/>
        <w:bidi w:val="0"/>
        <w:snapToGrid/>
        <w:spacing w:line="600" w:lineRule="exact"/>
        <w:ind w:firstLine="320" w:firstLineChars="1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64</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64</w:t>
      </w:r>
      <w:r>
        <w:rPr>
          <w:rFonts w:hint="eastAsia" w:ascii="仿宋" w:hAnsi="仿宋" w:eastAsia="仿宋" w:cs="仿宋"/>
          <w:color w:val="auto"/>
          <w:kern w:val="0"/>
          <w:sz w:val="32"/>
          <w:szCs w:val="32"/>
          <w:u w:val="none"/>
        </w:rPr>
        <w:t>万元，完成年初预算的100%。</w:t>
      </w:r>
    </w:p>
    <w:p w14:paraId="21D03415">
      <w:pPr>
        <w:pStyle w:val="18"/>
        <w:keepNext w:val="0"/>
        <w:keepLines w:val="0"/>
        <w:pageBreakBefore w:val="0"/>
        <w:widowControl w:val="0"/>
        <w:numPr>
          <w:numId w:val="0"/>
        </w:numPr>
        <w:shd w:val="clear"/>
        <w:kinsoku/>
        <w:wordWrap/>
        <w:overflowPunct/>
        <w:topLinePunct w:val="0"/>
        <w:bidi w:val="0"/>
        <w:snapToGrid/>
        <w:spacing w:line="600" w:lineRule="exact"/>
        <w:ind w:left="630" w:leftChars="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19、</w:t>
      </w:r>
      <w:r>
        <w:rPr>
          <w:rFonts w:hint="eastAsia" w:ascii="仿宋" w:hAnsi="仿宋" w:eastAsia="仿宋" w:cs="仿宋"/>
          <w:color w:val="auto"/>
          <w:kern w:val="0"/>
          <w:sz w:val="32"/>
          <w:szCs w:val="32"/>
          <w:u w:val="none"/>
        </w:rPr>
        <w:t>农林水支出（类）</w:t>
      </w:r>
      <w:r>
        <w:rPr>
          <w:rFonts w:hint="eastAsia" w:ascii="仿宋" w:hAnsi="仿宋" w:eastAsia="仿宋" w:cs="仿宋"/>
          <w:color w:val="auto"/>
          <w:kern w:val="0"/>
          <w:sz w:val="32"/>
          <w:szCs w:val="32"/>
          <w:u w:val="none"/>
          <w:lang w:val="en-US" w:eastAsia="zh-CN"/>
        </w:rPr>
        <w:t>水利</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val="en-US" w:eastAsia="zh-CN"/>
        </w:rPr>
        <w:t>水利工程运行与维护</w:t>
      </w:r>
    </w:p>
    <w:p w14:paraId="6AD694A9">
      <w:pPr>
        <w:pStyle w:val="18"/>
        <w:keepNext w:val="0"/>
        <w:keepLines w:val="0"/>
        <w:pageBreakBefore w:val="0"/>
        <w:widowControl w:val="0"/>
        <w:numPr>
          <w:ilvl w:val="0"/>
          <w:numId w:val="0"/>
        </w:numPr>
        <w:shd w:val="clear"/>
        <w:kinsoku/>
        <w:wordWrap/>
        <w:overflowPunct/>
        <w:topLinePunct w:val="0"/>
        <w:bidi w:val="0"/>
        <w:snapToGrid/>
        <w:spacing w:line="600" w:lineRule="exact"/>
        <w:ind w:firstLine="320" w:firstLineChars="1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15</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15</w:t>
      </w:r>
      <w:r>
        <w:rPr>
          <w:rFonts w:hint="eastAsia" w:ascii="仿宋" w:hAnsi="仿宋" w:eastAsia="仿宋" w:cs="仿宋"/>
          <w:color w:val="auto"/>
          <w:kern w:val="0"/>
          <w:sz w:val="32"/>
          <w:szCs w:val="32"/>
          <w:u w:val="none"/>
        </w:rPr>
        <w:t>万元，完成年初预算的100%。</w:t>
      </w:r>
    </w:p>
    <w:p w14:paraId="0BA9D52B">
      <w:pPr>
        <w:pStyle w:val="18"/>
        <w:keepNext w:val="0"/>
        <w:keepLines w:val="0"/>
        <w:pageBreakBefore w:val="0"/>
        <w:widowControl w:val="0"/>
        <w:numPr>
          <w:numId w:val="0"/>
        </w:numPr>
        <w:shd w:val="clear"/>
        <w:kinsoku/>
        <w:wordWrap/>
        <w:overflowPunct/>
        <w:topLinePunct w:val="0"/>
        <w:bidi w:val="0"/>
        <w:snapToGrid/>
        <w:spacing w:line="600" w:lineRule="exact"/>
        <w:ind w:left="630" w:leftChars="0"/>
        <w:textAlignment w:val="auto"/>
        <w:rPr>
          <w:rFonts w:hint="default"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20、</w:t>
      </w:r>
      <w:r>
        <w:rPr>
          <w:rFonts w:hint="eastAsia" w:ascii="仿宋" w:hAnsi="仿宋" w:eastAsia="仿宋" w:cs="仿宋"/>
          <w:color w:val="auto"/>
          <w:kern w:val="0"/>
          <w:sz w:val="32"/>
          <w:szCs w:val="32"/>
          <w:u w:val="none"/>
        </w:rPr>
        <w:t>农林水支出（类）</w:t>
      </w:r>
      <w:r>
        <w:rPr>
          <w:rFonts w:hint="eastAsia" w:ascii="仿宋" w:hAnsi="仿宋" w:eastAsia="仿宋" w:cs="仿宋"/>
          <w:color w:val="auto"/>
          <w:kern w:val="0"/>
          <w:sz w:val="32"/>
          <w:szCs w:val="32"/>
          <w:u w:val="none"/>
          <w:lang w:val="en-US" w:eastAsia="zh-CN"/>
        </w:rPr>
        <w:t>水利</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val="en-US" w:eastAsia="zh-CN"/>
        </w:rPr>
        <w:t>水利技术推广</w:t>
      </w:r>
    </w:p>
    <w:p w14:paraId="5FE3680A">
      <w:pPr>
        <w:pStyle w:val="18"/>
        <w:keepNext w:val="0"/>
        <w:keepLines w:val="0"/>
        <w:pageBreakBefore w:val="0"/>
        <w:widowControl w:val="0"/>
        <w:numPr>
          <w:ilvl w:val="0"/>
          <w:numId w:val="0"/>
        </w:numPr>
        <w:shd w:val="clear"/>
        <w:kinsoku/>
        <w:wordWrap/>
        <w:overflowPunct/>
        <w:topLinePunct w:val="0"/>
        <w:bidi w:val="0"/>
        <w:snapToGrid/>
        <w:spacing w:line="600" w:lineRule="exact"/>
        <w:ind w:firstLine="320" w:firstLineChars="1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10.9</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10.9</w:t>
      </w:r>
      <w:r>
        <w:rPr>
          <w:rFonts w:hint="eastAsia" w:ascii="仿宋" w:hAnsi="仿宋" w:eastAsia="仿宋" w:cs="仿宋"/>
          <w:color w:val="auto"/>
          <w:kern w:val="0"/>
          <w:sz w:val="32"/>
          <w:szCs w:val="32"/>
          <w:u w:val="none"/>
        </w:rPr>
        <w:t>万元，完成年初预算的100%。</w:t>
      </w:r>
    </w:p>
    <w:p w14:paraId="0E1CE5B5">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bookmarkStart w:id="1" w:name="_Hlk175246751"/>
      <w:r>
        <w:rPr>
          <w:rFonts w:hint="eastAsia" w:ascii="仿宋" w:hAnsi="仿宋" w:eastAsia="仿宋" w:cs="仿宋"/>
          <w:color w:val="auto"/>
          <w:kern w:val="0"/>
          <w:sz w:val="32"/>
          <w:szCs w:val="32"/>
          <w:u w:val="none"/>
          <w:lang w:val="en-US" w:eastAsia="zh-CN"/>
        </w:rPr>
        <w:t>21</w:t>
      </w:r>
      <w:r>
        <w:rPr>
          <w:rFonts w:hint="eastAsia" w:ascii="仿宋" w:hAnsi="仿宋" w:eastAsia="仿宋" w:cs="仿宋"/>
          <w:color w:val="auto"/>
          <w:kern w:val="0"/>
          <w:sz w:val="32"/>
          <w:szCs w:val="32"/>
          <w:u w:val="none"/>
        </w:rPr>
        <w:t>、农林水支出（类）农村综合改革（款）对村民委员会和村党支部的补助（项）。</w:t>
      </w:r>
    </w:p>
    <w:p w14:paraId="1E688291">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409.3</w:t>
      </w:r>
      <w:r>
        <w:rPr>
          <w:rFonts w:hint="eastAsia" w:ascii="仿宋" w:hAnsi="仿宋" w:eastAsia="仿宋" w:cs="仿宋"/>
          <w:color w:val="auto"/>
          <w:kern w:val="0"/>
          <w:sz w:val="32"/>
          <w:szCs w:val="32"/>
          <w:u w:val="none"/>
        </w:rPr>
        <w:t>万元，支出决算为4</w:t>
      </w:r>
      <w:r>
        <w:rPr>
          <w:rFonts w:hint="eastAsia" w:ascii="仿宋" w:hAnsi="仿宋" w:eastAsia="仿宋" w:cs="仿宋"/>
          <w:color w:val="auto"/>
          <w:kern w:val="0"/>
          <w:sz w:val="32"/>
          <w:szCs w:val="32"/>
          <w:u w:val="none"/>
          <w:lang w:val="en-US" w:eastAsia="zh-CN"/>
        </w:rPr>
        <w:t>09.3</w:t>
      </w:r>
      <w:r>
        <w:rPr>
          <w:rFonts w:hint="eastAsia" w:ascii="仿宋" w:hAnsi="仿宋" w:eastAsia="仿宋" w:cs="仿宋"/>
          <w:color w:val="auto"/>
          <w:kern w:val="0"/>
          <w:sz w:val="32"/>
          <w:szCs w:val="32"/>
          <w:u w:val="none"/>
        </w:rPr>
        <w:t>万元，完成年初预算的100%。</w:t>
      </w:r>
    </w:p>
    <w:p w14:paraId="0F744A1A">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22</w:t>
      </w:r>
      <w:r>
        <w:rPr>
          <w:rFonts w:hint="eastAsia" w:ascii="仿宋" w:hAnsi="仿宋" w:eastAsia="仿宋" w:cs="仿宋"/>
          <w:color w:val="auto"/>
          <w:kern w:val="0"/>
          <w:sz w:val="32"/>
          <w:szCs w:val="32"/>
          <w:u w:val="none"/>
        </w:rPr>
        <w:t>、农林水支出（类）农村综合改革（款）</w:t>
      </w:r>
      <w:r>
        <w:rPr>
          <w:rFonts w:hint="eastAsia" w:ascii="仿宋" w:hAnsi="仿宋" w:eastAsia="仿宋" w:cs="仿宋"/>
          <w:color w:val="auto"/>
          <w:kern w:val="0"/>
          <w:sz w:val="32"/>
          <w:szCs w:val="32"/>
          <w:u w:val="none"/>
          <w:lang w:val="en-US" w:eastAsia="zh-CN"/>
        </w:rPr>
        <w:t>其他综合改革支出</w:t>
      </w:r>
      <w:r>
        <w:rPr>
          <w:rFonts w:hint="eastAsia" w:ascii="仿宋" w:hAnsi="仿宋" w:eastAsia="仿宋" w:cs="仿宋"/>
          <w:color w:val="auto"/>
          <w:kern w:val="0"/>
          <w:sz w:val="32"/>
          <w:szCs w:val="32"/>
          <w:u w:val="none"/>
        </w:rPr>
        <w:t>（项）。</w:t>
      </w:r>
    </w:p>
    <w:p w14:paraId="110A6655">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3</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3</w:t>
      </w:r>
      <w:r>
        <w:rPr>
          <w:rFonts w:hint="eastAsia" w:ascii="仿宋" w:hAnsi="仿宋" w:eastAsia="仿宋" w:cs="仿宋"/>
          <w:color w:val="auto"/>
          <w:kern w:val="0"/>
          <w:sz w:val="32"/>
          <w:szCs w:val="32"/>
          <w:u w:val="none"/>
        </w:rPr>
        <w:t>万元，完成年初预算的100%。</w:t>
      </w:r>
    </w:p>
    <w:bookmarkEnd w:id="1"/>
    <w:p w14:paraId="2266B0F0">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22</w:t>
      </w:r>
      <w:r>
        <w:rPr>
          <w:rFonts w:hint="eastAsia" w:ascii="仿宋" w:hAnsi="仿宋" w:eastAsia="仿宋" w:cs="仿宋"/>
          <w:color w:val="auto"/>
          <w:kern w:val="0"/>
          <w:sz w:val="32"/>
          <w:szCs w:val="32"/>
          <w:u w:val="none"/>
        </w:rPr>
        <w:t>、住房保障支出（类）住房改革支出（款）住房公积金（项）。</w:t>
      </w:r>
    </w:p>
    <w:p w14:paraId="7F4D991A">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95.46</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95.46</w:t>
      </w:r>
      <w:r>
        <w:rPr>
          <w:rFonts w:hint="eastAsia" w:ascii="仿宋" w:hAnsi="仿宋" w:eastAsia="仿宋" w:cs="仿宋"/>
          <w:color w:val="auto"/>
          <w:kern w:val="0"/>
          <w:sz w:val="32"/>
          <w:szCs w:val="32"/>
          <w:u w:val="none"/>
        </w:rPr>
        <w:t>万元，完成年初预算的100%。</w:t>
      </w:r>
    </w:p>
    <w:p w14:paraId="4DCEA7AD">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23</w:t>
      </w:r>
      <w:r>
        <w:rPr>
          <w:rFonts w:hint="eastAsia" w:ascii="仿宋" w:hAnsi="仿宋" w:eastAsia="仿宋" w:cs="仿宋"/>
          <w:color w:val="auto"/>
          <w:kern w:val="0"/>
          <w:sz w:val="32"/>
          <w:szCs w:val="32"/>
          <w:u w:val="none"/>
        </w:rPr>
        <w:t>、</w:t>
      </w:r>
      <w:r>
        <w:rPr>
          <w:rFonts w:hint="eastAsia" w:ascii="仿宋" w:hAnsi="仿宋" w:eastAsia="仿宋" w:cs="仿宋"/>
          <w:color w:val="auto"/>
          <w:kern w:val="0"/>
          <w:sz w:val="32"/>
          <w:szCs w:val="32"/>
          <w:u w:val="none"/>
          <w:lang w:val="en-US" w:eastAsia="zh-CN"/>
        </w:rPr>
        <w:t>灾害防治及应急管理</w:t>
      </w:r>
      <w:r>
        <w:rPr>
          <w:rFonts w:hint="eastAsia" w:ascii="仿宋" w:hAnsi="仿宋" w:eastAsia="仿宋" w:cs="仿宋"/>
          <w:color w:val="auto"/>
          <w:kern w:val="0"/>
          <w:sz w:val="32"/>
          <w:szCs w:val="32"/>
          <w:u w:val="none"/>
        </w:rPr>
        <w:t>支出（类）</w:t>
      </w:r>
      <w:r>
        <w:rPr>
          <w:rFonts w:hint="eastAsia" w:ascii="仿宋" w:hAnsi="仿宋" w:eastAsia="仿宋" w:cs="仿宋"/>
          <w:color w:val="auto"/>
          <w:kern w:val="0"/>
          <w:sz w:val="32"/>
          <w:szCs w:val="32"/>
          <w:u w:val="none"/>
          <w:lang w:val="en-US" w:eastAsia="zh-CN"/>
        </w:rPr>
        <w:t>自然灾害救灾及回复重建支出</w:t>
      </w:r>
      <w:r>
        <w:rPr>
          <w:rFonts w:hint="eastAsia" w:ascii="仿宋" w:hAnsi="仿宋" w:eastAsia="仿宋" w:cs="仿宋"/>
          <w:color w:val="auto"/>
          <w:kern w:val="0"/>
          <w:sz w:val="32"/>
          <w:szCs w:val="32"/>
          <w:u w:val="none"/>
        </w:rPr>
        <w:t>（项）。</w:t>
      </w:r>
    </w:p>
    <w:p w14:paraId="7AC4D4C6">
      <w:pPr>
        <w:pStyle w:val="18"/>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20</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20</w:t>
      </w:r>
      <w:r>
        <w:rPr>
          <w:rFonts w:hint="eastAsia" w:ascii="仿宋" w:hAnsi="仿宋" w:eastAsia="仿宋" w:cs="仿宋"/>
          <w:color w:val="auto"/>
          <w:kern w:val="0"/>
          <w:sz w:val="32"/>
          <w:szCs w:val="32"/>
          <w:u w:val="none"/>
        </w:rPr>
        <w:t>万元，完成年初预算的100%。</w:t>
      </w:r>
    </w:p>
    <w:p w14:paraId="4ADF0D77">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六、一般公共预算财政拨款基本支出决算情况说明</w:t>
      </w:r>
    </w:p>
    <w:p w14:paraId="4BBAED16">
      <w:pPr>
        <w:pStyle w:val="18"/>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2024年度财政拨款基本支出2322.23万元，其中：人员经费1821.69万元，占基本支出的78%主要包括基本工资、津贴补贴、奖金、伙食补助费等；公用经费500.54万元，占基本支出的22%，主要包括办公费、印刷费、咨询费、手续费等。</w:t>
      </w:r>
    </w:p>
    <w:p w14:paraId="61B04CE2">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七、一般公共预算财政拨款三公经费支出决算情况说明</w:t>
      </w:r>
    </w:p>
    <w:p w14:paraId="508925CE">
      <w:pPr>
        <w:pStyle w:val="18"/>
        <w:shd w:val="clear"/>
        <w:spacing w:line="300" w:lineRule="auto"/>
        <w:ind w:firstLine="640" w:firstLineChars="200"/>
        <w:outlineLvl w:val="2"/>
        <w:rPr>
          <w:rFonts w:hint="eastAsia" w:ascii="仿宋" w:hAnsi="仿宋" w:eastAsia="仿宋" w:cs="仿宋"/>
          <w:b/>
          <w:color w:val="000000" w:themeColor="text1"/>
          <w:sz w:val="32"/>
          <w:szCs w:val="32"/>
          <w:u w:val="none"/>
          <w14:textFill>
            <w14:solidFill>
              <w14:schemeClr w14:val="tx1"/>
            </w14:solidFill>
          </w14:textFill>
        </w:rPr>
      </w:pPr>
      <w:r>
        <w:rPr>
          <w:rFonts w:hint="eastAsia" w:ascii="仿宋" w:hAnsi="仿宋" w:eastAsia="仿宋" w:cs="仿宋"/>
          <w:b/>
          <w:color w:val="000000" w:themeColor="text1"/>
          <w:sz w:val="32"/>
          <w:szCs w:val="32"/>
          <w:u w:val="none"/>
          <w14:textFill>
            <w14:solidFill>
              <w14:schemeClr w14:val="tx1"/>
            </w14:solidFill>
          </w14:textFill>
        </w:rPr>
        <w:t>（一）“三公”经费财政拨款支出决算总体情况说明</w:t>
      </w:r>
    </w:p>
    <w:p w14:paraId="737169FC">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“三公”经费财政拨款支出预算为0.00万元，支出决算为0.00万元，其中：</w:t>
      </w:r>
    </w:p>
    <w:p w14:paraId="24B98EC6">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p>
    <w:p w14:paraId="2A6E3897">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因公出国（境）费支出预算为0.00万元，支出决算为0.00万元。</w:t>
      </w:r>
    </w:p>
    <w:p w14:paraId="1C4DF835">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公务接待费支出预算为0.00万元，支出决算为0.00万元。</w:t>
      </w:r>
    </w:p>
    <w:p w14:paraId="07231AF4">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公务用车购置费及运行维护费支出预算为0.00万元，支出决算为0.00万元。</w:t>
      </w:r>
    </w:p>
    <w:p w14:paraId="1D6F5558">
      <w:pPr>
        <w:pStyle w:val="18"/>
        <w:shd w:val="clear"/>
        <w:spacing w:line="300" w:lineRule="auto"/>
        <w:ind w:firstLine="640" w:firstLineChars="200"/>
        <w:outlineLvl w:val="2"/>
        <w:rPr>
          <w:rFonts w:hint="eastAsia" w:ascii="仿宋" w:hAnsi="仿宋" w:eastAsia="仿宋" w:cs="仿宋"/>
          <w:b/>
          <w:color w:val="000000" w:themeColor="text1"/>
          <w:sz w:val="32"/>
          <w:szCs w:val="32"/>
          <w:u w:val="none"/>
          <w14:textFill>
            <w14:solidFill>
              <w14:schemeClr w14:val="tx1"/>
            </w14:solidFill>
          </w14:textFill>
        </w:rPr>
      </w:pPr>
      <w:r>
        <w:rPr>
          <w:rFonts w:hint="eastAsia" w:ascii="仿宋" w:hAnsi="仿宋" w:eastAsia="仿宋" w:cs="仿宋"/>
          <w:b/>
          <w:color w:val="000000" w:themeColor="text1"/>
          <w:sz w:val="32"/>
          <w:szCs w:val="32"/>
          <w:u w:val="none"/>
          <w14:textFill>
            <w14:solidFill>
              <w14:schemeClr w14:val="tx1"/>
            </w14:solidFill>
          </w14:textFill>
        </w:rPr>
        <w:t>（二）“三公”经费财政拨款支出决算具体情况说明</w:t>
      </w:r>
    </w:p>
    <w:p w14:paraId="0E9C1A8D">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2024</w:t>
      </w:r>
      <w:r>
        <w:rPr>
          <w:rFonts w:hint="eastAsia" w:ascii="仿宋" w:hAnsi="仿宋" w:eastAsia="仿宋" w:cs="仿宋"/>
          <w:color w:val="000000" w:themeColor="text1"/>
          <w:sz w:val="32"/>
          <w:szCs w:val="32"/>
          <w:u w:val="none"/>
          <w14:textFill>
            <w14:solidFill>
              <w14:schemeClr w14:val="tx1"/>
            </w14:solidFill>
          </w14:textFill>
        </w:rPr>
        <w:t>年度“三公”经费财政拨款支出决算中，公务接待费支出决算0.00万元，因公出国（境）费支出决算0.00万元公务用车购置费及运行维护费支出决算0.00万元。其中：</w:t>
      </w:r>
    </w:p>
    <w:p w14:paraId="6416E8BD">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1、因公出国（境）费支出决算为0.00万元，全年安排因公出国（境）团组0个，累计0人次。</w:t>
      </w:r>
    </w:p>
    <w:p w14:paraId="1169874E">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2、公务接待费支出决算为0.00万元，全年共接待来宾0人次。</w:t>
      </w:r>
    </w:p>
    <w:p w14:paraId="330CA11D">
      <w:pPr>
        <w:pStyle w:val="18"/>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3、公务用车购置费及运行维护费支出决算为0.00万元，其中：公务用车购置费0.00万元，更新公务用车0辆。公务用车运行维护费0.00万元。截</w:t>
      </w:r>
      <w:r>
        <w:rPr>
          <w:rFonts w:hint="eastAsia" w:ascii="仿宋" w:hAnsi="仿宋" w:eastAsia="仿宋" w:cs="仿宋"/>
          <w:color w:val="000000" w:themeColor="text1"/>
          <w:sz w:val="32"/>
          <w:szCs w:val="32"/>
          <w:u w:val="none"/>
          <w:lang w:eastAsia="zh-CN"/>
          <w14:textFill>
            <w14:solidFill>
              <w14:schemeClr w14:val="tx1"/>
            </w14:solidFill>
          </w14:textFill>
        </w:rPr>
        <w:t>至2024</w:t>
      </w:r>
      <w:r>
        <w:rPr>
          <w:rFonts w:hint="eastAsia" w:ascii="仿宋" w:hAnsi="仿宋" w:eastAsia="仿宋" w:cs="仿宋"/>
          <w:color w:val="000000" w:themeColor="text1"/>
          <w:sz w:val="32"/>
          <w:szCs w:val="32"/>
          <w:u w:val="none"/>
          <w14:textFill>
            <w14:solidFill>
              <w14:schemeClr w14:val="tx1"/>
            </w14:solidFill>
          </w14:textFill>
        </w:rPr>
        <w:t>年12月31日，我单位开支财政拨款的公务用车保有量为0辆。</w:t>
      </w:r>
    </w:p>
    <w:p w14:paraId="0E6CA60E">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八、政府性基金预算收入支出决算情况</w:t>
      </w:r>
    </w:p>
    <w:p w14:paraId="262F74E3">
      <w:pPr>
        <w:pStyle w:val="18"/>
        <w:shd w:val="clea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 xml:space="preserve">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2024年度本单位政府性基金收支合计69.3万元。</w:t>
      </w:r>
    </w:p>
    <w:p w14:paraId="188B47DF">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九、国有资本经营预算财政拨款支出决算情况</w:t>
      </w:r>
    </w:p>
    <w:p w14:paraId="6BA40D23">
      <w:pPr>
        <w:pStyle w:val="18"/>
        <w:shd w:val="clear"/>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本单位无国有资本经营预算支出。</w:t>
      </w:r>
    </w:p>
    <w:p w14:paraId="0A6A9292">
      <w:pPr>
        <w:pStyle w:val="18"/>
        <w:widowControl w:val="0"/>
        <w:numPr>
          <w:numId w:val="0"/>
        </w:numPr>
        <w:shd w:val="clear"/>
        <w:autoSpaceDE w:val="0"/>
        <w:autoSpaceDN w:val="0"/>
        <w:adjustRightInd w:val="0"/>
        <w:rPr>
          <w:rFonts w:hint="eastAsia" w:ascii="仿宋" w:hAnsi="仿宋" w:eastAsia="仿宋" w:cs="仿宋"/>
          <w:b/>
          <w:bCs/>
          <w:color w:val="000000" w:themeColor="text1"/>
          <w:sz w:val="32"/>
          <w:szCs w:val="32"/>
          <w:u w:val="none"/>
          <w14:textFill>
            <w14:solidFill>
              <w14:schemeClr w14:val="tx1"/>
            </w14:solidFill>
          </w14:textFill>
        </w:rPr>
      </w:pPr>
    </w:p>
    <w:p w14:paraId="43ABC1A9">
      <w:pPr>
        <w:pStyle w:val="18"/>
        <w:widowControl w:val="0"/>
        <w:numPr>
          <w:numId w:val="0"/>
        </w:numPr>
        <w:shd w:val="clear"/>
        <w:autoSpaceDE w:val="0"/>
        <w:autoSpaceDN w:val="0"/>
        <w:adjustRightInd w:val="0"/>
        <w:rPr>
          <w:rFonts w:hint="eastAsia" w:ascii="仿宋" w:hAnsi="仿宋" w:eastAsia="仿宋" w:cs="仿宋"/>
          <w:b/>
          <w:bCs/>
          <w:color w:val="000000" w:themeColor="text1"/>
          <w:sz w:val="32"/>
          <w:szCs w:val="32"/>
          <w:u w:val="none"/>
          <w14:textFill>
            <w14:solidFill>
              <w14:schemeClr w14:val="tx1"/>
            </w14:solidFill>
          </w14:textFill>
        </w:rPr>
      </w:pPr>
    </w:p>
    <w:p w14:paraId="781BF09A">
      <w:pPr>
        <w:pStyle w:val="18"/>
        <w:widowControl w:val="0"/>
        <w:numPr>
          <w:numId w:val="0"/>
        </w:numPr>
        <w:shd w:val="clear"/>
        <w:autoSpaceDE w:val="0"/>
        <w:autoSpaceDN w:val="0"/>
        <w:adjustRightInd w:val="0"/>
        <w:rPr>
          <w:rFonts w:hint="eastAsia" w:ascii="仿宋" w:hAnsi="仿宋" w:eastAsia="仿宋" w:cs="仿宋"/>
          <w:b/>
          <w:bCs/>
          <w:color w:val="000000" w:themeColor="text1"/>
          <w:sz w:val="32"/>
          <w:szCs w:val="32"/>
          <w:u w:val="none"/>
          <w14:textFill>
            <w14:solidFill>
              <w14:schemeClr w14:val="tx1"/>
            </w14:solidFill>
          </w14:textFill>
        </w:rPr>
      </w:pPr>
    </w:p>
    <w:p w14:paraId="07A5E559">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十、关于2024年度预算绩效情况说明</w:t>
      </w:r>
    </w:p>
    <w:p w14:paraId="7C483036">
      <w:pPr>
        <w:pStyle w:val="18"/>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我单位所有项目资金符合国家政策需求，目标明确，组织管理到位，执行项目有力。在资金使用过程中，实际支出与计划规定的用途一致，收支平衡，资金使用都能做到公开透明。根据县财政局《湘潭县2024年度预算绩效管理工作方案》要求，根据2024年我镇工作要点，确定项目的具体指标、项目效益而填报的《部门整体支出绩效申报表》和《项目支出绩效目标申报表》进行自评，撰写自评报告，2024年度本单位无重点绩效项目。</w:t>
      </w:r>
    </w:p>
    <w:p w14:paraId="691F86B8">
      <w:pPr>
        <w:pStyle w:val="18"/>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本单位按照财政绩效管理股的要求对2024年相关项目做了绩效评价并公开在政府门户网站。</w:t>
      </w:r>
    </w:p>
    <w:p w14:paraId="078F2467">
      <w:pPr>
        <w:pStyle w:val="18"/>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十一、其他重要事项情况说明</w:t>
      </w:r>
    </w:p>
    <w:p w14:paraId="05EB7B62">
      <w:pPr>
        <w:spacing w:line="300" w:lineRule="auto"/>
        <w:ind w:firstLine="640"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（一）机关运行经费支出情况</w:t>
      </w:r>
    </w:p>
    <w:p w14:paraId="63C7ADC6">
      <w:pPr>
        <w:pStyle w:val="18"/>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本部门2024年度机关运行经费支出</w:t>
      </w:r>
      <w:r>
        <w:rPr>
          <w:rFonts w:hint="eastAsia" w:ascii="Times New Roman" w:hAnsi="Times New Roman" w:eastAsia="仿宋_GB2312" w:cs="Times New Roman"/>
          <w:color w:val="auto"/>
          <w:sz w:val="32"/>
          <w:szCs w:val="32"/>
          <w:lang w:val="en-US" w:eastAsia="zh-CN"/>
        </w:rPr>
        <w:t>500.54</w:t>
      </w:r>
      <w:r>
        <w:rPr>
          <w:rFonts w:hint="eastAsia" w:ascii="Times New Roman" w:hAnsi="Times New Roman" w:eastAsia="仿宋_GB2312" w:cs="Times New Roman"/>
          <w:color w:val="auto"/>
          <w:sz w:val="32"/>
          <w:szCs w:val="32"/>
        </w:rPr>
        <w:t>万元，比上年决算数减少</w:t>
      </w:r>
      <w:r>
        <w:rPr>
          <w:rFonts w:hint="eastAsia" w:ascii="Times New Roman" w:hAnsi="Times New Roman" w:eastAsia="仿宋_GB2312" w:cs="Times New Roman"/>
          <w:color w:val="auto"/>
          <w:sz w:val="32"/>
          <w:szCs w:val="32"/>
          <w:lang w:val="en-US" w:eastAsia="zh-CN"/>
        </w:rPr>
        <w:t>147</w:t>
      </w:r>
      <w:r>
        <w:rPr>
          <w:rFonts w:hint="eastAsia" w:ascii="Times New Roman" w:hAnsi="Times New Roman" w:eastAsia="仿宋_GB2312" w:cs="Times New Roman"/>
          <w:color w:val="auto"/>
          <w:sz w:val="32"/>
          <w:szCs w:val="32"/>
        </w:rPr>
        <w:t>万元，减少</w:t>
      </w:r>
      <w:r>
        <w:rPr>
          <w:rFonts w:hint="eastAsia" w:ascii="Times New Roman" w:hAnsi="Times New Roman" w:eastAsia="仿宋_GB2312" w:cs="Times New Roman"/>
          <w:color w:val="auto"/>
          <w:sz w:val="32"/>
          <w:szCs w:val="32"/>
          <w:lang w:val="en-US" w:eastAsia="zh-CN"/>
        </w:rPr>
        <w:t>23</w:t>
      </w:r>
      <w:r>
        <w:rPr>
          <w:rFonts w:hint="eastAsia" w:ascii="Times New Roman" w:hAnsi="Times New Roman" w:eastAsia="仿宋_GB2312" w:cs="Times New Roman"/>
          <w:color w:val="auto"/>
          <w:sz w:val="32"/>
          <w:szCs w:val="32"/>
        </w:rPr>
        <w:t>%。主要原因是</w:t>
      </w:r>
      <w:r>
        <w:rPr>
          <w:rFonts w:hint="eastAsia" w:ascii="Times New Roman" w:hAnsi="Times New Roman" w:eastAsia="仿宋_GB2312" w:cs="Times New Roman"/>
          <w:color w:val="auto"/>
          <w:sz w:val="32"/>
          <w:szCs w:val="32"/>
          <w:lang w:val="en-US" w:eastAsia="zh-CN"/>
        </w:rPr>
        <w:t>压减一般性支出，以及人均办公经费减少所致</w:t>
      </w:r>
      <w:r>
        <w:rPr>
          <w:rFonts w:hint="eastAsia" w:ascii="Times New Roman" w:hAnsi="Times New Roman" w:eastAsia="仿宋_GB2312" w:cs="Times New Roman"/>
          <w:color w:val="auto"/>
          <w:sz w:val="32"/>
          <w:szCs w:val="32"/>
        </w:rPr>
        <w:t>。</w:t>
      </w:r>
      <w:bookmarkStart w:id="2" w:name="_GoBack"/>
      <w:bookmarkEnd w:id="2"/>
    </w:p>
    <w:p w14:paraId="39020DA7">
      <w:pPr>
        <w:pStyle w:val="18"/>
        <w:spacing w:line="300" w:lineRule="auto"/>
        <w:ind w:firstLine="640"/>
        <w:rPr>
          <w:rFonts w:ascii="楷体_GB2312" w:eastAsia="楷体_GB2312"/>
          <w:b/>
          <w:sz w:val="32"/>
          <w:szCs w:val="32"/>
        </w:rPr>
      </w:pPr>
      <w:r>
        <w:rPr>
          <w:rFonts w:hint="eastAsia" w:ascii="楷体_GB2312" w:eastAsia="楷体_GB2312"/>
          <w:b/>
          <w:sz w:val="32"/>
          <w:szCs w:val="32"/>
        </w:rPr>
        <w:t>（二）一般性支出情况</w:t>
      </w:r>
    </w:p>
    <w:p w14:paraId="501BC81A">
      <w:pPr>
        <w:pStyle w:val="18"/>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2024年本部门开支会议费0.00万元，开支培训费0.00万元。</w:t>
      </w:r>
    </w:p>
    <w:p w14:paraId="60243DC2">
      <w:pPr>
        <w:spacing w:line="300" w:lineRule="auto"/>
        <w:ind w:firstLine="640"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（三）政府采购支出情况</w:t>
      </w:r>
    </w:p>
    <w:p w14:paraId="5BD49D9D">
      <w:pPr>
        <w:pStyle w:val="18"/>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本部门2024年度政府采购支出总额</w:t>
      </w:r>
      <w:r>
        <w:rPr>
          <w:rFonts w:hint="eastAsia" w:ascii="Times New Roman" w:hAnsi="Times New Roman" w:eastAsia="仿宋_GB2312" w:cs="Times New Roman"/>
          <w:color w:val="auto"/>
          <w:sz w:val="32"/>
          <w:szCs w:val="32"/>
          <w:lang w:val="en-US" w:eastAsia="zh-CN"/>
        </w:rPr>
        <w:t>302</w:t>
      </w:r>
      <w:r>
        <w:rPr>
          <w:rFonts w:hint="eastAsia" w:ascii="Times New Roman" w:hAnsi="Times New Roman" w:eastAsia="仿宋_GB2312" w:cs="Times New Roman"/>
          <w:color w:val="auto"/>
          <w:sz w:val="32"/>
          <w:szCs w:val="32"/>
        </w:rPr>
        <w:t>万元，其中：政府采购货物支出</w:t>
      </w:r>
      <w:r>
        <w:rPr>
          <w:rFonts w:hint="eastAsia" w:ascii="Times New Roman" w:hAnsi="Times New Roman" w:eastAsia="仿宋_GB2312" w:cs="Times New Roman"/>
          <w:color w:val="auto"/>
          <w:sz w:val="32"/>
          <w:szCs w:val="32"/>
          <w:lang w:val="en-US" w:eastAsia="zh-CN"/>
        </w:rPr>
        <w:t>25.62</w:t>
      </w:r>
      <w:r>
        <w:rPr>
          <w:rFonts w:hint="eastAsia" w:ascii="Times New Roman" w:hAnsi="Times New Roman" w:eastAsia="仿宋_GB2312" w:cs="Times New Roman"/>
          <w:color w:val="auto"/>
          <w:sz w:val="32"/>
          <w:szCs w:val="32"/>
        </w:rPr>
        <w:t>万元；政府采购工程支出</w:t>
      </w:r>
      <w:r>
        <w:rPr>
          <w:rFonts w:hint="eastAsia" w:ascii="Times New Roman" w:hAnsi="Times New Roman" w:eastAsia="仿宋_GB2312" w:cs="Times New Roman"/>
          <w:color w:val="auto"/>
          <w:sz w:val="32"/>
          <w:szCs w:val="32"/>
          <w:lang w:val="en-US" w:eastAsia="zh-CN"/>
        </w:rPr>
        <w:t>40.38</w:t>
      </w:r>
      <w:r>
        <w:rPr>
          <w:rFonts w:hint="eastAsia" w:ascii="Times New Roman" w:hAnsi="Times New Roman" w:eastAsia="仿宋_GB2312" w:cs="Times New Roman"/>
          <w:color w:val="auto"/>
          <w:sz w:val="32"/>
          <w:szCs w:val="32"/>
        </w:rPr>
        <w:t>万元；政府采购服务支出</w:t>
      </w:r>
      <w:r>
        <w:rPr>
          <w:rFonts w:hint="eastAsia" w:ascii="Times New Roman" w:hAnsi="Times New Roman" w:eastAsia="仿宋_GB2312" w:cs="Times New Roman"/>
          <w:color w:val="auto"/>
          <w:sz w:val="32"/>
          <w:szCs w:val="32"/>
          <w:lang w:val="en-US" w:eastAsia="zh-CN"/>
        </w:rPr>
        <w:t>236</w:t>
      </w:r>
      <w:r>
        <w:rPr>
          <w:rFonts w:hint="eastAsia" w:ascii="Times New Roman" w:hAnsi="Times New Roman" w:eastAsia="仿宋_GB2312" w:cs="Times New Roman"/>
          <w:color w:val="auto"/>
          <w:sz w:val="32"/>
          <w:szCs w:val="32"/>
        </w:rPr>
        <w:t>万元。授予中小企业合同金额</w:t>
      </w:r>
      <w:r>
        <w:rPr>
          <w:rFonts w:hint="eastAsia" w:ascii="Times New Roman" w:hAnsi="Times New Roman" w:eastAsia="仿宋_GB2312" w:cs="Times New Roman"/>
          <w:color w:val="auto"/>
          <w:sz w:val="32"/>
          <w:szCs w:val="32"/>
          <w:lang w:val="en-US" w:eastAsia="zh-CN"/>
        </w:rPr>
        <w:t>35</w:t>
      </w:r>
      <w:r>
        <w:rPr>
          <w:rFonts w:hint="eastAsia" w:ascii="Times New Roman" w:hAnsi="Times New Roman" w:eastAsia="仿宋_GB2312" w:cs="Times New Roman"/>
          <w:color w:val="auto"/>
          <w:sz w:val="32"/>
          <w:szCs w:val="32"/>
        </w:rPr>
        <w:t>万元，占政府采购支出总额的</w:t>
      </w:r>
      <w:r>
        <w:rPr>
          <w:rFonts w:hint="eastAsia" w:ascii="Times New Roman" w:hAnsi="Times New Roman" w:eastAsia="仿宋_GB2312" w:cs="Times New Roman"/>
          <w:color w:val="auto"/>
          <w:sz w:val="32"/>
          <w:szCs w:val="32"/>
          <w:lang w:val="en-US" w:eastAsia="zh-CN"/>
        </w:rPr>
        <w:t>12</w:t>
      </w:r>
      <w:r>
        <w:rPr>
          <w:rFonts w:hint="eastAsia" w:ascii="Times New Roman" w:hAnsi="Times New Roman" w:eastAsia="仿宋_GB2312" w:cs="Times New Roman"/>
          <w:color w:val="auto"/>
          <w:sz w:val="32"/>
          <w:szCs w:val="32"/>
        </w:rPr>
        <w:t>%，其中：授予小微企业合同金额</w:t>
      </w:r>
      <w:r>
        <w:rPr>
          <w:rFonts w:hint="eastAsia" w:ascii="Times New Roman" w:hAnsi="Times New Roman" w:eastAsia="仿宋_GB2312" w:cs="Times New Roman"/>
          <w:color w:val="auto"/>
          <w:sz w:val="32"/>
          <w:szCs w:val="32"/>
          <w:lang w:val="en-US" w:eastAsia="zh-CN"/>
        </w:rPr>
        <w:t>267</w:t>
      </w:r>
      <w:r>
        <w:rPr>
          <w:rFonts w:hint="eastAsia" w:ascii="Times New Roman" w:hAnsi="Times New Roman" w:eastAsia="仿宋_GB2312" w:cs="Times New Roman"/>
          <w:color w:val="auto"/>
          <w:sz w:val="32"/>
          <w:szCs w:val="32"/>
        </w:rPr>
        <w:t xml:space="preserve"> 万元，占政府采购支出总额的</w:t>
      </w:r>
      <w:r>
        <w:rPr>
          <w:rFonts w:hint="eastAsia" w:ascii="Times New Roman" w:hAnsi="Times New Roman" w:eastAsia="仿宋_GB2312" w:cs="Times New Roman"/>
          <w:color w:val="auto"/>
          <w:sz w:val="32"/>
          <w:szCs w:val="32"/>
          <w:lang w:val="en-US" w:eastAsia="zh-CN"/>
        </w:rPr>
        <w:t>88</w:t>
      </w:r>
      <w:r>
        <w:rPr>
          <w:rFonts w:hint="eastAsia" w:ascii="Times New Roman" w:hAnsi="Times New Roman" w:eastAsia="仿宋_GB2312" w:cs="Times New Roman"/>
          <w:color w:val="auto"/>
          <w:sz w:val="32"/>
          <w:szCs w:val="32"/>
        </w:rPr>
        <w:t>%。</w:t>
      </w:r>
    </w:p>
    <w:p w14:paraId="60FFB46B">
      <w:pPr>
        <w:spacing w:line="300" w:lineRule="auto"/>
        <w:ind w:firstLine="640" w:firstLineChars="200"/>
        <w:outlineLvl w:val="2"/>
        <w:rPr>
          <w:rFonts w:ascii="楷体_GB2312" w:eastAsia="楷体_GB2312"/>
          <w:b/>
          <w:sz w:val="32"/>
          <w:szCs w:val="32"/>
          <w:lang w:eastAsia="zh-CN"/>
        </w:rPr>
      </w:pPr>
      <w:r>
        <w:rPr>
          <w:rFonts w:hint="eastAsia" w:ascii="楷体_GB2312" w:eastAsia="楷体_GB2312"/>
          <w:b/>
          <w:sz w:val="32"/>
          <w:szCs w:val="32"/>
          <w:lang w:eastAsia="zh-CN"/>
        </w:rPr>
        <w:t>（四）国有资产占用情况</w:t>
      </w:r>
    </w:p>
    <w:p w14:paraId="25CAC9BB">
      <w:pPr>
        <w:pStyle w:val="18"/>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Times New Roman" w:hAnsi="Times New Roman" w:eastAsia="仿宋_GB2312" w:cs="Times New Roman"/>
          <w:color w:val="auto"/>
          <w:sz w:val="32"/>
          <w:szCs w:val="32"/>
        </w:rPr>
        <w:t>截至2024年12月31日，本单位共有车辆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辆，其中，领导干部用车  0 辆、机要通信用车 0  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 xml:space="preserve"> 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辆、其他用车 0  辆；单位价值50万元以上通用设备 0  台（套）；单位价值100万元以上专用设备 0  台（套）。</w:t>
      </w:r>
    </w:p>
    <w:p w14:paraId="588B9D96">
      <w:pPr>
        <w:pStyle w:val="18"/>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pPr>
    </w:p>
    <w:p w14:paraId="5A516818">
      <w:pPr>
        <w:pStyle w:val="18"/>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sectPr>
          <w:headerReference r:id="rId4" w:type="default"/>
          <w:pgSz w:w="11906" w:h="16838"/>
          <w:pgMar w:top="1440" w:right="1797" w:bottom="1440" w:left="1797" w:header="851" w:footer="992" w:gutter="0"/>
          <w:pgBorders>
            <w:top w:val="none" w:sz="0" w:space="0"/>
            <w:left w:val="none" w:sz="0" w:space="0"/>
            <w:bottom w:val="none" w:sz="0" w:space="0"/>
            <w:right w:val="none" w:sz="0" w:space="0"/>
          </w:pgBorders>
          <w:cols w:space="0" w:num="1"/>
          <w:docGrid w:type="linesAndChars" w:linePitch="312" w:charSpace="0"/>
        </w:sectPr>
      </w:pPr>
    </w:p>
    <w:p w14:paraId="3BF5CF80">
      <w:pPr>
        <w:pStyle w:val="18"/>
        <w:shd w:val="clear"/>
        <w:rPr>
          <w:rFonts w:hint="eastAsia" w:ascii="仿宋" w:hAnsi="仿宋" w:eastAsia="仿宋" w:cs="仿宋"/>
          <w:color w:val="000000" w:themeColor="text1"/>
          <w:sz w:val="32"/>
          <w:szCs w:val="32"/>
          <w:u w:val="none"/>
          <w14:textFill>
            <w14:solidFill>
              <w14:schemeClr w14:val="tx1"/>
            </w14:solidFill>
          </w14:textFill>
        </w:rPr>
      </w:pPr>
    </w:p>
    <w:p w14:paraId="197FB535">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2A36F4C7">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第四部分</w:t>
      </w:r>
    </w:p>
    <w:p w14:paraId="71A50F58">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14:paraId="765F2595">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名词解释</w:t>
      </w:r>
    </w:p>
    <w:p w14:paraId="6B38B0B9">
      <w:pPr>
        <w:shd w:val="clear"/>
        <w:spacing w:line="360" w:lineRule="auto"/>
        <w:jc w:val="left"/>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4ACDC6E5">
      <w:pPr>
        <w:widowControl/>
        <w:shd w:val="clear"/>
        <w:spacing w:line="360" w:lineRule="auto"/>
        <w:jc w:val="left"/>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67E2A308">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0480912">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3845DB9">
      <w:pPr>
        <w:pStyle w:val="18"/>
        <w:shd w:val="clear"/>
        <w:jc w:val="center"/>
        <w:rPr>
          <w:rFonts w:hint="eastAsia" w:ascii="仿宋" w:hAnsi="仿宋" w:eastAsia="仿宋" w:cs="仿宋"/>
          <w:color w:val="000000" w:themeColor="text1"/>
          <w:sz w:val="32"/>
          <w:szCs w:val="32"/>
          <w:u w:val="none"/>
          <w14:textFill>
            <w14:solidFill>
              <w14:schemeClr w14:val="tx1"/>
            </w14:solidFill>
          </w14:textFill>
        </w:rPr>
      </w:pPr>
    </w:p>
    <w:p w14:paraId="693BEB7D">
      <w:pPr>
        <w:pStyle w:val="18"/>
        <w:shd w:val="clear"/>
        <w:rPr>
          <w:rFonts w:hint="eastAsia" w:ascii="仿宋" w:hAnsi="仿宋" w:eastAsia="仿宋" w:cs="仿宋"/>
          <w:color w:val="000000" w:themeColor="text1"/>
          <w:sz w:val="32"/>
          <w:szCs w:val="32"/>
          <w:u w:val="none"/>
          <w14:textFill>
            <w14:solidFill>
              <w14:schemeClr w14:val="tx1"/>
            </w14:solidFill>
          </w14:textFill>
        </w:rPr>
      </w:pPr>
    </w:p>
    <w:p w14:paraId="678C5FB3">
      <w:pPr>
        <w:pStyle w:val="18"/>
        <w:shd w:val="clear"/>
        <w:ind w:firstLine="1760" w:firstLineChars="550"/>
        <w:rPr>
          <w:rFonts w:hint="eastAsia" w:ascii="仿宋" w:hAnsi="仿宋" w:eastAsia="仿宋" w:cs="仿宋"/>
          <w:color w:val="000000" w:themeColor="text1"/>
          <w:sz w:val="32"/>
          <w:szCs w:val="32"/>
          <w:u w:val="none"/>
          <w14:textFill>
            <w14:solidFill>
              <w14:schemeClr w14:val="tx1"/>
            </w14:solidFill>
          </w14:textFill>
        </w:rPr>
      </w:pPr>
    </w:p>
    <w:p w14:paraId="77385D0A">
      <w:pPr>
        <w:pStyle w:val="18"/>
        <w:shd w:val="clear"/>
        <w:ind w:firstLine="1760" w:firstLineChars="550"/>
        <w:rPr>
          <w:rFonts w:hint="eastAsia" w:ascii="仿宋" w:hAnsi="仿宋" w:eastAsia="仿宋" w:cs="仿宋"/>
          <w:color w:val="000000" w:themeColor="text1"/>
          <w:sz w:val="32"/>
          <w:szCs w:val="32"/>
          <w:u w:val="none"/>
          <w14:textFill>
            <w14:solidFill>
              <w14:schemeClr w14:val="tx1"/>
            </w14:solidFill>
          </w14:textFill>
        </w:rPr>
      </w:pPr>
    </w:p>
    <w:p w14:paraId="5E0296D4">
      <w:pPr>
        <w:pStyle w:val="18"/>
        <w:shd w:val="clear"/>
        <w:ind w:firstLine="1760" w:firstLineChars="550"/>
        <w:rPr>
          <w:rFonts w:hint="eastAsia" w:ascii="仿宋" w:hAnsi="仿宋" w:eastAsia="仿宋" w:cs="仿宋"/>
          <w:color w:val="000000" w:themeColor="text1"/>
          <w:sz w:val="32"/>
          <w:szCs w:val="32"/>
          <w:u w:val="none"/>
          <w14:textFill>
            <w14:solidFill>
              <w14:schemeClr w14:val="tx1"/>
            </w14:solidFill>
          </w14:textFill>
        </w:rPr>
      </w:pPr>
    </w:p>
    <w:p w14:paraId="50153E25">
      <w:pPr>
        <w:pStyle w:val="18"/>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14:paraId="3005312F">
      <w:pPr>
        <w:pStyle w:val="18"/>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14:paraId="64FEF7F5">
      <w:pPr>
        <w:pStyle w:val="18"/>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14:paraId="3B786A8F">
      <w:pPr>
        <w:pStyle w:val="18"/>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14:paraId="59D13D03">
      <w:pPr>
        <w:pStyle w:val="18"/>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14:paraId="21A41A17">
      <w:pPr>
        <w:pStyle w:val="18"/>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第五部分</w:t>
      </w:r>
    </w:p>
    <w:p w14:paraId="2395C7B0">
      <w:pPr>
        <w:shd w:val="clear"/>
        <w:jc w:val="center"/>
        <w:rPr>
          <w:rFonts w:hint="eastAsia" w:ascii="仿宋" w:hAnsi="仿宋" w:eastAsia="仿宋" w:cs="仿宋"/>
          <w:b/>
          <w:bCs/>
          <w:color w:val="000000" w:themeColor="text1"/>
          <w:kern w:val="0"/>
          <w:sz w:val="32"/>
          <w:szCs w:val="32"/>
          <w:u w:val="none"/>
          <w14:textFill>
            <w14:solidFill>
              <w14:schemeClr w14:val="tx1"/>
            </w14:solidFill>
          </w14:textFill>
        </w:rPr>
      </w:pPr>
    </w:p>
    <w:p w14:paraId="022F40AC">
      <w:pPr>
        <w:pStyle w:val="5"/>
        <w:shd w:val="clear"/>
        <w:rPr>
          <w:rFonts w:hint="eastAsia" w:ascii="仿宋" w:hAnsi="仿宋" w:eastAsia="仿宋" w:cs="仿宋"/>
          <w:b/>
          <w:bCs/>
          <w:color w:val="000000" w:themeColor="text1"/>
          <w:sz w:val="32"/>
          <w:szCs w:val="32"/>
          <w:u w:val="none"/>
          <w14:textFill>
            <w14:solidFill>
              <w14:schemeClr w14:val="tx1"/>
            </w14:solidFill>
          </w14:textFill>
        </w:rPr>
      </w:pPr>
    </w:p>
    <w:p w14:paraId="2FE7631D">
      <w:pPr>
        <w:shd w:val="clear"/>
        <w:jc w:val="center"/>
        <w:rPr>
          <w:rFonts w:hint="eastAsia" w:ascii="仿宋" w:hAnsi="仿宋" w:eastAsia="仿宋" w:cs="仿宋"/>
          <w:b/>
          <w:bCs/>
          <w:color w:val="000000" w:themeColor="text1"/>
          <w:kern w:val="0"/>
          <w:sz w:val="32"/>
          <w:szCs w:val="32"/>
          <w:u w:val="none"/>
          <w14:textFill>
            <w14:solidFill>
              <w14:schemeClr w14:val="tx1"/>
            </w14:solidFill>
          </w14:textFill>
        </w:rPr>
      </w:pPr>
      <w:r>
        <w:rPr>
          <w:rFonts w:hint="eastAsia" w:ascii="仿宋" w:hAnsi="仿宋" w:eastAsia="仿宋" w:cs="仿宋"/>
          <w:b/>
          <w:bCs/>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kern w:val="0"/>
          <w:sz w:val="32"/>
          <w:szCs w:val="32"/>
          <w:u w:val="none"/>
          <w14:textFill>
            <w14:solidFill>
              <w14:schemeClr w14:val="tx1"/>
            </w14:solidFill>
          </w14:textFill>
        </w:rPr>
        <w:t>附件</w:t>
      </w:r>
    </w:p>
    <w:p w14:paraId="0B41D7BB">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14:paraId="4CA42186">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14:paraId="44AB4972">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14:paraId="1C2E8167">
      <w:pPr>
        <w:shd w:val="clear"/>
        <w:ind w:firstLine="640" w:firstLineChars="200"/>
        <w:jc w:val="left"/>
        <w:rPr>
          <w:rFonts w:hint="eastAsia" w:ascii="仿宋" w:hAnsi="仿宋" w:eastAsia="仿宋" w:cs="仿宋"/>
          <w:color w:val="000000" w:themeColor="text1"/>
          <w:kern w:val="0"/>
          <w:sz w:val="32"/>
          <w:szCs w:val="32"/>
          <w:u w:val="none"/>
          <w14:textFill>
            <w14:solidFill>
              <w14:schemeClr w14:val="tx1"/>
            </w14:solidFill>
          </w14:textFill>
        </w:rPr>
      </w:pPr>
    </w:p>
    <w:p w14:paraId="723DBD9E">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5A56E2F5">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03FD28D5">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12745FCB">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216C1926">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4856562B">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6BA6D078">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5E4778DF">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14214C80">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568B7CB1">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495D6CE7">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4EA7E8D2">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2FE2FD61">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p>
    <w:p w14:paraId="255300B6">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p>
    <w:p w14:paraId="4D5C0E04">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p>
    <w:p w14:paraId="09DEA8A6">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湘潭县</w:t>
      </w:r>
      <w:r>
        <w:rPr>
          <w:rFonts w:hint="eastAsia" w:ascii="仿宋" w:hAnsi="仿宋" w:eastAsia="仿宋" w:cs="仿宋"/>
          <w:b/>
          <w:bCs/>
          <w:color w:val="000000" w:themeColor="text1"/>
          <w:sz w:val="32"/>
          <w:szCs w:val="32"/>
          <w:u w:val="none"/>
          <w:lang w:val="en-US" w:eastAsia="zh-CN"/>
          <w14:textFill>
            <w14:solidFill>
              <w14:schemeClr w14:val="tx1"/>
            </w14:solidFill>
          </w14:textFill>
        </w:rPr>
        <w:t>分水乡</w:t>
      </w:r>
      <w:r>
        <w:rPr>
          <w:rFonts w:hint="eastAsia" w:ascii="仿宋" w:hAnsi="仿宋" w:eastAsia="仿宋" w:cs="仿宋"/>
          <w:b/>
          <w:bCs/>
          <w:color w:val="000000" w:themeColor="text1"/>
          <w:sz w:val="32"/>
          <w:szCs w:val="32"/>
          <w:u w:val="none"/>
          <w:lang w:eastAsia="zh-CN"/>
          <w14:textFill>
            <w14:solidFill>
              <w14:schemeClr w14:val="tx1"/>
            </w14:solidFill>
          </w14:textFill>
        </w:rPr>
        <w:t>人民政府</w:t>
      </w:r>
    </w:p>
    <w:p w14:paraId="0E7F7CB7">
      <w:pPr>
        <w:shd w:val="clear"/>
        <w:tabs>
          <w:tab w:val="left" w:pos="6480"/>
        </w:tabs>
        <w:spacing w:line="600" w:lineRule="exact"/>
        <w:jc w:val="center"/>
        <w:rPr>
          <w:rFonts w:hint="eastAsia" w:ascii="仿宋" w:hAnsi="仿宋" w:eastAsia="仿宋" w:cs="仿宋"/>
          <w:b/>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部门整体支出绩效评价报告</w:t>
      </w:r>
    </w:p>
    <w:tbl>
      <w:tblPr>
        <w:tblStyle w:val="12"/>
        <w:tblW w:w="10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7104"/>
      </w:tblGrid>
      <w:tr w14:paraId="62F01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71913E67">
            <w:pPr>
              <w:shd w:val="clear"/>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部门</w:t>
            </w:r>
          </w:p>
          <w:p w14:paraId="2E977301">
            <w:pPr>
              <w:shd w:val="clear"/>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概况</w:t>
            </w:r>
          </w:p>
        </w:tc>
        <w:tc>
          <w:tcPr>
            <w:tcW w:w="1985" w:type="dxa"/>
            <w:noWrap w:val="0"/>
            <w:vAlign w:val="center"/>
          </w:tcPr>
          <w:p w14:paraId="74E0CCF3">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单位名称</w:t>
            </w:r>
          </w:p>
        </w:tc>
        <w:tc>
          <w:tcPr>
            <w:tcW w:w="7104" w:type="dxa"/>
            <w:noWrap w:val="0"/>
            <w:vAlign w:val="center"/>
          </w:tcPr>
          <w:p w14:paraId="7258A7AD">
            <w:pPr>
              <w:shd w:val="clear"/>
              <w:spacing w:line="576" w:lineRule="exact"/>
              <w:ind w:right="879" w:rightChars="419"/>
              <w:jc w:val="center"/>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湘潭县分水乡人民政府</w:t>
            </w:r>
          </w:p>
        </w:tc>
      </w:tr>
      <w:tr w14:paraId="26B6F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534AB5E6">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14:paraId="44F76910">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年度预算金额</w:t>
            </w:r>
          </w:p>
        </w:tc>
        <w:tc>
          <w:tcPr>
            <w:tcW w:w="7104" w:type="dxa"/>
            <w:noWrap w:val="0"/>
            <w:vAlign w:val="center"/>
          </w:tcPr>
          <w:p w14:paraId="419F0E29">
            <w:pPr>
              <w:shd w:val="clear"/>
              <w:spacing w:line="576" w:lineRule="exact"/>
              <w:ind w:right="879" w:rightChars="419"/>
              <w:jc w:val="center"/>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3568万元</w:t>
            </w:r>
          </w:p>
        </w:tc>
      </w:tr>
      <w:tr w14:paraId="7928D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74513A11">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14:paraId="115EE983">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主管部门</w:t>
            </w:r>
          </w:p>
        </w:tc>
        <w:tc>
          <w:tcPr>
            <w:tcW w:w="7104" w:type="dxa"/>
            <w:noWrap w:val="0"/>
            <w:vAlign w:val="center"/>
          </w:tcPr>
          <w:p w14:paraId="116DB5AB">
            <w:pPr>
              <w:shd w:val="clear"/>
              <w:spacing w:line="576" w:lineRule="exact"/>
              <w:jc w:val="center"/>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湘潭县人民政府</w:t>
            </w:r>
          </w:p>
        </w:tc>
      </w:tr>
      <w:tr w14:paraId="5F6A6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196F14FC">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14:paraId="17712F3F">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单位基本职能</w:t>
            </w:r>
          </w:p>
        </w:tc>
        <w:tc>
          <w:tcPr>
            <w:tcW w:w="7104" w:type="dxa"/>
            <w:noWrap w:val="0"/>
            <w:vAlign w:val="center"/>
          </w:tcPr>
          <w:p w14:paraId="1464EBD2">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1、贯彻执行党和国家的路线方针、政策以及省、湘潭市、湘潭县关于乡镇工作方面的指示，制订具体的管理办法并组织实施。</w:t>
            </w:r>
          </w:p>
          <w:p w14:paraId="31B9D762">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2、指导、搞好辖区内村委会的工作，支持、帮助各村加强思想、组织、制度建设，向上级人民政府和有关部门及时反映居民的意见、建议和要求。</w:t>
            </w:r>
          </w:p>
          <w:p w14:paraId="685A8D0F">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right="0" w:firstLine="640" w:firstLineChars="20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3、抓好文化建设，开展文明乡村建设活动，组织居民开展经常性的文化、娱乐、体育活动。</w:t>
            </w:r>
          </w:p>
          <w:p w14:paraId="34E7BF94">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4、负责乡镇的人民调解、治安保卫工作，加强对违法青少年的帮教转化，保护老人、妇女、儿童的合法权益。</w:t>
            </w:r>
          </w:p>
          <w:p w14:paraId="1F438539">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5、协助有关部门做好辖区拥军优属、优抚安置、社会救济、殡葬改革、残疾人就业等工作；积极开展便民利民的乡村服务和教育工作。</w:t>
            </w:r>
          </w:p>
          <w:p w14:paraId="061C8D40">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6、会同有关部门做好辖区内常住和流动人口的管理及计划生育工作，完成下达的各项计划生育指标任务。</w:t>
            </w:r>
          </w:p>
          <w:p w14:paraId="0A4D574C">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7、协助武装部门做好辖区民兵训练和公民服兵役工作。</w:t>
            </w:r>
          </w:p>
          <w:p w14:paraId="6252A944">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8、负责在辖区开展普法教育工作，做好民事调解，开展法律咨询、服务等工作，维护居民的合法权益，搞好辖区内社会治安综合治理工作。</w:t>
            </w:r>
          </w:p>
          <w:p w14:paraId="65DDB430">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9、负责本辖区的乡村管理工作，发动群众开展爱国卫生运动，绿化、美化、净化乡村环境，协助有关部门做好环境卫生、环境保护工作。</w:t>
            </w:r>
          </w:p>
          <w:p w14:paraId="5342D19B">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right="0" w:firstLine="320" w:firstLineChars="10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10、负责本辖区的综合执法工作，维护辖区的良好秩序。</w:t>
            </w:r>
          </w:p>
          <w:p w14:paraId="0DF6CE28">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11、协助有关部门抓好安全生产工作。</w:t>
            </w:r>
          </w:p>
          <w:p w14:paraId="1AB6808B">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12、配合有关部门做好辖区内的三防、抢险救灾、安全生产检查、居民迁移等工作。</w:t>
            </w:r>
          </w:p>
          <w:p w14:paraId="11F8D5E6">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13、承办上级政府交办的其他工作。</w:t>
            </w:r>
          </w:p>
          <w:p w14:paraId="25C5386D">
            <w:pPr>
              <w:shd w:val="clear"/>
              <w:spacing w:line="576" w:lineRule="exact"/>
              <w:jc w:val="left"/>
              <w:rPr>
                <w:rFonts w:hint="eastAsia" w:ascii="仿宋" w:hAnsi="仿宋" w:eastAsia="仿宋" w:cs="仿宋"/>
                <w:color w:val="000000" w:themeColor="text1"/>
                <w:sz w:val="32"/>
                <w:szCs w:val="32"/>
                <w:u w:val="none"/>
                <w:lang w:eastAsia="zh-CN"/>
                <w14:textFill>
                  <w14:solidFill>
                    <w14:schemeClr w14:val="tx1"/>
                  </w14:solidFill>
                </w14:textFill>
              </w:rPr>
            </w:pPr>
          </w:p>
          <w:p w14:paraId="669E49BC">
            <w:pPr>
              <w:shd w:val="clear"/>
              <w:spacing w:line="576" w:lineRule="exact"/>
              <w:jc w:val="center"/>
              <w:rPr>
                <w:rFonts w:hint="eastAsia" w:ascii="仿宋" w:hAnsi="仿宋" w:eastAsia="仿宋" w:cs="仿宋"/>
                <w:color w:val="000000" w:themeColor="text1"/>
                <w:sz w:val="32"/>
                <w:szCs w:val="32"/>
                <w:u w:val="none"/>
                <w:lang w:val="en-US" w:eastAsia="zh-CN"/>
                <w14:textFill>
                  <w14:solidFill>
                    <w14:schemeClr w14:val="tx1"/>
                  </w14:solidFill>
                </w14:textFill>
              </w:rPr>
            </w:pPr>
          </w:p>
        </w:tc>
      </w:tr>
      <w:tr w14:paraId="601B7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384" w:type="dxa"/>
            <w:vMerge w:val="restart"/>
            <w:noWrap w:val="0"/>
            <w:vAlign w:val="center"/>
          </w:tcPr>
          <w:p w14:paraId="6CF6D710">
            <w:pPr>
              <w:shd w:val="clear"/>
              <w:spacing w:line="576" w:lineRule="exact"/>
              <w:jc w:val="center"/>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绩效完</w:t>
            </w:r>
          </w:p>
          <w:p w14:paraId="718DF1CA">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成情况</w:t>
            </w:r>
          </w:p>
        </w:tc>
        <w:tc>
          <w:tcPr>
            <w:tcW w:w="1985" w:type="dxa"/>
            <w:noWrap w:val="0"/>
            <w:vAlign w:val="center"/>
          </w:tcPr>
          <w:p w14:paraId="39D5FC53">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部门整体支出管理和使用基本情况</w:t>
            </w:r>
          </w:p>
        </w:tc>
        <w:tc>
          <w:tcPr>
            <w:tcW w:w="7104" w:type="dxa"/>
            <w:noWrap w:val="0"/>
            <w:vAlign w:val="center"/>
          </w:tcPr>
          <w:tbl>
            <w:tblPr>
              <w:tblStyle w:val="12"/>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tblGrid>
            <w:tr w14:paraId="41D20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5670" w:type="dxa"/>
                  <w:noWrap w:val="0"/>
                  <w:vAlign w:val="center"/>
                </w:tcPr>
                <w:p w14:paraId="790A1832">
                  <w:pPr>
                    <w:shd w:val="clear"/>
                    <w:ind w:firstLine="640" w:firstLineChars="200"/>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14:paraId="466433CE">
                  <w:pPr>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2024年部门整体支出3082.91万元，其中：工资福利支出1813.33万元、商品和服务支出1181.92万元、对个人和家庭的补助18.37万元、资本性支出69.3 万元对企业补助0万元。该支出中其中：基本支出3013.61万元，项目支出69.3万元，当年无结余。“三公”经费支出0万元。</w:t>
                  </w:r>
                </w:p>
              </w:tc>
            </w:tr>
          </w:tbl>
          <w:p w14:paraId="6A2A5F11">
            <w:pPr>
              <w:numPr>
                <w:ilvl w:val="0"/>
                <w:numId w:val="0"/>
              </w:numPr>
              <w:shd w:val="clear"/>
              <w:spacing w:line="576" w:lineRule="exact"/>
              <w:ind w:leftChars="0"/>
              <w:jc w:val="left"/>
              <w:rPr>
                <w:rFonts w:hint="eastAsia" w:ascii="仿宋" w:hAnsi="仿宋" w:eastAsia="仿宋" w:cs="仿宋"/>
                <w:color w:val="000000" w:themeColor="text1"/>
                <w:sz w:val="32"/>
                <w:szCs w:val="32"/>
                <w:u w:val="none"/>
                <w14:textFill>
                  <w14:solidFill>
                    <w14:schemeClr w14:val="tx1"/>
                  </w14:solidFill>
                </w14:textFill>
              </w:rPr>
            </w:pPr>
          </w:p>
        </w:tc>
      </w:tr>
      <w:tr w14:paraId="13BBD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47896BD4">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14:paraId="50C37AB6">
            <w:pPr>
              <w:shd w:val="clear"/>
              <w:spacing w:line="576" w:lineRule="exact"/>
              <w:jc w:val="center"/>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绩效目标</w:t>
            </w:r>
          </w:p>
          <w:p w14:paraId="55A6967B">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完成情况</w:t>
            </w:r>
          </w:p>
        </w:tc>
        <w:tc>
          <w:tcPr>
            <w:tcW w:w="7104" w:type="dxa"/>
            <w:noWrap w:val="0"/>
            <w:vAlign w:val="center"/>
          </w:tcPr>
          <w:p w14:paraId="73B590AF">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1、精准施策，稳住经济基础。</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 xml:space="preserve">完成税收850万元，同比增长15.9%，完成财政收入3082万元；入统工业固投1.1亿元，争资争项16个，金额472万元；建军槟榔厂升级改造项目已完工投产，较场小城镇项目完成一栋住宅主体建设，新签约亿元项目—分水乡湾头矿泉水生产加工项目；积极推进市场主体新增工作，企业主体培育新增1家，个体培育新增14家；严格落实党政主要领导联系企业制度，推进乡域经济高质量发展“一对一”服务，帮助解决鸿运食品停车难题、生物环保颗粒项目用地问题和分水乡湾头矿泉水生产加工项目电路迁移难题，指导乡内其他企业安全生产等工作。   </w:t>
            </w:r>
          </w:p>
          <w:p w14:paraId="7BE4C82E">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2、心系农村，抓实乡村振兴。</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巩固脱贫攻坚成果，脱贫户772户2059人，监测对象108户231人，全部落实“一户一策”，稳定消除风险对象82户170人，扎实开展“双联共建，五个到户”行动，牢牢守住了不发生规模性返贫底线；严防死守粮食安全，粮食种植总面积为48317亩，开展“非农非粮”专项整治，双非图斑22处已全部整改销号。完成耕地恢复279.5亩，治理抛荒耕地145.5亩；普及农机服务，申报受理农机购置补贴31户34台，补贴金额11万余元，推广机插3800余亩，机抛5000余亩；深入推进“党建+三统一分”乡村振兴模式，打造了分水村和大冲垅村两个双季稻1000亩示范片和13个100亩以上双季稻生产示范片。按照“主体+基地+企业”产业化开发模式，全力推进油菜种植，创建了石桥村500亩油菜高产示范基地和较场村100亩莲-油高产示范基地；同时，按照“一乡一业、一村一品”的农业产业发展模式，打造了虎形山村茶叶基地、珍鸽村“珍鸽”养殖基地、旗山村辣椒基地和较场村艾草基地，正在培育晓冲村茯苓种植和彭何村葛根种植业，不断为乡村振兴蓄能。</w:t>
            </w:r>
          </w:p>
          <w:p w14:paraId="046E7C1C">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3、强化基础，美化人居环境。</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虎形山村、新山村、永红村成功申报省级小水源供水能力恢复工程项目，完成11口山塘整修硬化，旗山村、珍鸽村成功申报县级小水源供水能力恢复工程项目，共完成16口山塘整修硬化；完成油茶新造整地1000余亩，植树500亩；松材线虫病防治得力有效，清理枯死松木2万余株；扎实推进“三长”工作制，联动各村党员、组长、“莲乡里手”和青年志愿者开展“河小青”“爱卫运动”“村庄清洁行动”等志愿服务活动，人居环境整治工作获评“湘潭市五好乡镇”，永红村和分水村分别获评县级人居环境整治“五好乡村”；开展美丽庭院创建活动，新增三星“美丽庭院”124户，四星“美丽庭院”13户，五星“美丽庭院”1户，构建农村生活垃圾治理长效机制，推行农村生活垃圾处理付费制度；完成户厕信息录入8295户，新建化粪池40个，问题厕所整改89个。</w:t>
            </w:r>
          </w:p>
          <w:p w14:paraId="1EAAFAA7">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4、集中资源，补齐民生短板。</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统筹做好双拥优抚工作，落实优抚待遇358人，完成退役军人建档立卡624人，申领优待证645人，新增退役军人就业10人；提高居民参保意识，医保收缴23562人，参保率89.7%；完善社会救助体系，全乡享受低保保障431户813人，特困保障207人；临时救助223人，孤儿2人，事实无人抚养儿童15人，困境儿童10人高龄补贴177人；护佑妇女健康，“两癌”免费筛查420对；精细做好残疾人换证办证和补贴认证工作，帮助9名困难残疾学生和特困残疾人家庭子女申请贫困救助；高标准抓好就业服务工作，新增农村劳动力转移就业189人；新增城镇转移就业56人，完成年度目标任务的110%；失业人员再就业35人，完成年度目标任务的113%；困难人员再就业15人，完成年度目标任务的150%；建立政务中心“一件事一次办”和“办不成事”专用窗口，发布基层政务公开专栏信息130余条，行政交通电子监察总件5600余条，热线办理反馈率100%，回访满意率92%；组织各部门开展志愿春耕、义务植树、志愿服务来赶集、法制宣传等系列活动，打造了分水乡爱老敬老特色服务品牌项目；爱心企业家、商会代表开展一系列爱心助学活动，为永红学校捐赠12台教学电脑、150套校服、900余册图书以及助学金，并一对一对贫困学子开展教学帮扶；完成了小规模学校整合，争取了较场中心小学厨房市薄改项目，并已完成较场中学标准化寄宿制建设</w:t>
            </w:r>
            <w:r>
              <w:rPr>
                <w:rFonts w:hint="eastAsia" w:ascii="仿宋" w:hAnsi="仿宋" w:eastAsia="仿宋" w:cs="仿宋"/>
                <w:color w:val="000000" w:themeColor="text1"/>
                <w:sz w:val="32"/>
                <w:szCs w:val="32"/>
                <w:u w:val="none"/>
                <w14:textFill>
                  <w14:solidFill>
                    <w14:schemeClr w14:val="tx1"/>
                  </w14:solidFill>
                </w14:textFill>
              </w:rPr>
              <w:t>。</w:t>
            </w:r>
          </w:p>
          <w:p w14:paraId="3232AACF">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5、扛牢责任，稳定社会环境</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落实“五个一”工作法，增强执法力量，农机站联合交警执法9次，查扣无牌无证拖拉机2台；开展集贸市场道路交通安全隐患“百日整治”行动和交通安全“冬季攻势”专项行动，拆除遮阳棚200余个，劝导摩电驾驶人员800余人次，查获无牌无照摩托车44辆，酒驾1起；进行燃气检查22次，发现问题隐患4起，整改4起；开展综合执法巡查90余次，发现非法采砂洗砂2起、乱砍林木4起，实现了安全生产事故零发生、安全生产人员零伤亡；排查矛盾纠纷112起，化解102起，化解率91%，未发生因矛盾纠纷调处不及时或调处不当而引发群体性事件和民转刑案件；认真做好信访维稳工作。共接上级交办信件9件，办结9件，自办信访件13件，均已办结；深入推进新时代禁毒人民战争，2024年摘除了湘潭市重点整治禁毒地区的帽子。</w:t>
            </w:r>
          </w:p>
          <w:p w14:paraId="44294FF1">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6、严于律己，加强自身建设。</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整章建制，强化制度约束，树立过紧日子思想，进一步完善乡村两级财务管理制度，规范报账流程，严格控制政府机关运行成本；完善分水乡会议制度、请销假制度，落实好每周机关干部例会制度、外出报备制度，规范公章使用程序；注重惩教结合，乡纪委共立案11件，已全部办结，其中4人给予严重警告处分，2人给予警告处分，1人给予记过处分；多次组织召开作风讲评暨警示大会，剖析党员干部酒驾醉驾案例，拿“身边案例”警醒身边人；深刻开展中梗阻专项整治、领导干部利用职权或影响力为亲友牟利专项整治、“三湘护农”及乡村振兴领域问题专项整治、“镜鉴”以案促改促建促治专项行动、“两带头五整治”纠风防腐专项行动和“三条禁令”专项整治行动，把严肃工作纪律、严格工作标准、严谨工作作风贯通起来，一体推进，发现一个问题、解决一类现象、完善一套制度，推动实现标本兼治、常治长效。</w:t>
            </w:r>
          </w:p>
          <w:p w14:paraId="42D7BB9C">
            <w:pPr>
              <w:numPr>
                <w:ilvl w:val="0"/>
                <w:numId w:val="0"/>
              </w:numPr>
              <w:shd w:val="clear"/>
              <w:spacing w:line="576" w:lineRule="exact"/>
              <w:ind w:leftChars="0"/>
              <w:jc w:val="left"/>
              <w:rPr>
                <w:rFonts w:hint="eastAsia" w:ascii="仿宋" w:hAnsi="仿宋" w:eastAsia="仿宋" w:cs="仿宋"/>
                <w:color w:val="000000" w:themeColor="text1"/>
                <w:sz w:val="32"/>
                <w:szCs w:val="32"/>
                <w:u w:val="none"/>
                <w:lang w:val="en-US" w:eastAsia="zh-CN"/>
                <w14:textFill>
                  <w14:solidFill>
                    <w14:schemeClr w14:val="tx1"/>
                  </w14:solidFill>
                </w14:textFill>
              </w:rPr>
            </w:pPr>
          </w:p>
        </w:tc>
      </w:tr>
      <w:tr w14:paraId="4BC16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14:paraId="5138065F">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66ECEF36">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4ED5BC6F">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791B043B">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28F5A555">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58907D06">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1AB05649">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1F8AC335">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39B2602B">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1CC25AEA">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14:paraId="60557D0E">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存在的问题分析及改进措施</w:t>
            </w:r>
          </w:p>
        </w:tc>
        <w:tc>
          <w:tcPr>
            <w:tcW w:w="1985" w:type="dxa"/>
            <w:noWrap w:val="0"/>
            <w:vAlign w:val="center"/>
          </w:tcPr>
          <w:p w14:paraId="7B954061">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存在的问题</w:t>
            </w:r>
          </w:p>
        </w:tc>
        <w:tc>
          <w:tcPr>
            <w:tcW w:w="7104" w:type="dxa"/>
            <w:noWrap w:val="0"/>
            <w:vAlign w:val="center"/>
          </w:tcPr>
          <w:p w14:paraId="0A7910C8">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1、</w:t>
            </w:r>
            <w:r>
              <w:rPr>
                <w:rFonts w:hint="eastAsia" w:ascii="仿宋" w:hAnsi="仿宋" w:eastAsia="仿宋" w:cs="仿宋"/>
                <w:b/>
                <w:bCs/>
                <w:color w:val="000000" w:themeColor="text1"/>
                <w:sz w:val="32"/>
                <w:szCs w:val="32"/>
                <w:u w:val="none"/>
                <w14:textFill>
                  <w14:solidFill>
                    <w14:schemeClr w14:val="tx1"/>
                  </w14:solidFill>
                </w14:textFill>
              </w:rPr>
              <w:t>乡镇经济基础薄弱</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全乡经济总量不大，结构不优，整体发展不平衡；产业产值效益不高，特色产业总体还处在“小、散、弱”的阶段，抗风险能力不足；基础设施建设与乡村振兴要求差距大。</w:t>
            </w:r>
          </w:p>
          <w:p w14:paraId="1DA8A572">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2、财政收支压力较大。乡</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财政收支异常紧张，过“紧日子”“苦日子”思想尚未树牢乡镇专项资金难以预计，无法估计来源渠道。</w:t>
            </w:r>
          </w:p>
          <w:p w14:paraId="795E81AE">
            <w:pPr>
              <w:numPr>
                <w:ilvl w:val="0"/>
                <w:numId w:val="0"/>
              </w:numPr>
              <w:shd w:val="clear"/>
              <w:spacing w:line="576" w:lineRule="exact"/>
              <w:ind w:leftChars="0"/>
              <w:jc w:val="left"/>
              <w:rPr>
                <w:rFonts w:hint="eastAsia" w:ascii="仿宋" w:hAnsi="仿宋" w:eastAsia="仿宋" w:cs="仿宋"/>
                <w:color w:val="000000" w:themeColor="text1"/>
                <w:sz w:val="32"/>
                <w:szCs w:val="32"/>
                <w:u w:val="none"/>
                <w:lang w:val="en-US" w:eastAsia="zh-CN"/>
                <w14:textFill>
                  <w14:solidFill>
                    <w14:schemeClr w14:val="tx1"/>
                  </w14:solidFill>
                </w14:textFill>
              </w:rPr>
            </w:pPr>
          </w:p>
        </w:tc>
      </w:tr>
      <w:tr w14:paraId="7F960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8" w:hRule="atLeast"/>
          <w:jc w:val="center"/>
        </w:trPr>
        <w:tc>
          <w:tcPr>
            <w:tcW w:w="1384" w:type="dxa"/>
            <w:vMerge w:val="continue"/>
            <w:noWrap w:val="0"/>
            <w:vAlign w:val="top"/>
          </w:tcPr>
          <w:p w14:paraId="3AA07A9D">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14:paraId="03E050B8">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改进措施</w:t>
            </w:r>
          </w:p>
        </w:tc>
        <w:tc>
          <w:tcPr>
            <w:tcW w:w="7104" w:type="dxa"/>
            <w:noWrap w:val="0"/>
            <w:vAlign w:val="center"/>
          </w:tcPr>
          <w:p w14:paraId="30023B6D">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1、优化产业结构。</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依托本乡特色农业，重点培养一批龙头企业、家庭农场、种植大户等新型农业经营主体 做好“农文旅”融合的文章，加快产业结构调整，争创特色产业品牌。重点推进分水矿泉水项目，着力落地一期12亩建设，力争年中建成厂房并积极推动采矿证的办理；继续开展“引老乡、回故乡、建家乡”主题招商活动，引进知名人士返乡投资兴业。积极推动返乡创业，通过“村企联动”等形式促进小农户和现代农业发展有效衔接。</w:t>
            </w:r>
          </w:p>
          <w:p w14:paraId="39DB398B">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2、巩固乡村振兴。</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 xml:space="preserve">因地制宜，发挥优势，确保粮食生产面积有所提高，坚决遏制耕地“非农化”、永久基本农田“非粮化”，同时在复耕复种的基础上，“宜粮则粮，宜经则经，宜特则特”，让农户获得收益；探索“公司+基地+农户”“合作社+基地+农户”订单生产等农业产业化经营模式，打造分水坳黑山羊、艾叶、大米、茯苓、红薯粉等品牌，不断提高“分水坳”的品牌影响力；积极推动返乡创业，通过“村企联动”“线上线下”等形式调动市场，促进小农户和现代农业发展有效衔接，稳步推进村级集体经济发展。  </w:t>
            </w:r>
          </w:p>
          <w:p w14:paraId="4C0B4F34">
            <w:pPr>
              <w:shd w:val="clear"/>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3、加强内控建设。</w:t>
            </w:r>
            <w:r>
              <w:rPr>
                <w:rFonts w:hint="eastAsia" w:ascii="仿宋" w:hAnsi="仿宋" w:eastAsia="仿宋" w:cs="仿宋"/>
                <w:color w:val="000000" w:themeColor="text1"/>
                <w:sz w:val="32"/>
                <w:szCs w:val="32"/>
                <w:u w:val="none"/>
                <w:lang w:val="en-US" w:eastAsia="zh-CN"/>
                <w14:textFill>
                  <w14:solidFill>
                    <w14:schemeClr w14:val="tx1"/>
                  </w14:solidFill>
                </w14:textFill>
              </w:rPr>
              <w:t>细</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化绩效目标，提升预算编制的规范性、科学性，对预算业务、收支业务、政府采购业务、资产管理业务、合同管理业务等各项经济业务流程进行全面梳理，明确各项业务的目标、范围、内容、流程、环节以及相应的部门岗位，增收节支，尽最大可能把钱用在刀刃上。</w:t>
            </w:r>
          </w:p>
          <w:p w14:paraId="7FF44576">
            <w:pPr>
              <w:numPr>
                <w:ilvl w:val="0"/>
                <w:numId w:val="0"/>
              </w:numPr>
              <w:shd w:val="clear"/>
              <w:spacing w:line="576" w:lineRule="exact"/>
              <w:jc w:val="left"/>
              <w:rPr>
                <w:rFonts w:hint="eastAsia" w:ascii="仿宋" w:hAnsi="仿宋" w:eastAsia="仿宋" w:cs="仿宋"/>
                <w:color w:val="000000" w:themeColor="text1"/>
                <w:sz w:val="32"/>
                <w:szCs w:val="32"/>
                <w:u w:val="none"/>
                <w:lang w:val="en-US" w:eastAsia="zh-CN"/>
                <w14:textFill>
                  <w14:solidFill>
                    <w14:schemeClr w14:val="tx1"/>
                  </w14:solidFill>
                </w14:textFill>
              </w:rPr>
            </w:pPr>
          </w:p>
        </w:tc>
      </w:tr>
      <w:tr w14:paraId="7D428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7" w:hRule="atLeast"/>
          <w:jc w:val="center"/>
        </w:trPr>
        <w:tc>
          <w:tcPr>
            <w:tcW w:w="1384" w:type="dxa"/>
            <w:vMerge w:val="continue"/>
            <w:noWrap w:val="0"/>
            <w:vAlign w:val="top"/>
          </w:tcPr>
          <w:p w14:paraId="145F1C09">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14:paraId="7E43564B">
            <w:pPr>
              <w:shd w:val="clear"/>
              <w:spacing w:line="576" w:lineRule="exact"/>
              <w:jc w:val="cente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其他需要</w:t>
            </w:r>
          </w:p>
          <w:p w14:paraId="31981D98">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说明问题</w:t>
            </w:r>
          </w:p>
        </w:tc>
        <w:tc>
          <w:tcPr>
            <w:tcW w:w="7104" w:type="dxa"/>
            <w:noWrap w:val="0"/>
            <w:vAlign w:val="center"/>
          </w:tcPr>
          <w:p w14:paraId="1C1F56BC">
            <w:pPr>
              <w:keepNext w:val="0"/>
              <w:keepLines w:val="0"/>
              <w:pageBreakBefore w:val="0"/>
              <w:widowControl w:val="0"/>
              <w:shd w:val="clear"/>
              <w:kinsoku/>
              <w:wordWrap/>
              <w:overflowPunct/>
              <w:topLinePunct w:val="0"/>
              <w:autoSpaceDE/>
              <w:autoSpaceDN/>
              <w:bidi w:val="0"/>
              <w:adjustRightInd/>
              <w:snapToGrid/>
              <w:spacing w:line="500" w:lineRule="exact"/>
              <w:ind w:right="0" w:rightChars="0"/>
              <w:jc w:val="center"/>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无</w:t>
            </w:r>
          </w:p>
        </w:tc>
      </w:tr>
    </w:tbl>
    <w:p w14:paraId="1F23D22A">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35754ED3">
      <w:pPr>
        <w:pStyle w:val="5"/>
        <w:shd w:val="clear"/>
        <w:ind w:firstLine="420"/>
        <w:rPr>
          <w:rFonts w:hint="eastAsia" w:ascii="仿宋" w:hAnsi="仿宋" w:eastAsia="仿宋" w:cs="仿宋"/>
          <w:color w:val="000000" w:themeColor="text1"/>
          <w:sz w:val="32"/>
          <w:szCs w:val="32"/>
          <w:u w:val="none"/>
          <w14:textFill>
            <w14:solidFill>
              <w14:schemeClr w14:val="tx1"/>
            </w14:solidFill>
          </w14:textFill>
        </w:rPr>
      </w:pPr>
    </w:p>
    <w:p w14:paraId="6AA277EA">
      <w:pPr>
        <w:pStyle w:val="5"/>
        <w:shd w:val="clear"/>
        <w:ind w:left="0" w:leftChars="0" w:firstLine="0" w:firstLineChars="0"/>
        <w:rPr>
          <w:rFonts w:hint="eastAsia" w:ascii="仿宋" w:hAnsi="仿宋" w:eastAsia="仿宋" w:cs="仿宋"/>
          <w:color w:val="000000" w:themeColor="text1"/>
          <w:sz w:val="32"/>
          <w:szCs w:val="32"/>
          <w:u w:val="none"/>
          <w14:textFill>
            <w14:solidFill>
              <w14:schemeClr w14:val="tx1"/>
            </w14:solidFill>
          </w14:textFill>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2272F">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14:paraId="15AC58FD">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g5/5doAAAANAQAADwAAAAAAAAABACAAAAAiAAAAZHJzL2Rvd25yZXYu&#10;eG1sUEsBAhQAFAAAAAgAh07iQBFqV8jAAQAAgAMAAA4AAAAAAAAAAQAgAAAAKQEAAGRycy9lMm9E&#10;b2MueG1sUEsFBgAAAAAGAAYAWQEAAFsFAAAAAA==&#10;">
              <v:fill on="f" focussize="0,0"/>
              <v:stroke on="f"/>
              <v:imagedata o:title=""/>
              <o:lock v:ext="edit" aspectratio="f"/>
              <v:textbox inset="0mm,0mm,0mm,0mm">
                <w:txbxContent>
                  <w:p w14:paraId="15AC58FD">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38742">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7AD67"/>
    <w:multiLevelType w:val="singleLevel"/>
    <w:tmpl w:val="93A7AD67"/>
    <w:lvl w:ilvl="0" w:tentative="0">
      <w:start w:val="5"/>
      <w:numFmt w:val="decimal"/>
      <w:suff w:val="nothing"/>
      <w:lvlText w:val="%1、"/>
      <w:lvlJc w:val="left"/>
    </w:lvl>
  </w:abstractNum>
  <w:abstractNum w:abstractNumId="1">
    <w:nsid w:val="B03A9DE0"/>
    <w:multiLevelType w:val="singleLevel"/>
    <w:tmpl w:val="B03A9DE0"/>
    <w:lvl w:ilvl="0" w:tentative="0">
      <w:start w:val="12"/>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1MzFlMjkxZTNkZWYzMjY5MjI1MmE3MjkyZTYxMjcifQ=="/>
  </w:docVars>
  <w:rsids>
    <w:rsidRoot w:val="00172A27"/>
    <w:rsid w:val="00016D07"/>
    <w:rsid w:val="0002229B"/>
    <w:rsid w:val="0002328E"/>
    <w:rsid w:val="000273BD"/>
    <w:rsid w:val="00033D88"/>
    <w:rsid w:val="000415B7"/>
    <w:rsid w:val="00041E3F"/>
    <w:rsid w:val="00046A98"/>
    <w:rsid w:val="00055DAA"/>
    <w:rsid w:val="00061F7B"/>
    <w:rsid w:val="000658A3"/>
    <w:rsid w:val="00074155"/>
    <w:rsid w:val="000969EB"/>
    <w:rsid w:val="000A3F69"/>
    <w:rsid w:val="000E72C7"/>
    <w:rsid w:val="0010386C"/>
    <w:rsid w:val="00103957"/>
    <w:rsid w:val="00143E30"/>
    <w:rsid w:val="00152C6D"/>
    <w:rsid w:val="0015542C"/>
    <w:rsid w:val="00161642"/>
    <w:rsid w:val="00162D39"/>
    <w:rsid w:val="001678BD"/>
    <w:rsid w:val="0017693D"/>
    <w:rsid w:val="001A67DB"/>
    <w:rsid w:val="001C3C29"/>
    <w:rsid w:val="001D0616"/>
    <w:rsid w:val="001D51E5"/>
    <w:rsid w:val="001E080D"/>
    <w:rsid w:val="001E53D0"/>
    <w:rsid w:val="001F0C3B"/>
    <w:rsid w:val="001F5B81"/>
    <w:rsid w:val="00202C82"/>
    <w:rsid w:val="00214427"/>
    <w:rsid w:val="00222FCB"/>
    <w:rsid w:val="00226284"/>
    <w:rsid w:val="00226CB7"/>
    <w:rsid w:val="0023066C"/>
    <w:rsid w:val="002346A6"/>
    <w:rsid w:val="0025592E"/>
    <w:rsid w:val="00256352"/>
    <w:rsid w:val="00264552"/>
    <w:rsid w:val="00264E69"/>
    <w:rsid w:val="00264EF9"/>
    <w:rsid w:val="00265724"/>
    <w:rsid w:val="00272E5C"/>
    <w:rsid w:val="0027426B"/>
    <w:rsid w:val="002E0A30"/>
    <w:rsid w:val="003130C4"/>
    <w:rsid w:val="00316C4B"/>
    <w:rsid w:val="0032192B"/>
    <w:rsid w:val="003479BD"/>
    <w:rsid w:val="0037197D"/>
    <w:rsid w:val="003768D5"/>
    <w:rsid w:val="003865D4"/>
    <w:rsid w:val="003C47E6"/>
    <w:rsid w:val="003C4FC2"/>
    <w:rsid w:val="00416E61"/>
    <w:rsid w:val="0042790C"/>
    <w:rsid w:val="004406E5"/>
    <w:rsid w:val="00444464"/>
    <w:rsid w:val="004506F9"/>
    <w:rsid w:val="00456861"/>
    <w:rsid w:val="004717A2"/>
    <w:rsid w:val="00473CA2"/>
    <w:rsid w:val="00473DF3"/>
    <w:rsid w:val="00487911"/>
    <w:rsid w:val="00491741"/>
    <w:rsid w:val="00491B7F"/>
    <w:rsid w:val="0049506D"/>
    <w:rsid w:val="004D0E9F"/>
    <w:rsid w:val="004D6791"/>
    <w:rsid w:val="004E72D6"/>
    <w:rsid w:val="004F713B"/>
    <w:rsid w:val="00500E5F"/>
    <w:rsid w:val="005122EF"/>
    <w:rsid w:val="0051441A"/>
    <w:rsid w:val="00517C33"/>
    <w:rsid w:val="00517D07"/>
    <w:rsid w:val="00523644"/>
    <w:rsid w:val="00523703"/>
    <w:rsid w:val="0054069E"/>
    <w:rsid w:val="00544866"/>
    <w:rsid w:val="005464E7"/>
    <w:rsid w:val="005767CC"/>
    <w:rsid w:val="00590D9F"/>
    <w:rsid w:val="00595D26"/>
    <w:rsid w:val="005A74E6"/>
    <w:rsid w:val="005B404E"/>
    <w:rsid w:val="005D4D55"/>
    <w:rsid w:val="005E1005"/>
    <w:rsid w:val="005E1017"/>
    <w:rsid w:val="005E2C55"/>
    <w:rsid w:val="005E2CFB"/>
    <w:rsid w:val="005F3D1C"/>
    <w:rsid w:val="006054D7"/>
    <w:rsid w:val="00623692"/>
    <w:rsid w:val="0062378F"/>
    <w:rsid w:val="00624A04"/>
    <w:rsid w:val="00641842"/>
    <w:rsid w:val="00651EEC"/>
    <w:rsid w:val="006541FA"/>
    <w:rsid w:val="00665D17"/>
    <w:rsid w:val="00691E8C"/>
    <w:rsid w:val="00697184"/>
    <w:rsid w:val="006A22C4"/>
    <w:rsid w:val="006A351B"/>
    <w:rsid w:val="006A4EC4"/>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D1B30"/>
    <w:rsid w:val="007F3657"/>
    <w:rsid w:val="007F5FBB"/>
    <w:rsid w:val="00812ED5"/>
    <w:rsid w:val="00814719"/>
    <w:rsid w:val="008204F3"/>
    <w:rsid w:val="008277D9"/>
    <w:rsid w:val="0084478C"/>
    <w:rsid w:val="00846033"/>
    <w:rsid w:val="008466F2"/>
    <w:rsid w:val="0086638C"/>
    <w:rsid w:val="00874319"/>
    <w:rsid w:val="008A3E8D"/>
    <w:rsid w:val="00906786"/>
    <w:rsid w:val="009237C4"/>
    <w:rsid w:val="00924DAD"/>
    <w:rsid w:val="00944C48"/>
    <w:rsid w:val="00950252"/>
    <w:rsid w:val="00967F5D"/>
    <w:rsid w:val="00977331"/>
    <w:rsid w:val="0099051A"/>
    <w:rsid w:val="00995F60"/>
    <w:rsid w:val="00997D7A"/>
    <w:rsid w:val="009A0F95"/>
    <w:rsid w:val="009B3ADF"/>
    <w:rsid w:val="009B70E8"/>
    <w:rsid w:val="009C3B52"/>
    <w:rsid w:val="009D09F6"/>
    <w:rsid w:val="009D2977"/>
    <w:rsid w:val="009E6817"/>
    <w:rsid w:val="009E6E9A"/>
    <w:rsid w:val="009F7712"/>
    <w:rsid w:val="00A01D2B"/>
    <w:rsid w:val="00A31659"/>
    <w:rsid w:val="00A41560"/>
    <w:rsid w:val="00A42218"/>
    <w:rsid w:val="00A474B1"/>
    <w:rsid w:val="00A70249"/>
    <w:rsid w:val="00A70B02"/>
    <w:rsid w:val="00A71D9F"/>
    <w:rsid w:val="00A92E9F"/>
    <w:rsid w:val="00AC20EB"/>
    <w:rsid w:val="00B02551"/>
    <w:rsid w:val="00B0699B"/>
    <w:rsid w:val="00B33BEA"/>
    <w:rsid w:val="00B36887"/>
    <w:rsid w:val="00B4541E"/>
    <w:rsid w:val="00B57C9F"/>
    <w:rsid w:val="00B63572"/>
    <w:rsid w:val="00B845B3"/>
    <w:rsid w:val="00B85D8B"/>
    <w:rsid w:val="00BB4A40"/>
    <w:rsid w:val="00BC1D3D"/>
    <w:rsid w:val="00BC53D3"/>
    <w:rsid w:val="00BD6C3E"/>
    <w:rsid w:val="00BE31F5"/>
    <w:rsid w:val="00BE3674"/>
    <w:rsid w:val="00BF5FA4"/>
    <w:rsid w:val="00C10681"/>
    <w:rsid w:val="00C3049A"/>
    <w:rsid w:val="00C31B1E"/>
    <w:rsid w:val="00C3224D"/>
    <w:rsid w:val="00C77645"/>
    <w:rsid w:val="00C8204B"/>
    <w:rsid w:val="00C8358A"/>
    <w:rsid w:val="00CA18E1"/>
    <w:rsid w:val="00CA4EAC"/>
    <w:rsid w:val="00CC61BD"/>
    <w:rsid w:val="00CD0482"/>
    <w:rsid w:val="00CE04C3"/>
    <w:rsid w:val="00CE1889"/>
    <w:rsid w:val="00CE76A0"/>
    <w:rsid w:val="00D148C6"/>
    <w:rsid w:val="00D15B31"/>
    <w:rsid w:val="00D17A8A"/>
    <w:rsid w:val="00D34B9C"/>
    <w:rsid w:val="00D415BA"/>
    <w:rsid w:val="00D4194D"/>
    <w:rsid w:val="00D43D40"/>
    <w:rsid w:val="00D5679D"/>
    <w:rsid w:val="00D644EE"/>
    <w:rsid w:val="00DD06FF"/>
    <w:rsid w:val="00DD5FE9"/>
    <w:rsid w:val="00DE7134"/>
    <w:rsid w:val="00E00C7A"/>
    <w:rsid w:val="00E24E0E"/>
    <w:rsid w:val="00E37D6C"/>
    <w:rsid w:val="00E55B68"/>
    <w:rsid w:val="00E67BE6"/>
    <w:rsid w:val="00E7327D"/>
    <w:rsid w:val="00E76E01"/>
    <w:rsid w:val="00E8683C"/>
    <w:rsid w:val="00EA2B72"/>
    <w:rsid w:val="00EB088B"/>
    <w:rsid w:val="00EB6C0C"/>
    <w:rsid w:val="00EF176B"/>
    <w:rsid w:val="00F25650"/>
    <w:rsid w:val="00F643AA"/>
    <w:rsid w:val="00F70DDE"/>
    <w:rsid w:val="00F74360"/>
    <w:rsid w:val="00FB462F"/>
    <w:rsid w:val="00FC7E48"/>
    <w:rsid w:val="00FD02A2"/>
    <w:rsid w:val="00FE16FA"/>
    <w:rsid w:val="00FE328A"/>
    <w:rsid w:val="00FE6269"/>
    <w:rsid w:val="019672BC"/>
    <w:rsid w:val="01B97F5E"/>
    <w:rsid w:val="0273010D"/>
    <w:rsid w:val="027A149C"/>
    <w:rsid w:val="02DC5CB3"/>
    <w:rsid w:val="030C5A58"/>
    <w:rsid w:val="0317318F"/>
    <w:rsid w:val="03200295"/>
    <w:rsid w:val="032322B7"/>
    <w:rsid w:val="03411FB9"/>
    <w:rsid w:val="039609ED"/>
    <w:rsid w:val="03B94246"/>
    <w:rsid w:val="03BF6CEB"/>
    <w:rsid w:val="03C5535A"/>
    <w:rsid w:val="03E868D9"/>
    <w:rsid w:val="05360D89"/>
    <w:rsid w:val="0591194B"/>
    <w:rsid w:val="06654211"/>
    <w:rsid w:val="06A80874"/>
    <w:rsid w:val="07026A9C"/>
    <w:rsid w:val="071A149F"/>
    <w:rsid w:val="07565E9A"/>
    <w:rsid w:val="077A1F3E"/>
    <w:rsid w:val="08856DEC"/>
    <w:rsid w:val="09702708"/>
    <w:rsid w:val="0A941589"/>
    <w:rsid w:val="0AC77248"/>
    <w:rsid w:val="0AF337C6"/>
    <w:rsid w:val="0B5F1B77"/>
    <w:rsid w:val="0BAA1044"/>
    <w:rsid w:val="0BB2614A"/>
    <w:rsid w:val="0C050A5A"/>
    <w:rsid w:val="0C1666D9"/>
    <w:rsid w:val="0C782EF0"/>
    <w:rsid w:val="0D333A50"/>
    <w:rsid w:val="0D3B0F36"/>
    <w:rsid w:val="0D7613D0"/>
    <w:rsid w:val="0E082052"/>
    <w:rsid w:val="0E15476E"/>
    <w:rsid w:val="0E4D292A"/>
    <w:rsid w:val="0EA63619"/>
    <w:rsid w:val="0EC248F6"/>
    <w:rsid w:val="0F386966"/>
    <w:rsid w:val="0F957915"/>
    <w:rsid w:val="0FE16FFE"/>
    <w:rsid w:val="100F5919"/>
    <w:rsid w:val="10DE6156"/>
    <w:rsid w:val="119F4A7B"/>
    <w:rsid w:val="11BE2A3F"/>
    <w:rsid w:val="11C91AF8"/>
    <w:rsid w:val="11D02E86"/>
    <w:rsid w:val="11E14EEE"/>
    <w:rsid w:val="12081A1C"/>
    <w:rsid w:val="12161ADA"/>
    <w:rsid w:val="129369C7"/>
    <w:rsid w:val="12A165D1"/>
    <w:rsid w:val="12B409FA"/>
    <w:rsid w:val="12D90460"/>
    <w:rsid w:val="12F47048"/>
    <w:rsid w:val="130C4392"/>
    <w:rsid w:val="131D034D"/>
    <w:rsid w:val="134D4D81"/>
    <w:rsid w:val="138A175B"/>
    <w:rsid w:val="138A3509"/>
    <w:rsid w:val="13BF31B2"/>
    <w:rsid w:val="13E26419"/>
    <w:rsid w:val="141453A9"/>
    <w:rsid w:val="14982FB4"/>
    <w:rsid w:val="14985E63"/>
    <w:rsid w:val="14CD5DA3"/>
    <w:rsid w:val="15382B75"/>
    <w:rsid w:val="1547312A"/>
    <w:rsid w:val="1557566D"/>
    <w:rsid w:val="1560584C"/>
    <w:rsid w:val="15B56F80"/>
    <w:rsid w:val="15F86E50"/>
    <w:rsid w:val="160550C9"/>
    <w:rsid w:val="16391778"/>
    <w:rsid w:val="16A56F42"/>
    <w:rsid w:val="16BA2489"/>
    <w:rsid w:val="16C52518"/>
    <w:rsid w:val="16CD208A"/>
    <w:rsid w:val="16D50F3F"/>
    <w:rsid w:val="16E8367D"/>
    <w:rsid w:val="17076D19"/>
    <w:rsid w:val="171E3715"/>
    <w:rsid w:val="172F4AF3"/>
    <w:rsid w:val="1739327C"/>
    <w:rsid w:val="175E2CE2"/>
    <w:rsid w:val="1768590F"/>
    <w:rsid w:val="186B1B5B"/>
    <w:rsid w:val="187D363C"/>
    <w:rsid w:val="188848B2"/>
    <w:rsid w:val="18F57676"/>
    <w:rsid w:val="19161057"/>
    <w:rsid w:val="19882298"/>
    <w:rsid w:val="1AB26EDF"/>
    <w:rsid w:val="1B2D759B"/>
    <w:rsid w:val="1B8B42C2"/>
    <w:rsid w:val="1BF260EF"/>
    <w:rsid w:val="1C8C02F2"/>
    <w:rsid w:val="1D0B1216"/>
    <w:rsid w:val="1DBA1716"/>
    <w:rsid w:val="1E162569"/>
    <w:rsid w:val="1E396257"/>
    <w:rsid w:val="1E6A01BF"/>
    <w:rsid w:val="1F7A5407"/>
    <w:rsid w:val="1F883F5C"/>
    <w:rsid w:val="1FC87D11"/>
    <w:rsid w:val="1FF438D6"/>
    <w:rsid w:val="20140D2A"/>
    <w:rsid w:val="2014371F"/>
    <w:rsid w:val="204038CD"/>
    <w:rsid w:val="20605D1D"/>
    <w:rsid w:val="20A16929"/>
    <w:rsid w:val="20CF1842"/>
    <w:rsid w:val="20E93F65"/>
    <w:rsid w:val="20F075D0"/>
    <w:rsid w:val="21035A46"/>
    <w:rsid w:val="210A0B78"/>
    <w:rsid w:val="213266E1"/>
    <w:rsid w:val="216B2BCB"/>
    <w:rsid w:val="216D3F5C"/>
    <w:rsid w:val="219436D8"/>
    <w:rsid w:val="22A77C33"/>
    <w:rsid w:val="22B0792B"/>
    <w:rsid w:val="22B67E76"/>
    <w:rsid w:val="233314C7"/>
    <w:rsid w:val="234C4337"/>
    <w:rsid w:val="23D74548"/>
    <w:rsid w:val="23EA0E9C"/>
    <w:rsid w:val="23EE53EE"/>
    <w:rsid w:val="23F52C20"/>
    <w:rsid w:val="24156E1F"/>
    <w:rsid w:val="24596D0B"/>
    <w:rsid w:val="250208BF"/>
    <w:rsid w:val="2519196F"/>
    <w:rsid w:val="25452657"/>
    <w:rsid w:val="25496473"/>
    <w:rsid w:val="25C048C7"/>
    <w:rsid w:val="26487037"/>
    <w:rsid w:val="267F67D1"/>
    <w:rsid w:val="26F40F6D"/>
    <w:rsid w:val="26F7280B"/>
    <w:rsid w:val="26FC6074"/>
    <w:rsid w:val="27117D71"/>
    <w:rsid w:val="278542BB"/>
    <w:rsid w:val="281D3B54"/>
    <w:rsid w:val="284E65ED"/>
    <w:rsid w:val="291D5E12"/>
    <w:rsid w:val="294F6F78"/>
    <w:rsid w:val="297B5976"/>
    <w:rsid w:val="29806A9C"/>
    <w:rsid w:val="29C42123"/>
    <w:rsid w:val="29CF0DBC"/>
    <w:rsid w:val="29E26B8E"/>
    <w:rsid w:val="29EB5B89"/>
    <w:rsid w:val="2A6F54DA"/>
    <w:rsid w:val="2AB05C0B"/>
    <w:rsid w:val="2B27797B"/>
    <w:rsid w:val="2B452058"/>
    <w:rsid w:val="2BF37A45"/>
    <w:rsid w:val="2C7A5060"/>
    <w:rsid w:val="2CE61358"/>
    <w:rsid w:val="2CEE0760"/>
    <w:rsid w:val="2D1836C7"/>
    <w:rsid w:val="2D2A1950"/>
    <w:rsid w:val="2D480265"/>
    <w:rsid w:val="2D597D7C"/>
    <w:rsid w:val="2E271C28"/>
    <w:rsid w:val="2E7C01C6"/>
    <w:rsid w:val="2EC82A91"/>
    <w:rsid w:val="2F542EF1"/>
    <w:rsid w:val="2F603644"/>
    <w:rsid w:val="2F666780"/>
    <w:rsid w:val="2F77273B"/>
    <w:rsid w:val="2FF818BA"/>
    <w:rsid w:val="306C6018"/>
    <w:rsid w:val="30A21FEB"/>
    <w:rsid w:val="30BA0ABA"/>
    <w:rsid w:val="30CF4362"/>
    <w:rsid w:val="30F5600E"/>
    <w:rsid w:val="316D029A"/>
    <w:rsid w:val="318543DA"/>
    <w:rsid w:val="318C280E"/>
    <w:rsid w:val="31E63BA8"/>
    <w:rsid w:val="32063AE7"/>
    <w:rsid w:val="32947886"/>
    <w:rsid w:val="32B141B6"/>
    <w:rsid w:val="32CC52A7"/>
    <w:rsid w:val="32CE77C6"/>
    <w:rsid w:val="32FB0073"/>
    <w:rsid w:val="33380881"/>
    <w:rsid w:val="33492641"/>
    <w:rsid w:val="3381627F"/>
    <w:rsid w:val="33890C8F"/>
    <w:rsid w:val="33CB1BCD"/>
    <w:rsid w:val="34C76E8F"/>
    <w:rsid w:val="350B22A4"/>
    <w:rsid w:val="353F5AA9"/>
    <w:rsid w:val="3578720D"/>
    <w:rsid w:val="357A0BDB"/>
    <w:rsid w:val="358A6F34"/>
    <w:rsid w:val="358F201D"/>
    <w:rsid w:val="36083789"/>
    <w:rsid w:val="3679323D"/>
    <w:rsid w:val="36B96E85"/>
    <w:rsid w:val="36BB3856"/>
    <w:rsid w:val="37210D7C"/>
    <w:rsid w:val="374C440A"/>
    <w:rsid w:val="37623753"/>
    <w:rsid w:val="3781611D"/>
    <w:rsid w:val="379F2F60"/>
    <w:rsid w:val="37A32D17"/>
    <w:rsid w:val="38066CCA"/>
    <w:rsid w:val="381F1BC2"/>
    <w:rsid w:val="38481310"/>
    <w:rsid w:val="3862042D"/>
    <w:rsid w:val="38BD5663"/>
    <w:rsid w:val="38C5276A"/>
    <w:rsid w:val="39390772"/>
    <w:rsid w:val="39497D77"/>
    <w:rsid w:val="395835DE"/>
    <w:rsid w:val="39CF0951"/>
    <w:rsid w:val="39FF1CAB"/>
    <w:rsid w:val="3A931BC7"/>
    <w:rsid w:val="3A9A6F69"/>
    <w:rsid w:val="3AE74C19"/>
    <w:rsid w:val="3AFE1F63"/>
    <w:rsid w:val="3B225C51"/>
    <w:rsid w:val="3B891758"/>
    <w:rsid w:val="3B895CD0"/>
    <w:rsid w:val="3C1C6B44"/>
    <w:rsid w:val="3C634F70"/>
    <w:rsid w:val="3D581DFE"/>
    <w:rsid w:val="3D5B369C"/>
    <w:rsid w:val="3DBF1E7D"/>
    <w:rsid w:val="3DDC1B5E"/>
    <w:rsid w:val="3E136294"/>
    <w:rsid w:val="3E5F3178"/>
    <w:rsid w:val="3E864749"/>
    <w:rsid w:val="3EA8244A"/>
    <w:rsid w:val="3EB77F3F"/>
    <w:rsid w:val="3EBB259E"/>
    <w:rsid w:val="3F255D10"/>
    <w:rsid w:val="3F310B59"/>
    <w:rsid w:val="3F397A0D"/>
    <w:rsid w:val="3F4168C2"/>
    <w:rsid w:val="3F626F64"/>
    <w:rsid w:val="3F8B10F7"/>
    <w:rsid w:val="3FBD063E"/>
    <w:rsid w:val="402469A1"/>
    <w:rsid w:val="40542FB3"/>
    <w:rsid w:val="406C497A"/>
    <w:rsid w:val="407D1B7C"/>
    <w:rsid w:val="40E14CDD"/>
    <w:rsid w:val="40FE4A6B"/>
    <w:rsid w:val="41000887"/>
    <w:rsid w:val="410A340F"/>
    <w:rsid w:val="41B072D7"/>
    <w:rsid w:val="420330C6"/>
    <w:rsid w:val="4215030D"/>
    <w:rsid w:val="42AF5D6E"/>
    <w:rsid w:val="43617533"/>
    <w:rsid w:val="439E42E3"/>
    <w:rsid w:val="43CF26EE"/>
    <w:rsid w:val="44733D16"/>
    <w:rsid w:val="447C2876"/>
    <w:rsid w:val="447D039C"/>
    <w:rsid w:val="44E421C9"/>
    <w:rsid w:val="44E54CEA"/>
    <w:rsid w:val="44E64193"/>
    <w:rsid w:val="44E919BB"/>
    <w:rsid w:val="44E96829"/>
    <w:rsid w:val="45375CA5"/>
    <w:rsid w:val="459C2AA4"/>
    <w:rsid w:val="45F4468E"/>
    <w:rsid w:val="464078D3"/>
    <w:rsid w:val="468C2B19"/>
    <w:rsid w:val="46B67B95"/>
    <w:rsid w:val="474B2221"/>
    <w:rsid w:val="47655430"/>
    <w:rsid w:val="47CB141F"/>
    <w:rsid w:val="47CC58C3"/>
    <w:rsid w:val="48007F0A"/>
    <w:rsid w:val="482B15B0"/>
    <w:rsid w:val="48333FF5"/>
    <w:rsid w:val="48F347CA"/>
    <w:rsid w:val="4942492D"/>
    <w:rsid w:val="497E2BEC"/>
    <w:rsid w:val="49AB59AC"/>
    <w:rsid w:val="49CD147E"/>
    <w:rsid w:val="49E74A4F"/>
    <w:rsid w:val="49EB1754"/>
    <w:rsid w:val="4A730277"/>
    <w:rsid w:val="4ADD3943"/>
    <w:rsid w:val="4B5A0AC9"/>
    <w:rsid w:val="4B865D88"/>
    <w:rsid w:val="4C03387D"/>
    <w:rsid w:val="4C12586E"/>
    <w:rsid w:val="4C59524B"/>
    <w:rsid w:val="4C6D519A"/>
    <w:rsid w:val="4CB80E4F"/>
    <w:rsid w:val="4D4C78B3"/>
    <w:rsid w:val="4D722A68"/>
    <w:rsid w:val="4D8B033B"/>
    <w:rsid w:val="4D956757"/>
    <w:rsid w:val="4E622175"/>
    <w:rsid w:val="4F5F0DCA"/>
    <w:rsid w:val="4F710AFD"/>
    <w:rsid w:val="4F815C1D"/>
    <w:rsid w:val="4FE45773"/>
    <w:rsid w:val="505F4DFA"/>
    <w:rsid w:val="514E7348"/>
    <w:rsid w:val="516444DE"/>
    <w:rsid w:val="517625A1"/>
    <w:rsid w:val="51782617"/>
    <w:rsid w:val="51E43809"/>
    <w:rsid w:val="51E83B53"/>
    <w:rsid w:val="529D15DF"/>
    <w:rsid w:val="529E7E5B"/>
    <w:rsid w:val="53690469"/>
    <w:rsid w:val="53837051"/>
    <w:rsid w:val="53956A27"/>
    <w:rsid w:val="53DC50DF"/>
    <w:rsid w:val="541865A3"/>
    <w:rsid w:val="54534C76"/>
    <w:rsid w:val="54E104D3"/>
    <w:rsid w:val="555D2DA1"/>
    <w:rsid w:val="559D089E"/>
    <w:rsid w:val="55FC6467"/>
    <w:rsid w:val="56B738B8"/>
    <w:rsid w:val="56EA18C1"/>
    <w:rsid w:val="570C5CDB"/>
    <w:rsid w:val="577C0C71"/>
    <w:rsid w:val="583848AE"/>
    <w:rsid w:val="58396596"/>
    <w:rsid w:val="589907AF"/>
    <w:rsid w:val="58CA474B"/>
    <w:rsid w:val="58E654C7"/>
    <w:rsid w:val="59D40607"/>
    <w:rsid w:val="5A117165"/>
    <w:rsid w:val="5A7C7899"/>
    <w:rsid w:val="5A7D0C9E"/>
    <w:rsid w:val="5AB1340E"/>
    <w:rsid w:val="5BF31218"/>
    <w:rsid w:val="5CBF10FA"/>
    <w:rsid w:val="5CC21D87"/>
    <w:rsid w:val="5CC74453"/>
    <w:rsid w:val="5CCE3A33"/>
    <w:rsid w:val="5D0B04AC"/>
    <w:rsid w:val="5D5556D2"/>
    <w:rsid w:val="5D6172E5"/>
    <w:rsid w:val="5D8F6D1E"/>
    <w:rsid w:val="5E56783C"/>
    <w:rsid w:val="5E9B5B97"/>
    <w:rsid w:val="5EB73DD8"/>
    <w:rsid w:val="5F2008E0"/>
    <w:rsid w:val="5F864151"/>
    <w:rsid w:val="5FF47F0B"/>
    <w:rsid w:val="60681AA9"/>
    <w:rsid w:val="61072C1B"/>
    <w:rsid w:val="6109328C"/>
    <w:rsid w:val="61C471B3"/>
    <w:rsid w:val="61D9058B"/>
    <w:rsid w:val="61DF3FED"/>
    <w:rsid w:val="626B762E"/>
    <w:rsid w:val="63344891"/>
    <w:rsid w:val="634974F0"/>
    <w:rsid w:val="634E142A"/>
    <w:rsid w:val="63F024E1"/>
    <w:rsid w:val="63F7561D"/>
    <w:rsid w:val="64600C30"/>
    <w:rsid w:val="646F1658"/>
    <w:rsid w:val="64886700"/>
    <w:rsid w:val="64A05CB5"/>
    <w:rsid w:val="64AD0920"/>
    <w:rsid w:val="64B81251"/>
    <w:rsid w:val="64CA1DE6"/>
    <w:rsid w:val="64F25DE5"/>
    <w:rsid w:val="651D7306"/>
    <w:rsid w:val="651E6BDA"/>
    <w:rsid w:val="6544290D"/>
    <w:rsid w:val="65905D2A"/>
    <w:rsid w:val="65D06126"/>
    <w:rsid w:val="65EB11B2"/>
    <w:rsid w:val="66065FEC"/>
    <w:rsid w:val="66187ACD"/>
    <w:rsid w:val="667B0788"/>
    <w:rsid w:val="66811B16"/>
    <w:rsid w:val="66B41760"/>
    <w:rsid w:val="66C20165"/>
    <w:rsid w:val="67211A19"/>
    <w:rsid w:val="684D1CB0"/>
    <w:rsid w:val="68C06D53"/>
    <w:rsid w:val="69075638"/>
    <w:rsid w:val="69177A37"/>
    <w:rsid w:val="693B3C03"/>
    <w:rsid w:val="69482477"/>
    <w:rsid w:val="69886224"/>
    <w:rsid w:val="69CF4947"/>
    <w:rsid w:val="6A1A02B8"/>
    <w:rsid w:val="6A2418E0"/>
    <w:rsid w:val="6AAB7162"/>
    <w:rsid w:val="6ACD0E86"/>
    <w:rsid w:val="6B2147F3"/>
    <w:rsid w:val="6C152AE5"/>
    <w:rsid w:val="6C705F6D"/>
    <w:rsid w:val="6CCE577C"/>
    <w:rsid w:val="6CF05300"/>
    <w:rsid w:val="6D326C1C"/>
    <w:rsid w:val="6D415B5B"/>
    <w:rsid w:val="6D5835D1"/>
    <w:rsid w:val="6D5C4743"/>
    <w:rsid w:val="6E06782E"/>
    <w:rsid w:val="6E663ACB"/>
    <w:rsid w:val="6E6B5BED"/>
    <w:rsid w:val="6E8B6326"/>
    <w:rsid w:val="6EAE5472"/>
    <w:rsid w:val="6EE13A52"/>
    <w:rsid w:val="6EF07839"/>
    <w:rsid w:val="6F824C1B"/>
    <w:rsid w:val="6F911144"/>
    <w:rsid w:val="6F982D60"/>
    <w:rsid w:val="6FAB550E"/>
    <w:rsid w:val="703270A4"/>
    <w:rsid w:val="70757FF6"/>
    <w:rsid w:val="707F70C6"/>
    <w:rsid w:val="70912956"/>
    <w:rsid w:val="71063344"/>
    <w:rsid w:val="713A4D9B"/>
    <w:rsid w:val="71EA65B2"/>
    <w:rsid w:val="724F6810"/>
    <w:rsid w:val="72800ED4"/>
    <w:rsid w:val="72842772"/>
    <w:rsid w:val="732B52E4"/>
    <w:rsid w:val="738F5872"/>
    <w:rsid w:val="73C44DF0"/>
    <w:rsid w:val="73F80C04"/>
    <w:rsid w:val="74664581"/>
    <w:rsid w:val="747F1A52"/>
    <w:rsid w:val="74D96E04"/>
    <w:rsid w:val="75063912"/>
    <w:rsid w:val="75134281"/>
    <w:rsid w:val="7561323F"/>
    <w:rsid w:val="75CD2682"/>
    <w:rsid w:val="75DB4D9F"/>
    <w:rsid w:val="763B583E"/>
    <w:rsid w:val="764010A6"/>
    <w:rsid w:val="7671300D"/>
    <w:rsid w:val="76BE1FCB"/>
    <w:rsid w:val="76C756A1"/>
    <w:rsid w:val="76DB492B"/>
    <w:rsid w:val="76EB1A60"/>
    <w:rsid w:val="77000835"/>
    <w:rsid w:val="77976AA4"/>
    <w:rsid w:val="77A2172D"/>
    <w:rsid w:val="77A45665"/>
    <w:rsid w:val="78183DE9"/>
    <w:rsid w:val="783D6BF3"/>
    <w:rsid w:val="784853C9"/>
    <w:rsid w:val="784E37F0"/>
    <w:rsid w:val="78915BE9"/>
    <w:rsid w:val="79021DF7"/>
    <w:rsid w:val="797846B3"/>
    <w:rsid w:val="79967D3E"/>
    <w:rsid w:val="79D51B47"/>
    <w:rsid w:val="7A440A39"/>
    <w:rsid w:val="7A4A42A1"/>
    <w:rsid w:val="7A8377B3"/>
    <w:rsid w:val="7AA03EC1"/>
    <w:rsid w:val="7ABE59DD"/>
    <w:rsid w:val="7B3D6298"/>
    <w:rsid w:val="7B3E36DA"/>
    <w:rsid w:val="7B9B28DB"/>
    <w:rsid w:val="7BCB4BEA"/>
    <w:rsid w:val="7C1D372C"/>
    <w:rsid w:val="7C265313"/>
    <w:rsid w:val="7CB400F8"/>
    <w:rsid w:val="7CBB76D8"/>
    <w:rsid w:val="7D0A5F6A"/>
    <w:rsid w:val="7D0E5A5A"/>
    <w:rsid w:val="7DB3329C"/>
    <w:rsid w:val="7F160BF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99"/>
    <w:pPr>
      <w:snapToGrid w:val="0"/>
    </w:pPr>
    <w:rPr>
      <w:sz w:val="18"/>
      <w:szCs w:val="18"/>
    </w:rPr>
  </w:style>
  <w:style w:type="paragraph" w:styleId="3">
    <w:name w:val="Body Text First Indent 2"/>
    <w:basedOn w:val="4"/>
    <w:next w:val="1"/>
    <w:qFormat/>
    <w:uiPriority w:val="99"/>
    <w:pPr>
      <w:ind w:firstLine="420" w:firstLineChars="200"/>
    </w:pPr>
  </w:style>
  <w:style w:type="paragraph" w:styleId="4">
    <w:name w:val="Body Text Indent"/>
    <w:basedOn w:val="1"/>
    <w:next w:val="3"/>
    <w:qFormat/>
    <w:uiPriority w:val="99"/>
    <w:pPr>
      <w:widowControl/>
      <w:spacing w:after="120"/>
      <w:ind w:left="420" w:leftChars="200"/>
    </w:pPr>
    <w:rPr>
      <w:rFonts w:ascii="宋体" w:hAnsi="宋体" w:cs="宋体"/>
      <w:sz w:val="24"/>
      <w:szCs w:val="24"/>
    </w:rPr>
  </w:style>
  <w:style w:type="paragraph" w:styleId="5">
    <w:name w:val="Normal Indent"/>
    <w:basedOn w:val="1"/>
    <w:qFormat/>
    <w:uiPriority w:val="0"/>
    <w:pPr>
      <w:ind w:firstLine="200" w:firstLineChars="200"/>
    </w:pPr>
  </w:style>
  <w:style w:type="paragraph" w:styleId="6">
    <w:name w:val="Body Text"/>
    <w:basedOn w:val="1"/>
    <w:next w:val="7"/>
    <w:qFormat/>
    <w:uiPriority w:val="0"/>
    <w:pPr>
      <w:jc w:val="center"/>
    </w:pPr>
    <w:rPr>
      <w:rFonts w:hint="eastAsia" w:ascii="宋体" w:hAnsi="宋体"/>
      <w:b/>
      <w:kern w:val="0"/>
      <w:sz w:val="44"/>
      <w:szCs w:val="44"/>
    </w:rPr>
  </w:style>
  <w:style w:type="paragraph" w:styleId="7">
    <w:name w:val="toc 5"/>
    <w:basedOn w:val="1"/>
    <w:next w:val="1"/>
    <w:qFormat/>
    <w:locked/>
    <w:uiPriority w:val="0"/>
    <w:pPr>
      <w:ind w:left="1680" w:leftChars="800"/>
    </w:pPr>
    <w:rPr>
      <w:rFonts w:ascii="Times New Roman" w:hAnsi="Times New Roman"/>
    </w:rPr>
  </w:style>
  <w:style w:type="paragraph" w:styleId="8">
    <w:name w:val="Balloon Text"/>
    <w:basedOn w:val="1"/>
    <w:link w:val="15"/>
    <w:semiHidden/>
    <w:qFormat/>
    <w:uiPriority w:val="99"/>
    <w:rPr>
      <w:sz w:val="18"/>
      <w:szCs w:val="18"/>
    </w:rPr>
  </w:style>
  <w:style w:type="paragraph" w:styleId="9">
    <w:name w:val="footer"/>
    <w:basedOn w:val="1"/>
    <w:link w:val="16"/>
    <w:qFormat/>
    <w:uiPriority w:val="99"/>
    <w:pPr>
      <w:tabs>
        <w:tab w:val="center" w:pos="4153"/>
        <w:tab w:val="right" w:pos="8306"/>
      </w:tabs>
      <w:snapToGrid w:val="0"/>
      <w:jc w:val="left"/>
    </w:pPr>
    <w:rPr>
      <w:sz w:val="18"/>
      <w:szCs w:val="18"/>
    </w:rPr>
  </w:style>
  <w:style w:type="paragraph" w:styleId="10">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4">
    <w:name w:val="1.正文"/>
    <w:basedOn w:val="1"/>
    <w:qFormat/>
    <w:uiPriority w:val="0"/>
    <w:rPr>
      <w:rFonts w:ascii="??_GB2312" w:hAnsi="Times New Roman" w:cs="??_GB2312"/>
      <w:szCs w:val="21"/>
    </w:rPr>
  </w:style>
  <w:style w:type="character" w:customStyle="1" w:styleId="15">
    <w:name w:val="批注框文本 字符"/>
    <w:basedOn w:val="13"/>
    <w:link w:val="8"/>
    <w:semiHidden/>
    <w:qFormat/>
    <w:locked/>
    <w:uiPriority w:val="99"/>
    <w:rPr>
      <w:sz w:val="18"/>
      <w:szCs w:val="18"/>
    </w:rPr>
  </w:style>
  <w:style w:type="character" w:customStyle="1" w:styleId="16">
    <w:name w:val="页脚 字符"/>
    <w:basedOn w:val="13"/>
    <w:link w:val="9"/>
    <w:qFormat/>
    <w:locked/>
    <w:uiPriority w:val="99"/>
    <w:rPr>
      <w:sz w:val="18"/>
      <w:szCs w:val="18"/>
    </w:rPr>
  </w:style>
  <w:style w:type="character" w:customStyle="1" w:styleId="17">
    <w:name w:val="页眉 字符"/>
    <w:basedOn w:val="13"/>
    <w:link w:val="10"/>
    <w:qFormat/>
    <w:locked/>
    <w:uiPriority w:val="99"/>
    <w:rPr>
      <w:sz w:val="18"/>
      <w:szCs w:val="18"/>
    </w:rPr>
  </w:style>
  <w:style w:type="paragraph" w:customStyle="1" w:styleId="18">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9">
    <w:name w:val="List Paragraph"/>
    <w:basedOn w:val="1"/>
    <w:qFormat/>
    <w:uiPriority w:val="99"/>
    <w:pPr>
      <w:ind w:firstLine="420" w:firstLineChars="200"/>
    </w:pPr>
  </w:style>
  <w:style w:type="paragraph" w:customStyle="1" w:styleId="20">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2109</Words>
  <Characters>3145</Characters>
  <Lines>202</Lines>
  <Paragraphs>56</Paragraphs>
  <TotalTime>3</TotalTime>
  <ScaleCrop>false</ScaleCrop>
  <LinksUpToDate>false</LinksUpToDate>
  <CharactersWithSpaces>3185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冷寒冰</cp:lastModifiedBy>
  <cp:lastPrinted>2025-09-25T07:57:06Z</cp:lastPrinted>
  <dcterms:modified xsi:type="dcterms:W3CDTF">2025-09-25T09:37:31Z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2052-12.1.0.22529</vt:lpwstr>
  </property>
  <property fmtid="{D5CDD505-2E9C-101B-9397-08002B2CF9AE}" pid="4" name="ICV">
    <vt:lpwstr>02F9B3A434FA4207A6917F8A109D98FF_13</vt:lpwstr>
  </property>
  <property fmtid="{D5CDD505-2E9C-101B-9397-08002B2CF9AE}" pid="5" name="KSOTemplateDocerSaveRecord">
    <vt:lpwstr>eyJoZGlkIjoiMzBmOTE0YjcxMTEyYjc2Y2MzOGRiZWY1NzIwMWJhN2YiLCJ1c2VySWQiOiI5NTA2NTg0ODkifQ==</vt:lpwstr>
  </property>
</Properties>
</file>