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jc w:val="both"/>
        <w:rPr>
          <w:rFonts w:ascii="黑体" w:hAnsi="黑体" w:eastAsia="黑体" w:cs="黑体"/>
          <w:b/>
          <w:sz w:val="44"/>
          <w:szCs w:val="44"/>
          <w:lang w:eastAsia="zh-CN"/>
        </w:rPr>
      </w:pPr>
    </w:p>
    <w:p>
      <w:pPr>
        <w:widowControl/>
        <w:spacing w:line="300" w:lineRule="auto"/>
        <w:jc w:val="both"/>
        <w:rPr>
          <w:rFonts w:ascii="黑体" w:hAnsi="黑体" w:eastAsia="黑体" w:cs="黑体"/>
          <w:b/>
          <w:sz w:val="44"/>
          <w:szCs w:val="44"/>
          <w:lang w:eastAsia="zh-CN"/>
        </w:rPr>
      </w:pPr>
    </w:p>
    <w:p>
      <w:pPr>
        <w:widowControl/>
        <w:spacing w:line="300" w:lineRule="auto"/>
        <w:jc w:val="center"/>
        <w:rPr>
          <w:rFonts w:eastAsia="宋体"/>
          <w:lang w:eastAsia="zh-CN"/>
        </w:rPr>
        <w:sectPr>
          <w:headerReference r:id="rId3" w:type="default"/>
          <w:pgSz w:w="11910" w:h="16840"/>
          <w:pgMar w:top="1440" w:right="1080" w:bottom="1440" w:left="1080" w:header="720" w:footer="720" w:gutter="0"/>
          <w:cols w:space="720" w:num="1"/>
        </w:sectPr>
      </w:pPr>
      <w:r>
        <w:rPr>
          <w:rFonts w:hint="eastAsia" w:ascii="黑体" w:hAnsi="黑体" w:eastAsia="黑体" w:cs="黑体"/>
          <w:b/>
          <w:sz w:val="44"/>
          <w:szCs w:val="44"/>
          <w:lang w:eastAsia="zh-CN"/>
        </w:rPr>
        <w:t>2023年湘潭县青山桥镇人民政府部门决算</w:t>
      </w:r>
    </w:p>
    <w:p>
      <w:pPr>
        <w:widowControl/>
        <w:spacing w:line="300" w:lineRule="auto"/>
        <w:jc w:val="center"/>
        <w:rPr>
          <w:rFonts w:eastAsia="黑体"/>
          <w:b/>
          <w:sz w:val="32"/>
          <w:szCs w:val="32"/>
          <w:lang w:eastAsia="zh-CN"/>
        </w:rPr>
      </w:pPr>
      <w:r>
        <w:rPr>
          <w:rFonts w:eastAsia="黑体"/>
          <w:b/>
          <w:sz w:val="32"/>
          <w:szCs w:val="32"/>
          <w:lang w:eastAsia="zh-CN"/>
        </w:rPr>
        <w:t>目录</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第一部分 湘潭县青山桥镇人民政府部门概况</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第二部分 2023年部门决算表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一、部门收支</w:t>
      </w:r>
      <w:r>
        <w:rPr>
          <w:rFonts w:ascii="Times New Roman" w:hAnsi="Times New Roman" w:eastAsia="仿宋_GB2312" w:cs="Times New Roman"/>
          <w:sz w:val="32"/>
          <w:szCs w:val="32"/>
        </w:rPr>
        <w:t>决算总表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二、部门</w:t>
      </w:r>
      <w:r>
        <w:rPr>
          <w:rFonts w:ascii="Times New Roman" w:hAnsi="Times New Roman" w:eastAsia="仿宋_GB2312" w:cs="Times New Roman"/>
          <w:sz w:val="32"/>
          <w:szCs w:val="32"/>
        </w:rPr>
        <w:t>收入决算表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三、部门</w:t>
      </w:r>
      <w:r>
        <w:rPr>
          <w:rFonts w:ascii="Times New Roman" w:hAnsi="Times New Roman" w:eastAsia="仿宋_GB2312" w:cs="Times New Roman"/>
          <w:sz w:val="32"/>
          <w:szCs w:val="32"/>
        </w:rPr>
        <w:t>支出决算表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一般公共预算财政拨款支出决算表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一般公共预算财政拨款基本支出决算表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一般公共预算财政拨款“三公”经费支出决算表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w:t>
      </w:r>
      <w:r>
        <w:rPr>
          <w:rFonts w:ascii="Times New Roman" w:hAnsi="Times New Roman" w:eastAsia="仿宋_GB2312" w:cs="Times New Roman"/>
          <w:sz w:val="32"/>
          <w:szCs w:val="32"/>
        </w:rPr>
        <w:t>政府性基金预算财政拨款收入支出决算表</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第三部分 2023年度部门决算情况说明</w:t>
      </w:r>
    </w:p>
    <w:p>
      <w:pPr>
        <w:pStyle w:val="16"/>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收入支出决算总体情况说明</w:t>
      </w:r>
    </w:p>
    <w:p>
      <w:pPr>
        <w:spacing w:line="300" w:lineRule="auto"/>
        <w:ind w:firstLine="800" w:firstLineChars="250"/>
        <w:rPr>
          <w:rFonts w:eastAsia="仿宋_GB2312"/>
          <w:sz w:val="32"/>
          <w:szCs w:val="32"/>
          <w:lang w:eastAsia="zh-CN"/>
        </w:rPr>
      </w:pPr>
      <w:r>
        <w:rPr>
          <w:rFonts w:hint="eastAsia" w:eastAsia="仿宋_GB2312"/>
          <w:sz w:val="32"/>
          <w:szCs w:val="32"/>
          <w:lang w:eastAsia="zh-CN"/>
        </w:rPr>
        <w:t>二、</w:t>
      </w:r>
      <w:r>
        <w:rPr>
          <w:rFonts w:eastAsia="仿宋_GB2312"/>
          <w:sz w:val="32"/>
          <w:szCs w:val="32"/>
          <w:lang w:eastAsia="zh-CN"/>
        </w:rPr>
        <w:t>收入决算情况说明</w:t>
      </w:r>
    </w:p>
    <w:p>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三、</w:t>
      </w:r>
      <w:r>
        <w:rPr>
          <w:rFonts w:eastAsia="仿宋_GB2312"/>
          <w:color w:val="000000"/>
          <w:sz w:val="32"/>
          <w:szCs w:val="32"/>
          <w:lang w:eastAsia="zh-CN"/>
        </w:rPr>
        <w:t>支出决算情况说明</w:t>
      </w:r>
    </w:p>
    <w:p>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四、</w:t>
      </w:r>
      <w:r>
        <w:rPr>
          <w:rFonts w:eastAsia="仿宋_GB2312"/>
          <w:color w:val="000000"/>
          <w:sz w:val="32"/>
          <w:szCs w:val="32"/>
          <w:lang w:eastAsia="zh-CN"/>
        </w:rPr>
        <w:t>财政拨款收入支出决算总体情况说明</w:t>
      </w:r>
    </w:p>
    <w:p>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五、</w:t>
      </w:r>
      <w:r>
        <w:rPr>
          <w:rFonts w:eastAsia="仿宋_GB2312"/>
          <w:color w:val="000000"/>
          <w:sz w:val="32"/>
          <w:szCs w:val="32"/>
          <w:lang w:eastAsia="zh-CN"/>
        </w:rPr>
        <w:t>一般公共预算财政拨款支出决算情况说明</w:t>
      </w:r>
    </w:p>
    <w:p>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六、</w:t>
      </w:r>
      <w:r>
        <w:rPr>
          <w:rFonts w:eastAsia="仿宋_GB2312"/>
          <w:color w:val="000000"/>
          <w:sz w:val="32"/>
          <w:szCs w:val="32"/>
          <w:lang w:eastAsia="zh-CN"/>
        </w:rPr>
        <w:t>一般公共预算财政拨款基本支出决算情况说明</w:t>
      </w:r>
    </w:p>
    <w:p>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七、</w:t>
      </w:r>
      <w:r>
        <w:rPr>
          <w:rFonts w:eastAsia="仿宋_GB2312"/>
          <w:color w:val="000000"/>
          <w:sz w:val="32"/>
          <w:szCs w:val="32"/>
          <w:lang w:eastAsia="zh-CN"/>
        </w:rPr>
        <w:t>一般公共预算财政拨款三公经费支出决算情况说明</w:t>
      </w:r>
    </w:p>
    <w:p>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八、</w:t>
      </w:r>
      <w:r>
        <w:rPr>
          <w:rFonts w:eastAsia="仿宋_GB2312"/>
          <w:color w:val="000000"/>
          <w:sz w:val="32"/>
          <w:szCs w:val="32"/>
          <w:lang w:eastAsia="zh-CN"/>
        </w:rPr>
        <w:t>政府性基金预算收入支出决算情况</w:t>
      </w:r>
    </w:p>
    <w:p>
      <w:pPr>
        <w:autoSpaceDE w:val="0"/>
        <w:autoSpaceDN w:val="0"/>
        <w:adjustRightInd w:val="0"/>
        <w:spacing w:line="300" w:lineRule="auto"/>
        <w:ind w:firstLine="800" w:firstLineChars="250"/>
        <w:rPr>
          <w:rFonts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lang w:eastAsia="zh-CN"/>
        </w:rPr>
        <w:t>九、国有资本经营预算财政拨款支出决算情况</w:t>
      </w:r>
    </w:p>
    <w:p>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十、</w:t>
      </w:r>
      <w:r>
        <w:rPr>
          <w:rFonts w:eastAsia="仿宋_GB2312"/>
          <w:color w:val="000000"/>
          <w:sz w:val="32"/>
          <w:szCs w:val="32"/>
          <w:lang w:eastAsia="zh-CN"/>
        </w:rPr>
        <w:t>预算绩效情况说明</w:t>
      </w:r>
    </w:p>
    <w:p>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十一、</w:t>
      </w:r>
      <w:r>
        <w:rPr>
          <w:rFonts w:eastAsia="仿宋_GB2312"/>
          <w:color w:val="000000"/>
          <w:sz w:val="32"/>
          <w:szCs w:val="32"/>
          <w:lang w:eastAsia="zh-CN"/>
        </w:rPr>
        <w:t>其他重要事项情况说明</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第四部分 名词解释</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第五部分 附件</w:t>
      </w: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pStyle w:val="2"/>
        <w:ind w:firstLine="440"/>
        <w:rPr>
          <w:rFonts w:eastAsiaTheme="minorEastAsia"/>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pStyle w:val="2"/>
        <w:spacing w:line="300" w:lineRule="auto"/>
        <w:ind w:firstLine="440"/>
        <w:rPr>
          <w:lang w:eastAsia="zh-CN"/>
        </w:rPr>
      </w:pPr>
    </w:p>
    <w:p>
      <w:pPr>
        <w:widowControl/>
        <w:spacing w:line="300" w:lineRule="auto"/>
        <w:ind w:firstLine="642" w:firstLineChars="200"/>
        <w:rPr>
          <w:rFonts w:eastAsia="仿宋_GB2312"/>
          <w:b/>
          <w:bCs/>
          <w:sz w:val="32"/>
          <w:szCs w:val="32"/>
          <w:lang w:eastAsia="zh-CN"/>
        </w:rPr>
      </w:pPr>
    </w:p>
    <w:p>
      <w:pPr>
        <w:pStyle w:val="2"/>
        <w:spacing w:line="300" w:lineRule="auto"/>
        <w:ind w:firstLine="440"/>
        <w:rPr>
          <w:lang w:eastAsia="zh-CN"/>
        </w:rPr>
      </w:pPr>
    </w:p>
    <w:p>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第一部分 湘潭县青山桥镇人民政府部门概况</w:t>
      </w:r>
    </w:p>
    <w:p>
      <w:pPr>
        <w:spacing w:before="6" w:line="300" w:lineRule="auto"/>
        <w:rPr>
          <w:rFonts w:ascii="PMingLiU" w:hAnsi="PMingLiU" w:eastAsia="PMingLiU" w:cs="PMingLiU"/>
          <w:sz w:val="57"/>
          <w:szCs w:val="57"/>
          <w:lang w:eastAsia="zh-CN"/>
        </w:rPr>
      </w:pPr>
    </w:p>
    <w:p>
      <w:pPr>
        <w:pStyle w:val="6"/>
        <w:spacing w:before="0" w:line="300" w:lineRule="auto"/>
        <w:ind w:left="740" w:right="83"/>
        <w:rPr>
          <w:rFonts w:ascii="黑体" w:hAnsi="黑体" w:eastAsia="黑体" w:cs="Times New Roman"/>
          <w:bCs/>
          <w:lang w:eastAsia="zh-CN"/>
        </w:rPr>
      </w:pPr>
      <w:r>
        <w:rPr>
          <w:rFonts w:hint="eastAsia" w:ascii="黑体" w:hAnsi="黑体" w:eastAsia="黑体" w:cs="Times New Roman"/>
          <w:bCs/>
          <w:lang w:eastAsia="zh-CN"/>
        </w:rPr>
        <w:t>一、部门职责</w:t>
      </w:r>
    </w:p>
    <w:p>
      <w:pPr>
        <w:pStyle w:val="6"/>
        <w:spacing w:before="102" w:line="300" w:lineRule="auto"/>
        <w:ind w:left="740" w:right="83"/>
        <w:rPr>
          <w:rFonts w:ascii="仿宋" w:hAnsi="仿宋" w:eastAsia="仿宋" w:cs="仿宋"/>
          <w:color w:val="000007"/>
          <w:w w:val="99"/>
          <w:lang w:eastAsia="zh-CN"/>
        </w:rPr>
      </w:pPr>
      <w:r>
        <w:rPr>
          <w:rFonts w:hint="eastAsia" w:ascii="楷体_GB2312" w:hAnsi="宋体" w:eastAsia="楷体_GB2312" w:cs="Times New Roman"/>
          <w:b/>
          <w:bCs/>
          <w:lang w:eastAsia="zh-CN"/>
        </w:rPr>
        <w:t xml:space="preserve">（一）社会管理职能 </w:t>
      </w:r>
    </w:p>
    <w:p>
      <w:pPr>
        <w:pStyle w:val="6"/>
        <w:spacing w:before="102" w:line="300" w:lineRule="auto"/>
        <w:ind w:left="740" w:right="83"/>
        <w:rPr>
          <w:rFonts w:ascii="仿宋" w:hAnsi="仿宋" w:eastAsia="仿宋" w:cs="仿宋"/>
          <w:lang w:eastAsia="zh-CN"/>
        </w:rPr>
      </w:pPr>
      <w:r>
        <w:rPr>
          <w:rFonts w:hint="eastAsia" w:ascii="仿宋" w:hAnsi="仿宋" w:eastAsia="仿宋" w:cs="仿宋"/>
          <w:color w:val="000007"/>
          <w:lang w:eastAsia="zh-CN"/>
        </w:rPr>
        <w:t>乡镇政府是国家最基层的政权机关和最基本的独立行政单元，</w:t>
      </w:r>
    </w:p>
    <w:p>
      <w:pPr>
        <w:pStyle w:val="6"/>
        <w:spacing w:line="300" w:lineRule="auto"/>
        <w:ind w:right="426"/>
        <w:jc w:val="both"/>
        <w:rPr>
          <w:rFonts w:ascii="仿宋" w:hAnsi="仿宋" w:eastAsia="仿宋" w:cs="仿宋"/>
          <w:lang w:eastAsia="zh-CN"/>
        </w:rPr>
      </w:pPr>
      <w:r>
        <w:rPr>
          <w:rFonts w:hint="eastAsia" w:ascii="仿宋" w:hAnsi="仿宋" w:eastAsia="仿宋" w:cs="仿宋"/>
          <w:color w:val="000007"/>
          <w:w w:val="95"/>
          <w:lang w:eastAsia="zh-CN"/>
        </w:rPr>
        <w:t>具有执行国家意志的义务和保一方平安的责任。对乡村社会进行</w:t>
      </w:r>
      <w:r>
        <w:rPr>
          <w:rFonts w:hint="eastAsia" w:ascii="仿宋" w:hAnsi="仿宋" w:eastAsia="仿宋" w:cs="仿宋"/>
          <w:color w:val="000007"/>
          <w:lang w:eastAsia="zh-CN"/>
        </w:rPr>
        <w:t>管理，是政府的首要职能，包括：1.贯彻执行上级的各项方针政策，保障公民享有宪法规定的经济、政治和文化权利；2.加强</w:t>
      </w:r>
      <w:r>
        <w:fldChar w:fldCharType="begin"/>
      </w:r>
      <w:r>
        <w:instrText xml:space="preserve"> HYPERLINK "https://www.baidu.com/s?wd=%E7%BB%BC%E5%90%88%E6%B2%BB%E7%90%86&amp;amp;tn=SE_PcZhidaonwhc_ngpagmjz&amp;amp;rsv_dl=gh_pc_zhidao" \h </w:instrText>
      </w:r>
      <w:r>
        <w:fldChar w:fldCharType="separate"/>
      </w:r>
      <w:r>
        <w:rPr>
          <w:rFonts w:hint="eastAsia" w:ascii="仿宋" w:hAnsi="仿宋" w:eastAsia="仿宋" w:cs="仿宋"/>
          <w:color w:val="000007"/>
          <w:lang w:eastAsia="zh-CN"/>
        </w:rPr>
        <w:t>综</w:t>
      </w:r>
      <w:r>
        <w:rPr>
          <w:rFonts w:hint="eastAsia" w:ascii="仿宋" w:hAnsi="仿宋" w:eastAsia="仿宋" w:cs="仿宋"/>
          <w:color w:val="000007"/>
          <w:lang w:eastAsia="zh-CN"/>
        </w:rPr>
        <w:fldChar w:fldCharType="end"/>
      </w:r>
      <w:r>
        <w:rPr>
          <w:rFonts w:hint="eastAsia" w:ascii="仿宋" w:hAnsi="仿宋" w:eastAsia="仿宋" w:cs="仿宋"/>
          <w:color w:val="000007"/>
          <w:w w:val="95"/>
          <w:lang w:eastAsia="zh-CN"/>
        </w:rPr>
        <w:t>合治理，维护社会稳定，妥善处理突发性、</w:t>
      </w:r>
      <w:r>
        <w:fldChar w:fldCharType="begin"/>
      </w:r>
      <w:r>
        <w:instrText xml:space="preserve"> HYPERLINK "https://www.baidu.com/s?wd=%E7%BE%A4%E4%BD%93%E6%80%A7%E4%BA%8B%E4%BB%B6&amp;amp;tn=SE_PcZhidaonwhc_ngpagmjz&amp;amp;rsv_dl=gh_pc_zhidao" \h </w:instrText>
      </w:r>
      <w:r>
        <w:fldChar w:fldCharType="separate"/>
      </w:r>
      <w:r>
        <w:rPr>
          <w:rFonts w:hint="eastAsia" w:ascii="仿宋" w:hAnsi="仿宋" w:eastAsia="仿宋" w:cs="仿宋"/>
          <w:color w:val="000007"/>
          <w:w w:val="95"/>
          <w:lang w:eastAsia="zh-CN"/>
        </w:rPr>
        <w:t>群体性事件</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，调节和</w:t>
      </w:r>
      <w:r>
        <w:rPr>
          <w:rFonts w:hint="eastAsia" w:ascii="仿宋" w:hAnsi="仿宋" w:eastAsia="仿宋" w:cs="仿宋"/>
          <w:color w:val="000007"/>
          <w:lang w:eastAsia="zh-CN"/>
        </w:rPr>
        <w:t>处理好各种利益矛盾和纠纷；3.根据乡村社会的需要，组织制定</w:t>
      </w:r>
      <w:r>
        <w:rPr>
          <w:rFonts w:hint="eastAsia" w:ascii="仿宋" w:hAnsi="仿宋" w:eastAsia="仿宋" w:cs="仿宋"/>
          <w:color w:val="000007"/>
          <w:w w:val="95"/>
          <w:lang w:eastAsia="zh-CN"/>
        </w:rPr>
        <w:t>和推动落实经农民认可的</w:t>
      </w:r>
      <w:r>
        <w:fldChar w:fldCharType="begin"/>
      </w:r>
      <w:r>
        <w:instrText xml:space="preserve"> HYPERLINK "https://www.baidu.com/s?wd=%E4%B9%A1%E8%A7%84%E6%B0%91%E7%BA%A6&amp;amp;tn=SE_PcZhidaonwhc_ngpagmjz&amp;amp;rsv_dl=gh_pc_zhidao" \h </w:instrText>
      </w:r>
      <w:r>
        <w:fldChar w:fldCharType="separate"/>
      </w:r>
      <w:r>
        <w:rPr>
          <w:rFonts w:hint="eastAsia" w:ascii="仿宋" w:hAnsi="仿宋" w:eastAsia="仿宋" w:cs="仿宋"/>
          <w:color w:val="000007"/>
          <w:w w:val="95"/>
          <w:lang w:eastAsia="zh-CN"/>
        </w:rPr>
        <w:t>乡规民约</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，构建和谐的乡村社会等。乡镇政府履行社会管理职能，应逐步由“人治型”向“法治型”、</w:t>
      </w:r>
      <w:r>
        <w:rPr>
          <w:rFonts w:hint="eastAsia" w:ascii="仿宋" w:hAnsi="仿宋" w:eastAsia="仿宋" w:cs="仿宋"/>
          <w:color w:val="000007"/>
          <w:lang w:eastAsia="zh-CN"/>
        </w:rPr>
        <w:t>由“压力型”向“人性化”转变，体现以民为本的思想。</w:t>
      </w:r>
    </w:p>
    <w:p>
      <w:pPr>
        <w:pStyle w:val="6"/>
        <w:spacing w:line="300" w:lineRule="auto"/>
        <w:ind w:left="740" w:right="83"/>
        <w:rPr>
          <w:rFonts w:ascii="仿宋" w:hAnsi="仿宋" w:eastAsia="仿宋" w:cs="仿宋"/>
          <w:color w:val="000007"/>
          <w:w w:val="99"/>
          <w:lang w:eastAsia="zh-CN"/>
        </w:rPr>
      </w:pPr>
      <w:r>
        <w:rPr>
          <w:rFonts w:hint="eastAsia" w:ascii="楷体_GB2312" w:hAnsi="宋体" w:eastAsia="楷体_GB2312" w:cs="Times New Roman"/>
          <w:b/>
          <w:bCs/>
          <w:lang w:eastAsia="zh-CN"/>
        </w:rPr>
        <w:t>（二）发展经济职能</w:t>
      </w:r>
    </w:p>
    <w:p>
      <w:pPr>
        <w:pStyle w:val="6"/>
        <w:spacing w:line="300" w:lineRule="auto"/>
        <w:ind w:left="740" w:right="83"/>
        <w:rPr>
          <w:rFonts w:ascii="仿宋" w:hAnsi="仿宋" w:eastAsia="仿宋" w:cs="仿宋"/>
          <w:lang w:eastAsia="zh-CN"/>
        </w:rPr>
      </w:pPr>
      <w:r>
        <w:rPr>
          <w:rFonts w:hint="eastAsia" w:ascii="仿宋" w:hAnsi="仿宋" w:eastAsia="仿宋" w:cs="仿宋"/>
          <w:color w:val="000007"/>
          <w:lang w:eastAsia="zh-CN"/>
        </w:rPr>
        <w:t>发展农村经济是农民走向富裕、乡镇自身摆脱困境的唯一出</w:t>
      </w:r>
    </w:p>
    <w:p>
      <w:pPr>
        <w:pStyle w:val="6"/>
        <w:spacing w:line="300" w:lineRule="auto"/>
        <w:ind w:left="0" w:right="83"/>
        <w:rPr>
          <w:rFonts w:ascii="仿宋" w:hAnsi="仿宋" w:eastAsia="仿宋" w:cs="仿宋"/>
          <w:color w:val="000007"/>
          <w:w w:val="95"/>
          <w:lang w:eastAsia="zh-CN"/>
        </w:rPr>
      </w:pPr>
      <w:r>
        <w:rPr>
          <w:rFonts w:hint="eastAsia" w:ascii="仿宋" w:hAnsi="仿宋" w:eastAsia="仿宋" w:cs="仿宋"/>
          <w:color w:val="000007"/>
          <w:w w:val="95"/>
          <w:lang w:eastAsia="zh-CN"/>
        </w:rPr>
        <w:t>路。但是，乡镇政府参与经济应由强迫农民种这种那的“直接型”</w:t>
      </w:r>
      <w:r>
        <w:rPr>
          <w:rFonts w:hint="eastAsia" w:ascii="仿宋" w:hAnsi="仿宋" w:eastAsia="仿宋" w:cs="仿宋"/>
          <w:color w:val="000007"/>
          <w:lang w:eastAsia="zh-CN"/>
        </w:rPr>
        <w:t>转向提供各种“软服务”的“间接型”。包括：1.组织制定本乡镇产业发展规划，指导产业结构调整，形成地域产业特色；2.组织营造良好的投资环境，包括政策环境、硬件环境、社会环境，</w:t>
      </w:r>
      <w:r>
        <w:rPr>
          <w:rFonts w:hint="eastAsia" w:ascii="仿宋" w:hAnsi="仿宋" w:eastAsia="仿宋" w:cs="仿宋"/>
          <w:color w:val="000007"/>
          <w:w w:val="95"/>
          <w:lang w:eastAsia="zh-CN"/>
        </w:rPr>
        <w:t>加大招商引资力度；3.通过推动和引导农村经济合作组织的发展，指导农村生产，提高农村生产组织化程度；4.加强信息服务，密切本地农产品的市场衔接，促进</w:t>
      </w:r>
      <w:r>
        <w:fldChar w:fldCharType="begin"/>
      </w:r>
      <w:r>
        <w:instrText xml:space="preserve"> HYPERLINK "https://www.baidu.com/s?wd=%E5%86%9C%E4%B8%9A%E6%96%B0%E6%8A%80%E6%9C%AF&amp;amp;tn=SE_PcZhidaonwhc_ngpagmjz&amp;amp;rsv_dl=gh_pc_zhidao" \h </w:instrText>
      </w:r>
      <w:r>
        <w:fldChar w:fldCharType="separate"/>
      </w:r>
      <w:r>
        <w:rPr>
          <w:rFonts w:hint="eastAsia" w:ascii="仿宋" w:hAnsi="仿宋" w:eastAsia="仿宋" w:cs="仿宋"/>
          <w:color w:val="000007"/>
          <w:w w:val="95"/>
          <w:lang w:eastAsia="zh-CN"/>
        </w:rPr>
        <w:t>农业新技术</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的推广。公共服务职能普及义务教育，计划生育，积极发展农村卫生事业，繁荣农村文化，建立农村社会保障制度，加强社会公德建设，加强农民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建设等；2.抓好村委会班子建设，依法指导和帮助组织好乡村基层组织和社区自治，为落实公民在选举、决策、管理和监督等方 面的民主权利创造条件；3.抓好农村思想建设，加强农村思想政治工作和社会主义精神文明建设，倡导乡村社会文明新风；4.抓好民主集中制建设，敞开群众表达意愿的渠道，建立民主决策、科学决策的程序和机制。</w:t>
      </w:r>
    </w:p>
    <w:p>
      <w:pPr>
        <w:pStyle w:val="6"/>
        <w:spacing w:line="300" w:lineRule="auto"/>
        <w:ind w:right="83"/>
        <w:rPr>
          <w:rFonts w:ascii="仿宋" w:hAnsi="仿宋" w:eastAsia="仿宋" w:cs="仿宋"/>
          <w:color w:val="000007"/>
          <w:w w:val="95"/>
          <w:lang w:eastAsia="zh-CN"/>
        </w:rPr>
      </w:pPr>
      <w:r>
        <w:rPr>
          <w:rFonts w:hint="eastAsia" w:ascii="仿宋" w:hAnsi="仿宋" w:eastAsia="仿宋" w:cs="仿宋"/>
          <w:color w:val="000007"/>
          <w:w w:val="95"/>
          <w:lang w:eastAsia="zh-CN"/>
        </w:rPr>
        <w:t xml:space="preserve">    </w:t>
      </w:r>
      <w:r>
        <w:rPr>
          <w:rFonts w:hint="eastAsia" w:ascii="黑体" w:hAnsi="黑体" w:eastAsia="黑体" w:cs="Times New Roman"/>
          <w:bCs/>
          <w:lang w:eastAsia="zh-CN"/>
        </w:rPr>
        <w:t>二、机构设置及决算单位构成</w:t>
      </w:r>
    </w:p>
    <w:p>
      <w:pPr>
        <w:pStyle w:val="6"/>
        <w:spacing w:line="300" w:lineRule="auto"/>
        <w:ind w:right="83" w:firstLine="642"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（一）内设机构设置。</w:t>
      </w:r>
      <w:r>
        <w:rPr>
          <w:rFonts w:hint="eastAsia" w:ascii="仿宋" w:hAnsi="仿宋" w:eastAsia="仿宋" w:cs="仿宋"/>
          <w:color w:val="000007"/>
          <w:w w:val="95"/>
          <w:lang w:eastAsia="zh-CN"/>
        </w:rPr>
        <w:t>湘潭县青山桥镇人民政府内设机构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11个。其中社会事务办公室由民政所和卫生健康办公室两个单位构成，自然资源和生态环境办公室由城镇规划建设环保站、农村人居环境整治办公室两个单位构成，社会治安综合治理和应急管理办公室由社会治安综合治理办公室、安全生产监督管理、食品药品安全监管办公室、消防队四个单位构成，社会事务综合服务中心由交通安全管理站、文体广电站、林业站三个单位构成，农业综合服务中心由水利、农技、农机、畜牧、扶贫五个单位构成。</w:t>
      </w:r>
    </w:p>
    <w:p>
      <w:pPr>
        <w:pStyle w:val="6"/>
        <w:spacing w:line="300" w:lineRule="auto"/>
        <w:ind w:right="83" w:firstLine="642"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（二）决算单位构成。</w:t>
      </w:r>
      <w:r>
        <w:rPr>
          <w:rFonts w:hint="eastAsia" w:ascii="仿宋" w:hAnsi="仿宋" w:eastAsia="仿宋" w:cs="仿宋"/>
          <w:color w:val="000007"/>
          <w:w w:val="95"/>
          <w:lang w:eastAsia="zh-CN"/>
        </w:rPr>
        <w:t>湘潭县青山桥镇人民政府2023年部门决算汇总公开单位构成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pPr>
        <w:pStyle w:val="6"/>
        <w:spacing w:line="300" w:lineRule="auto"/>
        <w:ind w:left="0" w:right="83"/>
        <w:rPr>
          <w:rFonts w:ascii="仿宋" w:hAnsi="仿宋" w:eastAsia="仿宋" w:cs="仿宋"/>
          <w:color w:val="000007"/>
          <w:w w:val="95"/>
          <w:lang w:eastAsia="zh-CN"/>
        </w:rPr>
      </w:pPr>
    </w:p>
    <w:p>
      <w:pPr>
        <w:pStyle w:val="6"/>
        <w:spacing w:line="300" w:lineRule="auto"/>
        <w:ind w:right="83"/>
        <w:rPr>
          <w:rFonts w:ascii="仿宋" w:hAnsi="仿宋" w:eastAsia="仿宋" w:cs="仿宋"/>
          <w:lang w:eastAsia="zh-CN"/>
        </w:rPr>
      </w:pPr>
    </w:p>
    <w:p>
      <w:pPr>
        <w:pStyle w:val="6"/>
        <w:spacing w:line="300" w:lineRule="auto"/>
        <w:ind w:right="83"/>
        <w:rPr>
          <w:rFonts w:cs="PMingLiU" w:eastAsiaTheme="minorEastAsia"/>
          <w:sz w:val="20"/>
          <w:szCs w:val="20"/>
          <w:lang w:eastAsia="zh-CN"/>
        </w:rPr>
      </w:pPr>
      <w:r>
        <w:rPr>
          <w:rFonts w:hint="eastAsia" w:ascii="仿宋" w:hAnsi="仿宋" w:eastAsia="仿宋" w:cs="仿宋"/>
          <w:lang w:eastAsia="zh-CN"/>
        </w:rPr>
        <w:t xml:space="preserve"> </w:t>
      </w:r>
    </w:p>
    <w:p>
      <w:pPr>
        <w:pStyle w:val="2"/>
        <w:spacing w:line="300" w:lineRule="auto"/>
        <w:ind w:firstLine="400"/>
        <w:rPr>
          <w:rFonts w:ascii="PMingLiU" w:hAnsi="PMingLiU" w:cs="PMingLiU" w:eastAsiaTheme="minorEastAsia"/>
          <w:sz w:val="20"/>
          <w:szCs w:val="20"/>
          <w:lang w:eastAsia="zh-CN"/>
        </w:rPr>
      </w:pPr>
    </w:p>
    <w:p>
      <w:pPr>
        <w:pStyle w:val="3"/>
        <w:spacing w:line="300" w:lineRule="auto"/>
        <w:ind w:left="0" w:right="673"/>
        <w:rPr>
          <w:rFonts w:ascii="黑体" w:hAnsi="黑体" w:cs="黑体" w:eastAsiaTheme="minorEastAsia"/>
          <w:bCs/>
          <w:sz w:val="44"/>
          <w:szCs w:val="44"/>
          <w:lang w:eastAsia="zh-CN"/>
        </w:rPr>
      </w:pPr>
    </w:p>
    <w:p>
      <w:pPr>
        <w:pStyle w:val="3"/>
        <w:spacing w:line="300" w:lineRule="auto"/>
        <w:ind w:right="673"/>
        <w:jc w:val="center"/>
        <w:rPr>
          <w:rFonts w:ascii="黑体" w:hAnsi="黑体" w:eastAsia="黑体" w:cs="黑体"/>
          <w:bCs/>
          <w:sz w:val="44"/>
          <w:szCs w:val="44"/>
          <w:lang w:eastAsia="zh-CN"/>
        </w:rPr>
      </w:pPr>
    </w:p>
    <w:p>
      <w:pPr>
        <w:pStyle w:val="3"/>
        <w:spacing w:line="300" w:lineRule="auto"/>
        <w:ind w:right="673"/>
        <w:jc w:val="center"/>
        <w:rPr>
          <w:rFonts w:ascii="黑体" w:hAnsi="黑体" w:eastAsia="黑体" w:cs="黑体"/>
          <w:bCs/>
          <w:sz w:val="44"/>
          <w:szCs w:val="44"/>
          <w:lang w:eastAsia="zh-CN"/>
        </w:rPr>
      </w:pPr>
    </w:p>
    <w:p>
      <w:pPr>
        <w:pStyle w:val="3"/>
        <w:spacing w:line="300" w:lineRule="auto"/>
        <w:ind w:right="673"/>
        <w:jc w:val="center"/>
        <w:rPr>
          <w:rFonts w:ascii="黑体" w:hAnsi="黑体" w:eastAsia="黑体" w:cs="黑体"/>
          <w:bCs/>
          <w:sz w:val="44"/>
          <w:szCs w:val="44"/>
          <w:lang w:eastAsia="zh-CN"/>
        </w:rPr>
      </w:pPr>
    </w:p>
    <w:p>
      <w:pPr>
        <w:pStyle w:val="3"/>
        <w:spacing w:line="300" w:lineRule="auto"/>
        <w:ind w:right="673"/>
        <w:jc w:val="center"/>
        <w:rPr>
          <w:rFonts w:ascii="黑体" w:hAnsi="黑体" w:eastAsia="黑体" w:cs="黑体"/>
          <w:bCs/>
          <w:sz w:val="44"/>
          <w:szCs w:val="44"/>
          <w:lang w:eastAsia="zh-CN"/>
        </w:rPr>
      </w:pPr>
      <w:r>
        <w:rPr>
          <w:rFonts w:ascii="黑体" w:hAnsi="黑体" w:eastAsia="黑体" w:cs="黑体"/>
          <w:bCs/>
          <w:sz w:val="44"/>
          <w:szCs w:val="44"/>
          <w:lang w:eastAsia="zh-CN"/>
        </w:rPr>
        <w:t>第二部分</w:t>
      </w:r>
    </w:p>
    <w:p>
      <w:pPr>
        <w:spacing w:before="4" w:line="300" w:lineRule="auto"/>
        <w:rPr>
          <w:rFonts w:ascii="黑体" w:hAnsi="黑体" w:eastAsia="黑体" w:cs="黑体"/>
          <w:bCs/>
          <w:sz w:val="44"/>
          <w:szCs w:val="44"/>
          <w:lang w:eastAsia="zh-CN"/>
        </w:rPr>
      </w:pPr>
    </w:p>
    <w:p>
      <w:pPr>
        <w:spacing w:line="300" w:lineRule="auto"/>
        <w:ind w:left="672" w:right="673"/>
        <w:jc w:val="center"/>
        <w:rPr>
          <w:rFonts w:ascii="黑体" w:hAnsi="黑体" w:eastAsia="黑体" w:cs="黑体"/>
          <w:bCs/>
          <w:sz w:val="44"/>
          <w:szCs w:val="44"/>
          <w:lang w:eastAsia="zh-CN"/>
        </w:rPr>
      </w:pPr>
      <w:r>
        <w:rPr>
          <w:rFonts w:hint="eastAsia" w:ascii="黑体" w:hAnsi="黑体" w:eastAsia="黑体" w:cs="黑体"/>
          <w:bCs/>
          <w:sz w:val="44"/>
          <w:szCs w:val="44"/>
          <w:lang w:eastAsia="zh-CN"/>
        </w:rPr>
        <w:t>2023年</w:t>
      </w:r>
      <w:r>
        <w:rPr>
          <w:rFonts w:ascii="黑体" w:hAnsi="黑体" w:eastAsia="黑体" w:cs="黑体"/>
          <w:bCs/>
          <w:sz w:val="44"/>
          <w:szCs w:val="44"/>
          <w:lang w:eastAsia="zh-CN"/>
        </w:rPr>
        <w:t>部门决算表</w:t>
      </w:r>
    </w:p>
    <w:p>
      <w:pPr>
        <w:spacing w:line="300" w:lineRule="auto"/>
        <w:rPr>
          <w:rFonts w:ascii="PMingLiU" w:hAnsi="PMingLiU" w:cs="PMingLiU" w:eastAsiaTheme="minorEastAsia"/>
          <w:sz w:val="72"/>
          <w:szCs w:val="72"/>
          <w:lang w:eastAsia="zh-CN"/>
        </w:rPr>
        <w:sectPr>
          <w:footerReference r:id="rId4" w:type="default"/>
          <w:pgSz w:w="11910" w:h="16840"/>
          <w:pgMar w:top="1440" w:right="1080" w:bottom="1440" w:left="1080" w:header="0" w:footer="978" w:gutter="0"/>
          <w:cols w:space="720" w:num="1"/>
        </w:sectPr>
      </w:pPr>
    </w:p>
    <w:p>
      <w:pPr>
        <w:spacing w:line="300" w:lineRule="auto"/>
        <w:rPr>
          <w:rFonts w:ascii="PMingLiU" w:hAnsi="PMingLiU" w:cs="PMingLiU" w:eastAsiaTheme="minorEastAsia"/>
          <w:sz w:val="19"/>
          <w:szCs w:val="19"/>
          <w:lang w:eastAsia="zh-CN"/>
        </w:rPr>
        <w:sectPr>
          <w:footerReference r:id="rId5" w:type="default"/>
          <w:pgSz w:w="16840" w:h="11910" w:orient="landscape"/>
          <w:pgMar w:top="1440" w:right="1080" w:bottom="1440" w:left="1080" w:header="0" w:footer="978" w:gutter="0"/>
          <w:pgNumType w:start="8"/>
          <w:cols w:space="720" w:num="1"/>
        </w:sectPr>
      </w:pPr>
    </w:p>
    <w:p>
      <w:pPr>
        <w:spacing w:line="300" w:lineRule="auto"/>
        <w:jc w:val="center"/>
        <w:rPr>
          <w:rFonts w:ascii="黑体" w:hAnsi="黑体" w:eastAsia="黑体" w:cs="黑体"/>
          <w:sz w:val="36"/>
          <w:szCs w:val="32"/>
          <w:lang w:eastAsia="zh-CN"/>
        </w:rPr>
      </w:pPr>
      <w:r>
        <w:rPr>
          <w:rFonts w:hint="eastAsia" w:ascii="黑体" w:hAnsi="黑体" w:eastAsia="黑体" w:cs="黑体"/>
          <w:sz w:val="36"/>
          <w:szCs w:val="32"/>
          <w:lang w:eastAsia="zh-CN"/>
        </w:rPr>
        <w:t xml:space="preserve">                               部门收支决算总表</w:t>
      </w:r>
    </w:p>
    <w:p>
      <w:pPr>
        <w:spacing w:line="300" w:lineRule="auto"/>
        <w:rPr>
          <w:rFonts w:ascii="PMingLiU" w:hAnsi="PMingLiU" w:eastAsia="PMingLiU" w:cs="PMingLiU"/>
          <w:sz w:val="20"/>
          <w:szCs w:val="20"/>
          <w:lang w:eastAsia="zh-CN"/>
        </w:rPr>
      </w:pPr>
      <w:r>
        <w:rPr>
          <w:lang w:eastAsia="zh-CN"/>
        </w:rPr>
        <w:br w:type="column"/>
      </w:r>
    </w:p>
    <w:p>
      <w:pPr>
        <w:widowControl/>
        <w:spacing w:line="300" w:lineRule="auto"/>
        <w:ind w:right="220"/>
        <w:jc w:val="right"/>
        <w:rPr>
          <w:rFonts w:eastAsia="仿宋_GB2312"/>
          <w:color w:val="000000"/>
          <w:szCs w:val="21"/>
          <w:lang w:eastAsia="zh-CN"/>
        </w:rPr>
      </w:pPr>
      <w:r>
        <w:rPr>
          <w:rFonts w:hint="eastAsia" w:eastAsia="仿宋_GB2312"/>
          <w:color w:val="000000"/>
          <w:szCs w:val="21"/>
          <w:lang w:eastAsia="zh-CN"/>
        </w:rPr>
        <w:t>公开</w:t>
      </w:r>
      <w:r>
        <w:rPr>
          <w:rFonts w:eastAsia="仿宋_GB2312"/>
          <w:color w:val="000000"/>
          <w:szCs w:val="21"/>
          <w:lang w:eastAsia="zh-CN"/>
        </w:rPr>
        <w:t xml:space="preserve">  01 </w:t>
      </w:r>
      <w:r>
        <w:rPr>
          <w:rFonts w:hint="eastAsia" w:eastAsia="仿宋_GB2312"/>
          <w:color w:val="000000"/>
          <w:szCs w:val="21"/>
          <w:lang w:eastAsia="zh-CN"/>
        </w:rPr>
        <w:t>表</w:t>
      </w:r>
    </w:p>
    <w:p>
      <w:pPr>
        <w:widowControl/>
        <w:spacing w:line="300" w:lineRule="auto"/>
        <w:rPr>
          <w:rFonts w:ascii="Times New Roman" w:hAnsi="Times New Roman" w:eastAsia="Times New Roman" w:cs="Times New Roman"/>
          <w:sz w:val="20"/>
          <w:szCs w:val="20"/>
          <w:lang w:eastAsia="zh-CN"/>
        </w:rPr>
        <w:sectPr>
          <w:type w:val="continuous"/>
          <w:pgSz w:w="16840" w:h="11910" w:orient="landscape"/>
          <w:pgMar w:top="1440" w:right="1080" w:bottom="1440" w:left="1080" w:header="720" w:footer="720" w:gutter="0"/>
          <w:cols w:equalWidth="0" w:num="2">
            <w:col w:w="8511" w:space="40"/>
            <w:col w:w="6129"/>
          </w:cols>
        </w:sectPr>
      </w:pPr>
    </w:p>
    <w:p>
      <w:pPr>
        <w:widowControl/>
        <w:spacing w:line="300" w:lineRule="auto"/>
        <w:ind w:firstLine="220" w:firstLineChars="100"/>
        <w:rPr>
          <w:rFonts w:eastAsia="仿宋_GB2312"/>
          <w:color w:val="000000"/>
          <w:szCs w:val="21"/>
          <w:lang w:eastAsia="zh-CN"/>
        </w:rPr>
      </w:pPr>
      <w:r>
        <w:rPr>
          <w:rFonts w:hint="eastAsia" w:eastAsia="仿宋_GB2312"/>
          <w:color w:val="000000"/>
          <w:szCs w:val="21"/>
          <w:lang w:eastAsia="zh-CN"/>
        </w:rPr>
        <w:t>部门：湘潭县青山桥镇人民政府</w:t>
      </w:r>
      <w:r>
        <w:rPr>
          <w:rFonts w:eastAsia="仿宋_GB2312"/>
          <w:color w:val="000000"/>
          <w:szCs w:val="21"/>
          <w:lang w:eastAsia="zh-CN"/>
        </w:rPr>
        <w:tab/>
      </w:r>
      <w:r>
        <w:rPr>
          <w:rFonts w:hint="eastAsia" w:eastAsia="仿宋_GB2312"/>
          <w:color w:val="000000"/>
          <w:szCs w:val="21"/>
          <w:lang w:eastAsia="zh-CN"/>
        </w:rPr>
        <w:t xml:space="preserve">                                                                                                                                                                                                    单位：万元</w:t>
      </w:r>
    </w:p>
    <w:p>
      <w:pPr>
        <w:spacing w:line="300" w:lineRule="auto"/>
        <w:rPr>
          <w:rFonts w:ascii="PMingLiU" w:hAnsi="PMingLiU" w:eastAsia="PMingLiU" w:cs="PMingLiU"/>
          <w:sz w:val="2"/>
          <w:szCs w:val="2"/>
          <w:lang w:eastAsia="zh-CN"/>
        </w:rPr>
      </w:pPr>
    </w:p>
    <w:tbl>
      <w:tblPr>
        <w:tblStyle w:val="11"/>
        <w:tblW w:w="14466" w:type="dxa"/>
        <w:tblInd w:w="250" w:type="dxa"/>
        <w:tblLayout w:type="autofit"/>
        <w:tblCellMar>
          <w:top w:w="0" w:type="dxa"/>
          <w:left w:w="108" w:type="dxa"/>
          <w:bottom w:w="0" w:type="dxa"/>
          <w:right w:w="108" w:type="dxa"/>
        </w:tblCellMar>
      </w:tblPr>
      <w:tblGrid>
        <w:gridCol w:w="5649"/>
        <w:gridCol w:w="705"/>
        <w:gridCol w:w="1366"/>
        <w:gridCol w:w="4769"/>
        <w:gridCol w:w="672"/>
        <w:gridCol w:w="1305"/>
      </w:tblGrid>
      <w:tr>
        <w:tblPrEx>
          <w:tblCellMar>
            <w:top w:w="0" w:type="dxa"/>
            <w:left w:w="108" w:type="dxa"/>
            <w:bottom w:w="0" w:type="dxa"/>
            <w:right w:w="108" w:type="dxa"/>
          </w:tblCellMar>
        </w:tblPrEx>
        <w:trPr>
          <w:trHeight w:val="315" w:hRule="atLeast"/>
        </w:trPr>
        <w:tc>
          <w:tcPr>
            <w:tcW w:w="7720"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收入</w:t>
            </w:r>
          </w:p>
        </w:tc>
        <w:tc>
          <w:tcPr>
            <w:tcW w:w="6746" w:type="dxa"/>
            <w:gridSpan w:val="3"/>
            <w:tcBorders>
              <w:top w:val="single" w:color="000000" w:sz="4" w:space="0"/>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支出</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366"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项目(按功能分类)</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3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366"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2,536.65</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一、一般公共服务支出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32</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1,698.24</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二、外交支出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33</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三、国防支出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34</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3.72</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四、上级补助收入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四、公共安全支出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35</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49.34</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五、事业收入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五、教育支出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36</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六、经营收入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六、科学技术支出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37</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2.87</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七、文化旅游体育与传媒支出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38</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52.19</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八、其他收入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829.15</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八、社会保障和就业支出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39</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220.08</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9</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九、卫生健康支出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40</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111.51</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10</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十、节能环保支出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41</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11</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十一、城乡社区支出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42</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269.55</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12</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十二、农林水支出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43</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themeColor="text1"/>
                <w:lang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835.13</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13</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十三、交通运输支出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44</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14</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十四、资源勘探工业信息等支出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45</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15</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十五、商业服务业等支出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46</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16</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十六、金融支出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47</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17</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十七、援助其他地区支出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48</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18</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十八、自然资源海洋气象等支出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49</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19</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十九、住房保障支出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50</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104.15</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20</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二十、粮油物资储备支出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51</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21</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二十一、国有资本经营预算支出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52</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22</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二十二、灾害防治及应急管理支出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53</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19.00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23</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二十三、其他支出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54</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24</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二十四、债务还本支出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55</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25</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二十五、债务付息支出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56</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26</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二十六、抗疫特别国债安排的支出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57</w:t>
            </w:r>
          </w:p>
        </w:tc>
        <w:tc>
          <w:tcPr>
            <w:tcW w:w="13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本年收入合计</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27</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3,365.79</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本年支出合计</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130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themeColor="text1"/>
                <w:lang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3,365.79</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用事业基金弥补收支差额</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28</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结余分配</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年初结转和结余</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29</w:t>
            </w:r>
          </w:p>
        </w:tc>
        <w:tc>
          <w:tcPr>
            <w:tcW w:w="13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年末结转和结余</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30</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lang w:eastAsia="zh-CN"/>
              </w:rPr>
            </w:pP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8" w:space="0"/>
              <w:right w:val="single" w:color="000000" w:sz="4" w:space="0"/>
            </w:tcBorders>
            <w:shd w:val="clear" w:color="FFFFFF" w:fill="C0C0C0"/>
            <w:noWrap/>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705" w:type="dxa"/>
            <w:tcBorders>
              <w:top w:val="nil"/>
              <w:left w:val="nil"/>
              <w:bottom w:val="single" w:color="000000" w:sz="8"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31</w:t>
            </w:r>
          </w:p>
        </w:tc>
        <w:tc>
          <w:tcPr>
            <w:tcW w:w="1366" w:type="dxa"/>
            <w:tcBorders>
              <w:top w:val="nil"/>
              <w:left w:val="nil"/>
              <w:bottom w:val="single" w:color="000000" w:sz="8"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3,365.79</w:t>
            </w:r>
          </w:p>
        </w:tc>
        <w:tc>
          <w:tcPr>
            <w:tcW w:w="4769" w:type="dxa"/>
            <w:tcBorders>
              <w:top w:val="nil"/>
              <w:left w:val="nil"/>
              <w:bottom w:val="single" w:color="000000" w:sz="8" w:space="0"/>
              <w:right w:val="single" w:color="000000" w:sz="4" w:space="0"/>
            </w:tcBorders>
            <w:shd w:val="clear" w:color="FFFFFF" w:fill="C0C0C0"/>
            <w:noWrap/>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672" w:type="dxa"/>
            <w:tcBorders>
              <w:top w:val="nil"/>
              <w:left w:val="nil"/>
              <w:bottom w:val="single" w:color="000000" w:sz="8" w:space="0"/>
              <w:right w:val="single" w:color="000000" w:sz="4" w:space="0"/>
            </w:tcBorders>
            <w:shd w:val="clear" w:color="FFFFFF" w:fill="C0C0C0"/>
            <w:noWrap/>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130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3,365.79</w:t>
            </w:r>
          </w:p>
        </w:tc>
      </w:tr>
      <w:tr>
        <w:tblPrEx>
          <w:tblCellMar>
            <w:top w:w="0" w:type="dxa"/>
            <w:left w:w="108" w:type="dxa"/>
            <w:bottom w:w="0" w:type="dxa"/>
            <w:right w:w="108" w:type="dxa"/>
          </w:tblCellMar>
        </w:tblPrEx>
        <w:trPr>
          <w:trHeight w:val="315" w:hRule="atLeast"/>
        </w:trPr>
        <w:tc>
          <w:tcPr>
            <w:tcW w:w="7720" w:type="dxa"/>
            <w:gridSpan w:val="3"/>
            <w:tcBorders>
              <w:top w:val="nil"/>
              <w:left w:val="nil"/>
              <w:bottom w:val="nil"/>
              <w:right w:val="nil"/>
            </w:tcBorders>
            <w:shd w:val="clear" w:color="auto" w:fill="auto"/>
            <w:noWrap/>
            <w:vAlign w:val="center"/>
          </w:tcPr>
          <w:p>
            <w:pPr>
              <w:spacing w:line="300" w:lineRule="auto"/>
              <w:ind w:left="216"/>
              <w:rPr>
                <w:rFonts w:ascii="PMingLiU" w:hAnsi="PMingLiU" w:eastAsia="PMingLiU" w:cs="PMingLiU"/>
                <w:lang w:eastAsia="zh-CN"/>
              </w:rPr>
            </w:pPr>
            <w:r>
              <w:rPr>
                <w:rFonts w:ascii="PMingLiU" w:hAnsi="PMingLiU" w:eastAsia="PMingLiU" w:cs="PMingLiU"/>
                <w:lang w:eastAsia="zh-CN"/>
              </w:rPr>
              <w:t>注：本表反映部门本年度的总收支和年末结转结余情况。</w:t>
            </w:r>
          </w:p>
          <w:p>
            <w:pPr>
              <w:widowControl/>
              <w:spacing w:line="300" w:lineRule="auto"/>
              <w:rPr>
                <w:rFonts w:ascii="宋体" w:hAnsi="宋体" w:eastAsia="宋体" w:cs="Arial"/>
                <w:color w:val="000000"/>
                <w:lang w:eastAsia="zh-CN"/>
              </w:rPr>
            </w:pPr>
          </w:p>
        </w:tc>
        <w:tc>
          <w:tcPr>
            <w:tcW w:w="4769" w:type="dxa"/>
            <w:tcBorders>
              <w:top w:val="nil"/>
              <w:left w:val="nil"/>
              <w:bottom w:val="nil"/>
              <w:right w:val="nil"/>
            </w:tcBorders>
            <w:shd w:val="clear" w:color="auto" w:fill="auto"/>
            <w:noWrap/>
            <w:vAlign w:val="center"/>
          </w:tcPr>
          <w:p>
            <w:pPr>
              <w:widowControl/>
              <w:spacing w:line="300" w:lineRule="auto"/>
              <w:rPr>
                <w:rFonts w:ascii="宋体" w:hAnsi="宋体" w:eastAsia="宋体" w:cs="Arial"/>
                <w:color w:val="000000"/>
                <w:lang w:eastAsia="zh-CN"/>
              </w:rPr>
            </w:pPr>
          </w:p>
        </w:tc>
        <w:tc>
          <w:tcPr>
            <w:tcW w:w="672" w:type="dxa"/>
            <w:tcBorders>
              <w:top w:val="nil"/>
              <w:left w:val="nil"/>
              <w:bottom w:val="nil"/>
              <w:right w:val="nil"/>
            </w:tcBorders>
            <w:shd w:val="clear" w:color="auto" w:fill="auto"/>
            <w:noWrap/>
            <w:vAlign w:val="center"/>
          </w:tcPr>
          <w:p>
            <w:pPr>
              <w:widowControl/>
              <w:spacing w:line="300" w:lineRule="auto"/>
              <w:rPr>
                <w:rFonts w:ascii="Times New Roman" w:hAnsi="Times New Roman" w:eastAsia="Times New Roman" w:cs="Times New Roman"/>
                <w:sz w:val="20"/>
                <w:szCs w:val="20"/>
                <w:lang w:eastAsia="zh-CN"/>
              </w:rPr>
            </w:pPr>
          </w:p>
        </w:tc>
        <w:tc>
          <w:tcPr>
            <w:tcW w:w="1305" w:type="dxa"/>
            <w:tcBorders>
              <w:top w:val="nil"/>
              <w:left w:val="nil"/>
              <w:bottom w:val="nil"/>
              <w:right w:val="nil"/>
            </w:tcBorders>
            <w:shd w:val="clear" w:color="auto" w:fill="auto"/>
            <w:noWrap/>
            <w:vAlign w:val="center"/>
          </w:tcPr>
          <w:p>
            <w:pPr>
              <w:widowControl/>
              <w:spacing w:line="300" w:lineRule="auto"/>
              <w:rPr>
                <w:rFonts w:ascii="Times New Roman" w:hAnsi="Times New Roman" w:eastAsia="Times New Roman" w:cs="Times New Roman"/>
                <w:sz w:val="20"/>
                <w:szCs w:val="20"/>
                <w:lang w:eastAsia="zh-CN"/>
              </w:rPr>
            </w:pPr>
          </w:p>
        </w:tc>
      </w:tr>
    </w:tbl>
    <w:p>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cols w:space="720" w:num="1"/>
        </w:sectPr>
      </w:pPr>
    </w:p>
    <w:p>
      <w:pPr>
        <w:spacing w:line="300" w:lineRule="auto"/>
        <w:jc w:val="right"/>
        <w:rPr>
          <w:rFonts w:ascii="PMingLiU" w:hAnsi="PMingLiU" w:cs="PMingLiU" w:eastAsiaTheme="minorEastAsia"/>
          <w:w w:val="95"/>
          <w:sz w:val="20"/>
          <w:szCs w:val="20"/>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0" w:firstLineChars="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lang w:eastAsia="zh-CN"/>
        </w:rPr>
      </w:pPr>
    </w:p>
    <w:p>
      <w:pPr>
        <w:pStyle w:val="2"/>
        <w:spacing w:line="300" w:lineRule="auto"/>
        <w:ind w:firstLine="440"/>
        <w:rPr>
          <w:lang w:eastAsia="zh-CN"/>
        </w:rPr>
        <w:sectPr>
          <w:footerReference r:id="rId6" w:type="default"/>
          <w:type w:val="continuous"/>
          <w:pgSz w:w="16840" w:h="11910" w:orient="landscape"/>
          <w:pgMar w:top="1440" w:right="1080" w:bottom="1440" w:left="1080" w:header="720" w:footer="720" w:gutter="0"/>
          <w:cols w:equalWidth="0" w:num="3">
            <w:col w:w="3053" w:space="3708"/>
            <w:col w:w="1414" w:space="5109"/>
            <w:col w:w="1396"/>
          </w:cols>
        </w:sectPr>
      </w:pPr>
    </w:p>
    <w:p>
      <w:pPr>
        <w:spacing w:line="300" w:lineRule="auto"/>
        <w:rPr>
          <w:rFonts w:ascii="PMingLiU" w:hAnsi="PMingLiU" w:eastAsia="PMingLiU" w:cs="PMingLiU"/>
          <w:sz w:val="2"/>
          <w:szCs w:val="2"/>
          <w:lang w:eastAsia="zh-CN"/>
        </w:rPr>
      </w:pPr>
    </w:p>
    <w:tbl>
      <w:tblPr>
        <w:tblStyle w:val="11"/>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4616"/>
        <w:gridCol w:w="1282"/>
        <w:gridCol w:w="1308"/>
        <w:gridCol w:w="1266"/>
        <w:gridCol w:w="1267"/>
        <w:gridCol w:w="1267"/>
        <w:gridCol w:w="126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1"/>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tabs>
                <w:tab w:val="left" w:pos="6406"/>
              </w:tabs>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部门收入决算表</w:t>
            </w:r>
          </w:p>
          <w:p>
            <w:pPr>
              <w:pStyle w:val="2"/>
              <w:jc w:val="center"/>
              <w:rPr>
                <w:rFonts w:hint="eastAsia"/>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476"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4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44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435"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435"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435"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435"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442"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76"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44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4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42"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76"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44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4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42"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76"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44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4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3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42"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46"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46"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47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49"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9"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35"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35"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35"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35"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42"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6"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6"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7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3,365.79</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2,536.65</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829.15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48.24</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48.24</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660.15</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527.48</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6.08</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20.07</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296.53</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109.44</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2070109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群众文化</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52.19</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2130504</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2120303</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1,224.99</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1,224.99</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2040399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其他国家安全支出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49.34</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14.83</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256.55</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18.98</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2080999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其他退役安置支出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30.65</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22.38</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39.12</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63.31</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63.31</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9"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1476"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其他巩固拓展脱贫攻坚成果衔接乡村振兴支出</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38.23</w:t>
            </w:r>
          </w:p>
        </w:tc>
        <w:tc>
          <w:tcPr>
            <w:tcW w:w="44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38.23</w:t>
            </w:r>
          </w:p>
        </w:tc>
      </w:tr>
    </w:tbl>
    <w:p>
      <w:pPr>
        <w:spacing w:line="300" w:lineRule="auto"/>
        <w:ind w:left="213"/>
        <w:rPr>
          <w:rFonts w:ascii="PMingLiU" w:hAnsi="PMingLiU" w:eastAsia="PMingLiU" w:cs="PMingLiU"/>
          <w:lang w:eastAsia="zh-CN"/>
        </w:rPr>
      </w:pPr>
      <w:r>
        <w:rPr>
          <w:rFonts w:ascii="PMingLiU" w:hAnsi="PMingLiU" w:eastAsia="PMingLiU" w:cs="PMingLiU"/>
          <w:lang w:eastAsia="zh-CN"/>
        </w:rPr>
        <w:t>注：本表反映部门本年度取得的各项收入情况。</w:t>
      </w:r>
    </w:p>
    <w:p>
      <w:pPr>
        <w:spacing w:line="300" w:lineRule="auto"/>
        <w:rPr>
          <w:lang w:eastAsia="zh-CN"/>
        </w:rPr>
      </w:pPr>
    </w:p>
    <w:p>
      <w:pPr>
        <w:tabs>
          <w:tab w:val="left" w:pos="115"/>
        </w:tabs>
        <w:spacing w:line="300" w:lineRule="auto"/>
        <w:rPr>
          <w:rFonts w:eastAsia="宋体"/>
          <w:lang w:eastAsia="zh-CN"/>
        </w:rPr>
        <w:sectPr>
          <w:type w:val="continuous"/>
          <w:pgSz w:w="16840" w:h="11910" w:orient="landscape"/>
          <w:pgMar w:top="1440" w:right="1080" w:bottom="1440" w:left="1080" w:header="720" w:footer="720" w:gutter="0"/>
          <w:cols w:space="720" w:num="1"/>
        </w:sectPr>
      </w:pPr>
      <w:r>
        <w:rPr>
          <w:rFonts w:hint="eastAsia" w:eastAsia="宋体"/>
          <w:lang w:eastAsia="zh-CN"/>
        </w:rPr>
        <w:tab/>
      </w:r>
    </w:p>
    <w:tbl>
      <w:tblPr>
        <w:tblStyle w:val="1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4616"/>
        <w:gridCol w:w="1620"/>
        <w:gridCol w:w="1654"/>
        <w:gridCol w:w="1623"/>
        <w:gridCol w:w="1591"/>
        <w:gridCol w:w="1591"/>
        <w:gridCol w:w="16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5000" w:type="pct"/>
            <w:gridSpan w:val="10"/>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tabs>
                <w:tab w:val="left" w:pos="6583"/>
              </w:tabs>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部门支出决算表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408"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3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54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53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52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52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52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08"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53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4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3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08"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53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4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3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08"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53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4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3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39"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39"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40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9"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0"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30"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20"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20"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0"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39"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39"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140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3,365.79</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3,121.96</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243.83</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48.24</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48.24</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660.15</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527.48</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132.68</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6.08</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6.08</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20.07</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20.07</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296.53</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253.53</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2070109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群众文化</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52.19</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52.19</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2130504</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2120303</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1,224.99</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1,224.99</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2040399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其他国家安全支出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49.34</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49.34</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14.83</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14.83</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256.55</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256.55</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2080999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其他退役安置支出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30.65</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30.65</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22.38</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22.38</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39.12</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39.12</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63.31</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63.31</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140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其他巩固拓展脱贫攻坚成果衔接乡村振兴支出</w:t>
            </w:r>
          </w:p>
        </w:tc>
        <w:tc>
          <w:tcPr>
            <w:tcW w:w="53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38.23</w:t>
            </w:r>
          </w:p>
        </w:tc>
        <w:tc>
          <w:tcPr>
            <w:tcW w:w="54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38.23</w:t>
            </w:r>
          </w:p>
        </w:tc>
        <w:tc>
          <w:tcPr>
            <w:tcW w:w="53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pPr>
        <w:spacing w:line="300" w:lineRule="auto"/>
        <w:rPr>
          <w:rFonts w:ascii="PMingLiU" w:hAnsi="PMingLiU" w:cs="PMingLiU" w:eastAsiaTheme="minorEastAsia"/>
          <w:lang w:eastAsia="zh-CN"/>
        </w:rPr>
        <w:sectPr>
          <w:pgSz w:w="16840" w:h="11910" w:orient="landscape"/>
          <w:pgMar w:top="720" w:right="720" w:bottom="720" w:left="720" w:header="720" w:footer="720" w:gutter="0"/>
          <w:cols w:space="720" w:num="1"/>
          <w:docGrid w:linePitch="299" w:charSpace="0"/>
        </w:sectPr>
      </w:pPr>
      <w:r>
        <w:rPr>
          <w:rFonts w:ascii="PMingLiU" w:hAnsi="PMingLiU" w:eastAsia="PMingLiU" w:cs="PMingLiU"/>
          <w:lang w:eastAsia="zh-CN"/>
        </w:rPr>
        <w:t>注：本表反映部门本年度各项支出情况</w:t>
      </w:r>
    </w:p>
    <w:tbl>
      <w:tblPr>
        <w:tblStyle w:val="1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96"/>
        <w:gridCol w:w="464"/>
        <w:gridCol w:w="1446"/>
        <w:gridCol w:w="3931"/>
        <w:gridCol w:w="509"/>
        <w:gridCol w:w="1170"/>
        <w:gridCol w:w="1492"/>
        <w:gridCol w:w="1248"/>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7" w:hRule="atLeast"/>
        </w:trPr>
        <w:tc>
          <w:tcPr>
            <w:tcW w:w="5000" w:type="pct"/>
            <w:gridSpan w:val="9"/>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tabs>
                <w:tab w:val="left" w:pos="5773"/>
              </w:tabs>
              <w:jc w:val="center"/>
              <w:textAlignment w:val="center"/>
              <w:rPr>
                <w:rFonts w:hint="eastAsia"/>
                <w:lang w:val="en-US" w:eastAsia="zh-CN"/>
              </w:rPr>
            </w:pPr>
            <w:r>
              <w:rPr>
                <w:rFonts w:hint="eastAsia" w:ascii="宋体" w:hAnsi="宋体" w:eastAsia="宋体" w:cs="宋体"/>
                <w:b/>
                <w:bCs/>
                <w:i w:val="0"/>
                <w:iCs w:val="0"/>
                <w:color w:val="000000"/>
                <w:kern w:val="0"/>
                <w:sz w:val="24"/>
                <w:szCs w:val="24"/>
                <w:u w:val="none"/>
                <w:lang w:val="en-US" w:eastAsia="zh-CN" w:bidi="ar"/>
              </w:rPr>
              <w:t>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48" w:type="pct"/>
            <w:gridSpan w:val="3"/>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251" w:type="pct"/>
            <w:gridSpan w:val="6"/>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06"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6"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85"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32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1"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393" w:type="pct"/>
            <w:vMerge w:val="restar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01"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1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444"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106"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56"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8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32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71"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93" w:type="pct"/>
            <w:vMerge w:val="continue"/>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501"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1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44"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6" w:type="pct"/>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485"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1" w:type="pct"/>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i w:val="0"/>
                <w:iCs w:val="0"/>
                <w:color w:val="000000"/>
                <w:sz w:val="22"/>
                <w:szCs w:val="22"/>
                <w:u w:val="none"/>
              </w:rPr>
            </w:pPr>
          </w:p>
        </w:tc>
        <w:tc>
          <w:tcPr>
            <w:tcW w:w="393"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0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1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44"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2,536.65</w:t>
            </w: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1,473.25</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1,473.25</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150.31</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150.31</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89.13</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89.13</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29.98</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29.98</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664.22</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664.22</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center"/>
              <w:rPr>
                <w:rFonts w:hint="eastAsia" w:ascii="宋体" w:hAnsi="宋体" w:eastAsia="宋体" w:cs="宋体"/>
                <w:b/>
                <w:bCs/>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85"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2,536.65</w:t>
            </w: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2,536.65</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2,536.65</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0"/>
                <w:szCs w:val="20"/>
                <w:u w:val="none"/>
              </w:rPr>
            </w:pP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393"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0"/>
                <w:szCs w:val="20"/>
                <w:u w:val="none"/>
              </w:rPr>
            </w:pPr>
          </w:p>
        </w:tc>
        <w:tc>
          <w:tcPr>
            <w:tcW w:w="501"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0"/>
                <w:szCs w:val="20"/>
                <w:u w:val="none"/>
              </w:rPr>
            </w:pPr>
          </w:p>
        </w:tc>
        <w:tc>
          <w:tcPr>
            <w:tcW w:w="419"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0"/>
                <w:szCs w:val="20"/>
                <w:u w:val="none"/>
              </w:rPr>
            </w:pPr>
          </w:p>
        </w:tc>
        <w:tc>
          <w:tcPr>
            <w:tcW w:w="444"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0"/>
                <w:szCs w:val="20"/>
                <w:u w:val="none"/>
              </w:rPr>
            </w:pP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393"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0"/>
                <w:szCs w:val="20"/>
                <w:u w:val="none"/>
              </w:rPr>
            </w:pPr>
          </w:p>
        </w:tc>
        <w:tc>
          <w:tcPr>
            <w:tcW w:w="501"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0"/>
                <w:szCs w:val="20"/>
                <w:u w:val="none"/>
              </w:rPr>
            </w:pPr>
          </w:p>
        </w:tc>
        <w:tc>
          <w:tcPr>
            <w:tcW w:w="419"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0"/>
                <w:szCs w:val="20"/>
                <w:u w:val="none"/>
              </w:rPr>
            </w:pPr>
          </w:p>
        </w:tc>
        <w:tc>
          <w:tcPr>
            <w:tcW w:w="444"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393"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501"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419"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444"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0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6"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8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2,536.65</w:t>
            </w:r>
          </w:p>
        </w:tc>
        <w:tc>
          <w:tcPr>
            <w:tcW w:w="132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71"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39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2,536.65</w:t>
            </w:r>
          </w:p>
        </w:tc>
        <w:tc>
          <w:tcPr>
            <w:tcW w:w="501"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2,536.65</w:t>
            </w:r>
          </w:p>
        </w:tc>
        <w:tc>
          <w:tcPr>
            <w:tcW w:w="41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pPr>
        <w:spacing w:line="300" w:lineRule="auto"/>
        <w:ind w:left="213"/>
        <w:rPr>
          <w:rFonts w:ascii="PMingLiU" w:hAnsi="PMingLiU" w:eastAsia="PMingLiU" w:cs="PMingLiU"/>
          <w:lang w:eastAsia="zh-CN"/>
        </w:rPr>
      </w:pPr>
      <w:r>
        <w:rPr>
          <w:rFonts w:ascii="PMingLiU" w:hAnsi="PMingLiU" w:eastAsia="PMingLiU" w:cs="PMingLiU"/>
          <w:lang w:eastAsia="zh-CN"/>
        </w:rPr>
        <w:t>注：本表反映部门本年度一般公共预算财政拨款和政府性基金预算财政拨款的总收支和年末结转结余情况。</w:t>
      </w:r>
    </w:p>
    <w:p>
      <w:pPr>
        <w:spacing w:before="152" w:line="300" w:lineRule="auto"/>
        <w:rPr>
          <w:rFonts w:ascii="PMingLiU" w:hAnsi="PMingLiU" w:eastAsia="PMingLiU" w:cs="PMingLiU"/>
          <w:sz w:val="30"/>
          <w:szCs w:val="30"/>
          <w:lang w:eastAsia="zh-CN"/>
        </w:rPr>
      </w:pPr>
    </w:p>
    <w:p>
      <w:pPr>
        <w:spacing w:before="152" w:line="300" w:lineRule="auto"/>
        <w:rPr>
          <w:rFonts w:ascii="PMingLiU" w:hAnsi="PMingLiU" w:eastAsia="PMingLiU" w:cs="PMingLiU"/>
          <w:sz w:val="30"/>
          <w:szCs w:val="30"/>
          <w:lang w:eastAsia="zh-CN"/>
        </w:rPr>
      </w:pPr>
    </w:p>
    <w:p>
      <w:pPr>
        <w:pStyle w:val="2"/>
        <w:rPr>
          <w:rFonts w:ascii="PMingLiU" w:hAnsi="PMingLiU" w:eastAsia="PMingLiU" w:cs="PMingLiU"/>
          <w:sz w:val="30"/>
          <w:szCs w:val="30"/>
          <w:lang w:eastAsia="zh-CN"/>
        </w:rPr>
      </w:pPr>
    </w:p>
    <w:p>
      <w:pPr>
        <w:pStyle w:val="2"/>
        <w:rPr>
          <w:rFonts w:ascii="PMingLiU" w:hAnsi="PMingLiU" w:eastAsia="PMingLiU" w:cs="PMingLiU"/>
          <w:sz w:val="30"/>
          <w:szCs w:val="30"/>
          <w:lang w:eastAsia="zh-CN"/>
        </w:rPr>
      </w:pPr>
    </w:p>
    <w:p>
      <w:pPr>
        <w:pStyle w:val="2"/>
        <w:rPr>
          <w:rFonts w:ascii="PMingLiU" w:hAnsi="PMingLiU" w:eastAsia="PMingLiU" w:cs="PMingLiU"/>
          <w:sz w:val="30"/>
          <w:szCs w:val="30"/>
          <w:lang w:eastAsia="zh-CN"/>
        </w:rPr>
      </w:pPr>
    </w:p>
    <w:p>
      <w:pPr>
        <w:pStyle w:val="2"/>
        <w:rPr>
          <w:rFonts w:ascii="PMingLiU" w:hAnsi="PMingLiU" w:eastAsia="PMingLiU" w:cs="PMingLiU"/>
          <w:sz w:val="30"/>
          <w:szCs w:val="30"/>
          <w:lang w:eastAsia="zh-CN"/>
        </w:rPr>
      </w:pPr>
    </w:p>
    <w:p>
      <w:pPr>
        <w:pStyle w:val="2"/>
        <w:rPr>
          <w:rFonts w:ascii="PMingLiU" w:hAnsi="PMingLiU" w:eastAsia="PMingLiU" w:cs="PMingLiU"/>
          <w:sz w:val="30"/>
          <w:szCs w:val="30"/>
          <w:lang w:eastAsia="zh-CN"/>
        </w:rPr>
      </w:pPr>
    </w:p>
    <w:p>
      <w:pPr>
        <w:pStyle w:val="2"/>
        <w:rPr>
          <w:rFonts w:ascii="PMingLiU" w:hAnsi="PMingLiU" w:eastAsia="PMingLiU" w:cs="PMingLiU"/>
          <w:sz w:val="30"/>
          <w:szCs w:val="30"/>
          <w:lang w:eastAsia="zh-CN"/>
        </w:rPr>
      </w:pPr>
    </w:p>
    <w:p>
      <w:pPr>
        <w:spacing w:before="152" w:line="300" w:lineRule="auto"/>
        <w:rPr>
          <w:rFonts w:ascii="PMingLiU" w:hAnsi="PMingLiU" w:eastAsia="PMingLiU" w:cs="PMingLiU"/>
          <w:sz w:val="30"/>
          <w:szCs w:val="30"/>
          <w:lang w:eastAsia="zh-CN"/>
        </w:rPr>
      </w:pPr>
    </w:p>
    <w:p>
      <w:pPr>
        <w:spacing w:before="152" w:line="300" w:lineRule="auto"/>
        <w:rPr>
          <w:rFonts w:ascii="PMingLiU" w:hAnsi="PMingLiU" w:cs="PMingLiU" w:eastAsiaTheme="minorEastAsia"/>
          <w:w w:val="95"/>
          <w:sz w:val="20"/>
          <w:szCs w:val="20"/>
          <w:lang w:eastAsia="zh-CN"/>
        </w:rPr>
        <w:sectPr>
          <w:pgSz w:w="16840" w:h="11910" w:orient="landscape"/>
          <w:pgMar w:top="1440" w:right="1080" w:bottom="1440" w:left="1080" w:header="0" w:footer="978" w:gutter="0"/>
          <w:cols w:space="720" w:num="1"/>
        </w:sectPr>
      </w:pPr>
    </w:p>
    <w:p>
      <w:pPr>
        <w:tabs>
          <w:tab w:val="left" w:pos="13400"/>
        </w:tabs>
        <w:spacing w:line="300" w:lineRule="auto"/>
        <w:ind w:left="213"/>
        <w:rPr>
          <w:rFonts w:ascii="PMingLiU" w:hAnsi="PMingLiU" w:eastAsia="PMingLiU" w:cs="PMingLiU"/>
          <w:w w:val="95"/>
          <w:sz w:val="20"/>
          <w:szCs w:val="20"/>
          <w:lang w:eastAsia="zh-CN"/>
        </w:rPr>
      </w:pPr>
      <w:r>
        <w:rPr>
          <w:rFonts w:ascii="PMingLiU" w:hAnsi="PMingLiU" w:eastAsia="PMingLiU" w:cs="PMingLiU"/>
          <w:w w:val="95"/>
          <w:sz w:val="20"/>
          <w:szCs w:val="20"/>
          <w:lang w:eastAsia="zh-CN"/>
        </w:rPr>
        <w:tab/>
      </w:r>
    </w:p>
    <w:tbl>
      <w:tblPr>
        <w:tblStyle w:val="11"/>
        <w:tblW w:w="494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1"/>
        <w:gridCol w:w="411"/>
        <w:gridCol w:w="411"/>
        <w:gridCol w:w="3711"/>
        <w:gridCol w:w="503"/>
        <w:gridCol w:w="450"/>
        <w:gridCol w:w="483"/>
        <w:gridCol w:w="1150"/>
        <w:gridCol w:w="1133"/>
        <w:gridCol w:w="850"/>
        <w:gridCol w:w="1134"/>
        <w:gridCol w:w="1200"/>
        <w:gridCol w:w="916"/>
        <w:gridCol w:w="518"/>
        <w:gridCol w:w="500"/>
        <w:gridCol w:w="483"/>
        <w:gridCol w:w="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5000" w:type="pct"/>
            <w:gridSpan w:val="17"/>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一般公共预算财政拨款收入支出决算表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25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87" w:type="pct"/>
            <w:gridSpan w:val="3"/>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063" w:type="pct"/>
            <w:gridSpan w:val="3"/>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1103" w:type="pct"/>
            <w:gridSpan w:val="3"/>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667" w:type="pct"/>
            <w:gridSpan w:val="4"/>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25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7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2"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基本支出结转</w:t>
            </w:r>
          </w:p>
        </w:tc>
        <w:tc>
          <w:tcPr>
            <w:tcW w:w="163"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项目支出结转和结余</w:t>
            </w:r>
          </w:p>
        </w:tc>
        <w:tc>
          <w:tcPr>
            <w:tcW w:w="39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84"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88"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384"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07"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1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75"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基本支出结转</w:t>
            </w:r>
          </w:p>
        </w:tc>
        <w:tc>
          <w:tcPr>
            <w:tcW w:w="322" w:type="pct"/>
            <w:gridSpan w:val="2"/>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18" w:type="pct"/>
            <w:gridSpan w:val="3"/>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25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7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52"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63"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9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84"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288"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84"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07"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1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7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6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63"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w:t>
            </w:r>
          </w:p>
        </w:tc>
        <w:tc>
          <w:tcPr>
            <w:tcW w:w="158"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18" w:type="pct"/>
            <w:gridSpan w:val="3"/>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25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7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52"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63"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9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84"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288"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84"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07"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1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75"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6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63"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58"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3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3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259"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2"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3"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9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84"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8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84"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07"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1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75"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3"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3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3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259" w:type="pc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2,536.65</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2,468.49</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68.16</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2,536.65</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2,468.49</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68.16</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48.24</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48.24</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48.24</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48.24</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527.48</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527.48</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527.48</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527.48</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109.44</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109.44</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109.44</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109.44</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2130504</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2120303</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1,224.99</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1,224.99</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1,224.99</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1,224.99</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18.98</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18.98</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18.98</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18.98</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2240799</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8" w:type="pct"/>
            <w:gridSpan w:val="3"/>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25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17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63.31</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63.31</w:t>
            </w:r>
          </w:p>
        </w:tc>
        <w:tc>
          <w:tcPr>
            <w:tcW w:w="28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4"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63.31</w:t>
            </w:r>
          </w:p>
        </w:tc>
        <w:tc>
          <w:tcPr>
            <w:tcW w:w="40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63.31</w:t>
            </w:r>
          </w:p>
        </w:tc>
        <w:tc>
          <w:tcPr>
            <w:tcW w:w="310"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9"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8"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pPr>
        <w:tabs>
          <w:tab w:val="left" w:pos="13400"/>
        </w:tabs>
        <w:spacing w:line="300" w:lineRule="auto"/>
        <w:ind w:left="213"/>
        <w:rPr>
          <w:rFonts w:ascii="PMingLiU" w:hAnsi="PMingLiU" w:eastAsia="PMingLiU" w:cs="PMingLiU"/>
          <w:lang w:eastAsia="zh-CN"/>
        </w:rPr>
      </w:pPr>
      <w:r>
        <w:rPr>
          <w:rFonts w:ascii="PMingLiU" w:hAnsi="PMingLiU" w:eastAsia="PMingLiU" w:cs="PMingLiU"/>
          <w:lang w:eastAsia="zh-CN"/>
        </w:rPr>
        <w:t>注：本表反映部门本年度一般公共预算财政拨款支出情况。</w:t>
      </w:r>
    </w:p>
    <w:p>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cols w:space="720" w:num="1"/>
        </w:sectPr>
      </w:pPr>
    </w:p>
    <w:p>
      <w:pPr>
        <w:widowControl/>
        <w:spacing w:line="300" w:lineRule="auto"/>
        <w:jc w:val="center"/>
        <w:rPr>
          <w:rFonts w:ascii="PMingLiU" w:hAnsi="PMingLiU" w:cs="PMingLiU" w:eastAsiaTheme="minorEastAsia"/>
          <w:sz w:val="20"/>
          <w:szCs w:val="20"/>
          <w:lang w:eastAsia="zh-CN"/>
        </w:rPr>
      </w:pPr>
    </w:p>
    <w:p>
      <w:pPr>
        <w:spacing w:before="155" w:line="300" w:lineRule="auto"/>
        <w:ind w:right="19"/>
        <w:rPr>
          <w:rFonts w:ascii="PMingLiU" w:hAnsi="PMingLiU" w:cs="PMingLiU" w:eastAsiaTheme="minorEastAsia"/>
          <w:sz w:val="20"/>
          <w:szCs w:val="20"/>
          <w:lang w:eastAsia="zh-CN"/>
        </w:rPr>
      </w:pPr>
    </w:p>
    <w:p>
      <w:pPr>
        <w:widowControl/>
        <w:spacing w:line="300" w:lineRule="auto"/>
        <w:ind w:right="960"/>
        <w:rPr>
          <w:rFonts w:eastAsiaTheme="minorEastAsia"/>
          <w:lang w:eastAsia="zh-CN"/>
        </w:rPr>
        <w:sectPr>
          <w:type w:val="continuous"/>
          <w:pgSz w:w="16840" w:h="11910" w:orient="landscape"/>
          <w:pgMar w:top="1440" w:right="1080" w:bottom="1440" w:left="1080" w:header="720" w:footer="720" w:gutter="0"/>
          <w:cols w:equalWidth="0" w:num="3">
            <w:col w:w="3053" w:space="1761"/>
            <w:col w:w="5314" w:space="3463"/>
            <w:col w:w="1089"/>
          </w:cols>
        </w:sectPr>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1"/>
        <w:gridCol w:w="2773"/>
        <w:gridCol w:w="1660"/>
        <w:gridCol w:w="742"/>
        <w:gridCol w:w="2115"/>
        <w:gridCol w:w="1052"/>
        <w:gridCol w:w="742"/>
        <w:gridCol w:w="3873"/>
        <w:gridCol w:w="1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5000" w:type="pct"/>
            <w:gridSpan w:val="9"/>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一般公共预算财政拨款基本支出明细表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36" w:type="pct"/>
            <w:gridSpan w:val="3"/>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263" w:type="pct"/>
            <w:gridSpan w:val="6"/>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93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57"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24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70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3"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249"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300"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02" w:type="pct"/>
            <w:vMerge w:val="restart"/>
            <w:tcBorders>
              <w:top w:val="nil"/>
              <w:left w:val="nil"/>
              <w:bottom w:val="single" w:color="D4D4D4" w:sz="4" w:space="0"/>
              <w:right w:val="single" w:color="D4D4D4"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93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557"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24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70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353"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249"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1300"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c>
          <w:tcPr>
            <w:tcW w:w="402" w:type="pct"/>
            <w:vMerge w:val="continue"/>
            <w:tcBorders>
              <w:top w:val="nil"/>
              <w:left w:val="nil"/>
              <w:bottom w:val="single" w:color="D4D4D4" w:sz="4" w:space="0"/>
              <w:right w:val="single" w:color="D4D4D4" w:sz="4" w:space="0"/>
            </w:tcBorders>
            <w:shd w:val="clear" w:color="auto" w:fill="F1F1F1"/>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1,318.81</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553.02</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474.46</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42.07</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101.64</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8.33</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198.04</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59.94</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149.66</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131.01</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8.88</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88.11</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6.66</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104.15</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13.55</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596.66</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456.63</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107.41</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123.05</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12.78</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16.17</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113.08</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73.20</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30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930"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19.83</w:t>
            </w: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9"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300"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402"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248"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930"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557"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c>
          <w:tcPr>
            <w:tcW w:w="24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709" w:type="pct"/>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353"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125.20</w:t>
            </w:r>
          </w:p>
        </w:tc>
        <w:tc>
          <w:tcPr>
            <w:tcW w:w="249"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1300" w:type="pct"/>
            <w:tcBorders>
              <w:top w:val="nil"/>
              <w:left w:val="nil"/>
              <w:bottom w:val="single" w:color="D4D4D4" w:sz="4" w:space="0"/>
              <w:right w:val="single" w:color="D4D4D4" w:sz="4" w:space="0"/>
            </w:tcBorders>
            <w:shd w:val="clear" w:color="auto" w:fill="F1F1F1"/>
            <w:noWrap/>
            <w:vAlign w:val="center"/>
          </w:tcPr>
          <w:p>
            <w:pPr>
              <w:jc w:val="left"/>
              <w:rPr>
                <w:rFonts w:hint="eastAsia" w:ascii="宋体" w:hAnsi="宋体" w:eastAsia="宋体" w:cs="宋体"/>
                <w:i w:val="0"/>
                <w:iCs w:val="0"/>
                <w:color w:val="000000"/>
                <w:sz w:val="22"/>
                <w:szCs w:val="22"/>
                <w:u w:val="none"/>
              </w:rPr>
            </w:pPr>
          </w:p>
        </w:tc>
        <w:tc>
          <w:tcPr>
            <w:tcW w:w="402" w:type="pct"/>
            <w:tcBorders>
              <w:top w:val="nil"/>
              <w:left w:val="nil"/>
              <w:bottom w:val="single" w:color="D4D4D4" w:sz="4" w:space="0"/>
              <w:right w:val="single" w:color="D4D4D4" w:sz="4" w:space="0"/>
            </w:tcBorders>
            <w:shd w:val="clear" w:color="auto" w:fill="FFFFFF"/>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79" w:type="pct"/>
            <w:gridSpan w:val="2"/>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557"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1,915.46</w:t>
            </w:r>
          </w:p>
        </w:tc>
        <w:tc>
          <w:tcPr>
            <w:tcW w:w="2861" w:type="pct"/>
            <w:gridSpan w:val="5"/>
            <w:tcBorders>
              <w:top w:val="nil"/>
              <w:left w:val="nil"/>
              <w:bottom w:val="single" w:color="D4D4D4" w:sz="4" w:space="0"/>
              <w:right w:val="single" w:color="D4D4D4" w:sz="4" w:space="0"/>
            </w:tcBorders>
            <w:shd w:val="clear" w:color="auto" w:fill="F1F1F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402" w:type="pct"/>
            <w:tcBorders>
              <w:top w:val="nil"/>
              <w:left w:val="nil"/>
              <w:bottom w:val="single" w:color="D4D4D4" w:sz="4" w:space="0"/>
              <w:right w:val="single" w:color="D4D4D4"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553.02</w:t>
            </w:r>
          </w:p>
        </w:tc>
      </w:tr>
    </w:tbl>
    <w:p>
      <w:pPr>
        <w:pStyle w:val="2"/>
        <w:spacing w:line="300" w:lineRule="auto"/>
        <w:ind w:firstLine="198" w:firstLineChars="90"/>
        <w:rPr>
          <w:rFonts w:eastAsiaTheme="minorEastAsia"/>
          <w:lang w:eastAsia="zh-CN"/>
        </w:rPr>
        <w:sectPr>
          <w:pgSz w:w="16840" w:h="11910" w:orient="landscape"/>
          <w:pgMar w:top="1440" w:right="1080" w:bottom="1440" w:left="1080" w:header="0" w:footer="978" w:gutter="0"/>
          <w:cols w:space="720" w:num="1"/>
        </w:sectPr>
      </w:pPr>
      <w:r>
        <w:rPr>
          <w:rFonts w:hint="eastAsia" w:ascii="楷体_GB2312" w:hAnsi="黑体" w:eastAsia="楷体_GB2312"/>
          <w:szCs w:val="21"/>
          <w:lang w:eastAsia="zh-CN"/>
        </w:rPr>
        <w:t>注：本表反映部门年度一般公共预算财政拨款基本支出明细情况。</w:t>
      </w:r>
    </w:p>
    <w:tbl>
      <w:tblPr>
        <w:tblStyle w:val="11"/>
        <w:tblpPr w:leftFromText="180" w:rightFromText="180" w:vertAnchor="text" w:horzAnchor="margin" w:tblpY="361"/>
        <w:tblOverlap w:val="never"/>
        <w:tblW w:w="14158" w:type="dxa"/>
        <w:tblInd w:w="0" w:type="dxa"/>
        <w:tblLayout w:type="fixed"/>
        <w:tblCellMar>
          <w:top w:w="0" w:type="dxa"/>
          <w:left w:w="108" w:type="dxa"/>
          <w:bottom w:w="0" w:type="dxa"/>
          <w:right w:w="108" w:type="dxa"/>
        </w:tblCellMar>
      </w:tblPr>
      <w:tblGrid>
        <w:gridCol w:w="4640"/>
        <w:gridCol w:w="236"/>
        <w:gridCol w:w="1320"/>
        <w:gridCol w:w="2145"/>
        <w:gridCol w:w="679"/>
        <w:gridCol w:w="642"/>
        <w:gridCol w:w="4469"/>
        <w:gridCol w:w="18"/>
        <w:gridCol w:w="9"/>
      </w:tblGrid>
      <w:tr>
        <w:tblPrEx>
          <w:tblCellMar>
            <w:top w:w="0" w:type="dxa"/>
            <w:left w:w="108" w:type="dxa"/>
            <w:bottom w:w="0" w:type="dxa"/>
            <w:right w:w="108" w:type="dxa"/>
          </w:tblCellMar>
        </w:tblPrEx>
        <w:trPr>
          <w:gridAfter w:val="1"/>
          <w:wAfter w:w="9" w:type="dxa"/>
          <w:trHeight w:val="1441" w:hRule="atLeast"/>
        </w:trPr>
        <w:tc>
          <w:tcPr>
            <w:tcW w:w="14149" w:type="dxa"/>
            <w:gridSpan w:val="8"/>
            <w:tcBorders>
              <w:top w:val="nil"/>
              <w:left w:val="nil"/>
              <w:bottom w:val="nil"/>
              <w:right w:val="nil"/>
            </w:tcBorders>
            <w:vAlign w:val="center"/>
          </w:tcPr>
          <w:p>
            <w:pPr>
              <w:widowControl/>
              <w:spacing w:line="300" w:lineRule="auto"/>
              <w:jc w:val="center"/>
              <w:rPr>
                <w:rFonts w:ascii="华文中宋" w:hAnsi="华文中宋" w:eastAsia="华文中宋" w:cs="宋体"/>
                <w:sz w:val="32"/>
                <w:szCs w:val="32"/>
                <w:lang w:eastAsia="zh-CN"/>
              </w:rPr>
            </w:pPr>
            <w:r>
              <w:rPr>
                <w:rFonts w:hint="eastAsia" w:ascii="黑体" w:hAnsi="黑体" w:eastAsia="黑体" w:cs="黑体"/>
                <w:color w:val="000000"/>
                <w:sz w:val="36"/>
                <w:szCs w:val="36"/>
                <w:lang w:eastAsia="zh-CN"/>
              </w:rPr>
              <w:t>一般公共预算财政拨款“三公”经费支出决算表</w:t>
            </w:r>
          </w:p>
        </w:tc>
      </w:tr>
      <w:tr>
        <w:tblPrEx>
          <w:tblCellMar>
            <w:top w:w="0" w:type="dxa"/>
            <w:left w:w="108" w:type="dxa"/>
            <w:bottom w:w="0" w:type="dxa"/>
            <w:right w:w="108" w:type="dxa"/>
          </w:tblCellMar>
        </w:tblPrEx>
        <w:trPr>
          <w:gridAfter w:val="2"/>
          <w:wAfter w:w="27" w:type="dxa"/>
          <w:trHeight w:val="360" w:hRule="atLeast"/>
        </w:trPr>
        <w:tc>
          <w:tcPr>
            <w:tcW w:w="4643"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29"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467" w:type="dxa"/>
            <w:gridSpan w:val="2"/>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321"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4471" w:type="dxa"/>
            <w:tcBorders>
              <w:top w:val="nil"/>
              <w:left w:val="nil"/>
              <w:bottom w:val="nil"/>
              <w:right w:val="nil"/>
            </w:tcBorders>
            <w:vAlign w:val="center"/>
          </w:tcPr>
          <w:p>
            <w:pPr>
              <w:widowControl/>
              <w:spacing w:line="300" w:lineRule="auto"/>
              <w:jc w:val="right"/>
              <w:rPr>
                <w:rFonts w:ascii="宋体" w:hAnsi="宋体" w:eastAsia="宋体" w:cs="宋体"/>
                <w:sz w:val="20"/>
                <w:szCs w:val="20"/>
                <w:lang w:eastAsia="zh-CN"/>
              </w:rPr>
            </w:pPr>
            <w:r>
              <w:rPr>
                <w:rFonts w:hint="eastAsia" w:eastAsia="仿宋_GB2312"/>
                <w:color w:val="000000"/>
                <w:szCs w:val="21"/>
              </w:rPr>
              <w:t>公开</w:t>
            </w:r>
            <w:r>
              <w:rPr>
                <w:rFonts w:eastAsia="仿宋_GB2312"/>
                <w:color w:val="000000"/>
                <w:szCs w:val="21"/>
              </w:rPr>
              <w:t>07</w:t>
            </w:r>
            <w:r>
              <w:rPr>
                <w:rFonts w:hint="eastAsia" w:eastAsia="仿宋_GB2312"/>
                <w:color w:val="000000"/>
                <w:szCs w:val="21"/>
              </w:rPr>
              <w:t>表</w:t>
            </w:r>
          </w:p>
        </w:tc>
      </w:tr>
      <w:tr>
        <w:tblPrEx>
          <w:tblCellMar>
            <w:top w:w="0" w:type="dxa"/>
            <w:left w:w="108" w:type="dxa"/>
            <w:bottom w:w="0" w:type="dxa"/>
            <w:right w:w="108" w:type="dxa"/>
          </w:tblCellMar>
        </w:tblPrEx>
        <w:trPr>
          <w:trHeight w:val="360" w:hRule="atLeast"/>
        </w:trPr>
        <w:tc>
          <w:tcPr>
            <w:tcW w:w="4643" w:type="dxa"/>
            <w:tcBorders>
              <w:top w:val="nil"/>
              <w:left w:val="nil"/>
              <w:bottom w:val="nil"/>
              <w:right w:val="nil"/>
            </w:tcBorders>
            <w:noWrap/>
            <w:vAlign w:val="center"/>
          </w:tcPr>
          <w:p>
            <w:pPr>
              <w:widowControl/>
              <w:spacing w:line="300" w:lineRule="auto"/>
              <w:rPr>
                <w:rFonts w:ascii="宋体" w:hAnsi="宋体" w:eastAsia="宋体" w:cs="宋体"/>
                <w:color w:val="000000"/>
                <w:sz w:val="20"/>
                <w:szCs w:val="20"/>
                <w:lang w:eastAsia="zh-CN"/>
              </w:rPr>
            </w:pPr>
            <w:r>
              <w:rPr>
                <w:rFonts w:hint="eastAsia" w:eastAsia="仿宋_GB2312"/>
                <w:color w:val="000000"/>
                <w:szCs w:val="21"/>
                <w:lang w:eastAsia="zh-CN"/>
              </w:rPr>
              <w:t>部门：湘潭县青山桥镇人民政府</w:t>
            </w:r>
          </w:p>
        </w:tc>
        <w:tc>
          <w:tcPr>
            <w:tcW w:w="229" w:type="dxa"/>
            <w:tcBorders>
              <w:top w:val="nil"/>
              <w:left w:val="nil"/>
              <w:bottom w:val="nil"/>
              <w:right w:val="nil"/>
            </w:tcBorders>
            <w:vAlign w:val="center"/>
          </w:tcPr>
          <w:p>
            <w:pPr>
              <w:widowControl/>
              <w:spacing w:line="300" w:lineRule="auto"/>
              <w:jc w:val="both"/>
              <w:rPr>
                <w:rFonts w:ascii="宋体" w:hAnsi="宋体" w:eastAsia="宋体" w:cs="宋体"/>
                <w:sz w:val="20"/>
                <w:szCs w:val="20"/>
                <w:lang w:eastAsia="zh-CN"/>
              </w:rPr>
            </w:pPr>
          </w:p>
        </w:tc>
        <w:tc>
          <w:tcPr>
            <w:tcW w:w="1321"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825"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5140" w:type="dxa"/>
            <w:gridSpan w:val="4"/>
            <w:tcBorders>
              <w:top w:val="nil"/>
              <w:left w:val="nil"/>
              <w:bottom w:val="nil"/>
              <w:right w:val="nil"/>
            </w:tcBorders>
            <w:noWrap/>
            <w:vAlign w:val="center"/>
          </w:tcPr>
          <w:p>
            <w:pPr>
              <w:widowControl/>
              <w:spacing w:line="300" w:lineRule="auto"/>
              <w:jc w:val="right"/>
              <w:rPr>
                <w:rFonts w:ascii="宋体" w:hAnsi="宋体" w:eastAsia="宋体" w:cs="宋体"/>
                <w:color w:val="000000"/>
                <w:sz w:val="20"/>
                <w:szCs w:val="20"/>
              </w:rPr>
            </w:pPr>
            <w:r>
              <w:rPr>
                <w:rFonts w:hint="eastAsia" w:eastAsia="仿宋_GB2312"/>
                <w:color w:val="000000"/>
                <w:szCs w:val="21"/>
              </w:rPr>
              <w:t>单位：万元</w:t>
            </w:r>
          </w:p>
        </w:tc>
      </w:tr>
    </w:tbl>
    <w:p>
      <w:pPr>
        <w:widowControl/>
        <w:spacing w:line="300" w:lineRule="auto"/>
        <w:rPr>
          <w:rFonts w:eastAsia="仿宋_GB2312"/>
          <w:color w:val="000000"/>
          <w:szCs w:val="21"/>
          <w:lang w:eastAsia="zh-CN"/>
        </w:rPr>
      </w:pPr>
    </w:p>
    <w:tbl>
      <w:tblPr>
        <w:tblStyle w:val="11"/>
        <w:tblW w:w="14114" w:type="dxa"/>
        <w:tblInd w:w="0" w:type="dxa"/>
        <w:tblLayout w:type="autofit"/>
        <w:tblCellMar>
          <w:top w:w="0" w:type="dxa"/>
          <w:left w:w="108" w:type="dxa"/>
          <w:bottom w:w="0" w:type="dxa"/>
          <w:right w:w="108" w:type="dxa"/>
        </w:tblCellMar>
      </w:tblPr>
      <w:tblGrid>
        <w:gridCol w:w="1174"/>
        <w:gridCol w:w="1174"/>
        <w:gridCol w:w="1175"/>
        <w:gridCol w:w="1175"/>
        <w:gridCol w:w="1177"/>
        <w:gridCol w:w="1178"/>
        <w:gridCol w:w="1176"/>
        <w:gridCol w:w="1176"/>
        <w:gridCol w:w="1176"/>
        <w:gridCol w:w="1176"/>
        <w:gridCol w:w="1177"/>
        <w:gridCol w:w="1180"/>
      </w:tblGrid>
      <w:tr>
        <w:tblPrEx>
          <w:tblCellMar>
            <w:top w:w="0" w:type="dxa"/>
            <w:left w:w="108" w:type="dxa"/>
            <w:bottom w:w="0" w:type="dxa"/>
            <w:right w:w="108" w:type="dxa"/>
          </w:tblCellMar>
        </w:tblPrEx>
        <w:trPr>
          <w:trHeight w:val="410" w:hRule="atLeast"/>
        </w:trPr>
        <w:tc>
          <w:tcPr>
            <w:tcW w:w="7053" w:type="dxa"/>
            <w:gridSpan w:val="6"/>
            <w:tcBorders>
              <w:top w:val="single" w:color="auto" w:sz="8" w:space="0"/>
              <w:left w:val="single" w:color="auto" w:sz="8" w:space="0"/>
              <w:bottom w:val="single" w:color="auto" w:sz="4" w:space="0"/>
              <w:right w:val="single" w:color="000000" w:sz="4" w:space="0"/>
            </w:tcBorders>
            <w:vAlign w:val="center"/>
          </w:tcPr>
          <w:p>
            <w:pPr>
              <w:widowControl/>
              <w:spacing w:line="300" w:lineRule="auto"/>
              <w:jc w:val="center"/>
              <w:rPr>
                <w:rFonts w:eastAsia="仿宋_GB2312"/>
                <w:b/>
                <w:bCs/>
                <w:szCs w:val="21"/>
              </w:rPr>
            </w:pPr>
            <w:r>
              <w:rPr>
                <w:rFonts w:hint="eastAsia" w:eastAsia="仿宋_GB2312"/>
                <w:b/>
                <w:bCs/>
                <w:szCs w:val="21"/>
              </w:rPr>
              <w:t>预算数</w:t>
            </w:r>
          </w:p>
        </w:tc>
        <w:tc>
          <w:tcPr>
            <w:tcW w:w="7061" w:type="dxa"/>
            <w:gridSpan w:val="6"/>
            <w:tcBorders>
              <w:top w:val="single" w:color="auto" w:sz="8" w:space="0"/>
              <w:left w:val="nil"/>
              <w:bottom w:val="single" w:color="auto" w:sz="4" w:space="0"/>
              <w:right w:val="single" w:color="000000" w:sz="8" w:space="0"/>
            </w:tcBorders>
            <w:vAlign w:val="center"/>
          </w:tcPr>
          <w:p>
            <w:pPr>
              <w:widowControl/>
              <w:spacing w:line="300" w:lineRule="auto"/>
              <w:jc w:val="center"/>
              <w:rPr>
                <w:rFonts w:eastAsia="仿宋_GB2312"/>
                <w:b/>
                <w:bCs/>
                <w:szCs w:val="21"/>
              </w:rPr>
            </w:pPr>
            <w:r>
              <w:rPr>
                <w:rFonts w:hint="eastAsia" w:eastAsia="仿宋_GB2312"/>
                <w:b/>
                <w:bCs/>
                <w:szCs w:val="21"/>
              </w:rPr>
              <w:t>决算数</w:t>
            </w:r>
          </w:p>
        </w:tc>
      </w:tr>
      <w:tr>
        <w:tblPrEx>
          <w:tblCellMar>
            <w:top w:w="0" w:type="dxa"/>
            <w:left w:w="108" w:type="dxa"/>
            <w:bottom w:w="0" w:type="dxa"/>
            <w:right w:w="108" w:type="dxa"/>
          </w:tblCellMar>
        </w:tblPrEx>
        <w:trPr>
          <w:trHeight w:val="410" w:hRule="atLeast"/>
        </w:trPr>
        <w:tc>
          <w:tcPr>
            <w:tcW w:w="1175" w:type="dxa"/>
            <w:vMerge w:val="restart"/>
            <w:tcBorders>
              <w:top w:val="nil"/>
              <w:left w:val="single" w:color="auto" w:sz="8"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合计</w:t>
            </w:r>
          </w:p>
        </w:tc>
        <w:tc>
          <w:tcPr>
            <w:tcW w:w="1175" w:type="dxa"/>
            <w:vMerge w:val="restart"/>
            <w:tcBorders>
              <w:top w:val="nil"/>
              <w:left w:val="single" w:color="auto" w:sz="4"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因公出国（境）费</w:t>
            </w:r>
          </w:p>
        </w:tc>
        <w:tc>
          <w:tcPr>
            <w:tcW w:w="3526" w:type="dxa"/>
            <w:gridSpan w:val="3"/>
            <w:tcBorders>
              <w:top w:val="single" w:color="auto" w:sz="4" w:space="0"/>
              <w:left w:val="nil"/>
              <w:bottom w:val="single" w:color="auto" w:sz="4" w:space="0"/>
              <w:right w:val="single" w:color="000000" w:sz="4" w:space="0"/>
            </w:tcBorders>
            <w:vAlign w:val="center"/>
          </w:tcPr>
          <w:p>
            <w:pPr>
              <w:widowControl/>
              <w:spacing w:line="300" w:lineRule="auto"/>
              <w:jc w:val="center"/>
              <w:rPr>
                <w:rFonts w:eastAsia="仿宋_GB2312"/>
                <w:b/>
                <w:bCs/>
                <w:szCs w:val="21"/>
                <w:lang w:eastAsia="zh-CN"/>
              </w:rPr>
            </w:pPr>
            <w:r>
              <w:rPr>
                <w:rFonts w:hint="eastAsia" w:eastAsia="仿宋_GB2312"/>
                <w:b/>
                <w:bCs/>
                <w:szCs w:val="21"/>
                <w:lang w:eastAsia="zh-CN"/>
              </w:rPr>
              <w:t>公务用车购置及运行费</w:t>
            </w:r>
          </w:p>
        </w:tc>
        <w:tc>
          <w:tcPr>
            <w:tcW w:w="1178" w:type="dxa"/>
            <w:vMerge w:val="restart"/>
            <w:tcBorders>
              <w:top w:val="nil"/>
              <w:left w:val="single" w:color="auto" w:sz="4" w:space="0"/>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w:t>
            </w:r>
          </w:p>
          <w:p>
            <w:pPr>
              <w:widowControl/>
              <w:spacing w:line="300" w:lineRule="auto"/>
              <w:jc w:val="center"/>
              <w:rPr>
                <w:rFonts w:eastAsia="仿宋_GB2312"/>
                <w:b/>
                <w:bCs/>
                <w:szCs w:val="21"/>
              </w:rPr>
            </w:pPr>
            <w:r>
              <w:rPr>
                <w:rFonts w:hint="eastAsia" w:eastAsia="仿宋_GB2312"/>
                <w:b/>
                <w:bCs/>
                <w:szCs w:val="21"/>
              </w:rPr>
              <w:t>接待费</w:t>
            </w:r>
          </w:p>
        </w:tc>
        <w:tc>
          <w:tcPr>
            <w:tcW w:w="1176" w:type="dxa"/>
            <w:vMerge w:val="restart"/>
            <w:tcBorders>
              <w:top w:val="nil"/>
              <w:left w:val="nil"/>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合计</w:t>
            </w:r>
          </w:p>
        </w:tc>
        <w:tc>
          <w:tcPr>
            <w:tcW w:w="1176" w:type="dxa"/>
            <w:vMerge w:val="restart"/>
            <w:tcBorders>
              <w:top w:val="nil"/>
              <w:left w:val="single" w:color="auto" w:sz="4"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因公出国（境）费</w:t>
            </w:r>
          </w:p>
        </w:tc>
        <w:tc>
          <w:tcPr>
            <w:tcW w:w="3528" w:type="dxa"/>
            <w:gridSpan w:val="3"/>
            <w:tcBorders>
              <w:top w:val="single" w:color="auto" w:sz="4" w:space="0"/>
              <w:left w:val="nil"/>
              <w:bottom w:val="single" w:color="auto" w:sz="4" w:space="0"/>
              <w:right w:val="single" w:color="000000" w:sz="4" w:space="0"/>
            </w:tcBorders>
            <w:vAlign w:val="center"/>
          </w:tcPr>
          <w:p>
            <w:pPr>
              <w:widowControl/>
              <w:spacing w:line="300" w:lineRule="auto"/>
              <w:jc w:val="center"/>
              <w:rPr>
                <w:rFonts w:eastAsia="仿宋_GB2312"/>
                <w:b/>
                <w:bCs/>
                <w:szCs w:val="21"/>
                <w:lang w:eastAsia="zh-CN"/>
              </w:rPr>
            </w:pPr>
            <w:r>
              <w:rPr>
                <w:rFonts w:hint="eastAsia" w:eastAsia="仿宋_GB2312"/>
                <w:b/>
                <w:bCs/>
                <w:szCs w:val="21"/>
                <w:lang w:eastAsia="zh-CN"/>
              </w:rPr>
              <w:t>公务用车购置及运行费</w:t>
            </w:r>
          </w:p>
        </w:tc>
        <w:tc>
          <w:tcPr>
            <w:tcW w:w="1176" w:type="dxa"/>
            <w:vMerge w:val="restart"/>
            <w:tcBorders>
              <w:top w:val="nil"/>
              <w:left w:val="single" w:color="auto" w:sz="4" w:space="0"/>
              <w:bottom w:val="single" w:color="000000" w:sz="4" w:space="0"/>
              <w:right w:val="single" w:color="auto" w:sz="8" w:space="0"/>
            </w:tcBorders>
            <w:vAlign w:val="center"/>
          </w:tcPr>
          <w:p>
            <w:pPr>
              <w:widowControl/>
              <w:spacing w:line="300" w:lineRule="auto"/>
              <w:jc w:val="center"/>
              <w:rPr>
                <w:rFonts w:eastAsia="仿宋_GB2312"/>
                <w:b/>
                <w:bCs/>
                <w:szCs w:val="21"/>
              </w:rPr>
            </w:pPr>
            <w:r>
              <w:rPr>
                <w:rFonts w:hint="eastAsia" w:eastAsia="仿宋_GB2312"/>
                <w:b/>
                <w:bCs/>
                <w:szCs w:val="21"/>
              </w:rPr>
              <w:t>公务</w:t>
            </w:r>
          </w:p>
          <w:p>
            <w:pPr>
              <w:widowControl/>
              <w:spacing w:line="300" w:lineRule="auto"/>
              <w:jc w:val="center"/>
              <w:rPr>
                <w:rFonts w:eastAsia="仿宋_GB2312"/>
                <w:b/>
                <w:bCs/>
                <w:szCs w:val="21"/>
              </w:rPr>
            </w:pPr>
            <w:r>
              <w:rPr>
                <w:rFonts w:hint="eastAsia" w:eastAsia="仿宋_GB2312"/>
                <w:b/>
                <w:bCs/>
                <w:szCs w:val="21"/>
              </w:rPr>
              <w:t>接待费</w:t>
            </w:r>
          </w:p>
        </w:tc>
      </w:tr>
      <w:tr>
        <w:tblPrEx>
          <w:tblCellMar>
            <w:top w:w="0" w:type="dxa"/>
            <w:left w:w="108" w:type="dxa"/>
            <w:bottom w:w="0" w:type="dxa"/>
            <w:right w:w="108" w:type="dxa"/>
          </w:tblCellMar>
        </w:tblPrEx>
        <w:trPr>
          <w:trHeight w:val="410" w:hRule="atLeast"/>
        </w:trPr>
        <w:tc>
          <w:tcPr>
            <w:tcW w:w="0" w:type="auto"/>
            <w:vMerge w:val="continue"/>
            <w:tcBorders>
              <w:top w:val="nil"/>
              <w:left w:val="single" w:color="auto" w:sz="8" w:space="0"/>
              <w:bottom w:val="single" w:color="000000" w:sz="4" w:space="0"/>
              <w:right w:val="single" w:color="auto" w:sz="4" w:space="0"/>
            </w:tcBorders>
            <w:vAlign w:val="center"/>
          </w:tcPr>
          <w:p>
            <w:pPr>
              <w:widowControl/>
              <w:spacing w:line="300" w:lineRule="auto"/>
              <w:rPr>
                <w:rFonts w:eastAsia="仿宋_GB2312"/>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spacing w:line="300" w:lineRule="auto"/>
              <w:rPr>
                <w:rFonts w:eastAsia="仿宋_GB2312"/>
                <w:szCs w:val="21"/>
              </w:rPr>
            </w:pP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小计</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购置费</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运行费</w:t>
            </w: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00" w:lineRule="auto"/>
              <w:rPr>
                <w:rFonts w:eastAsia="仿宋_GB2312"/>
                <w:szCs w:val="21"/>
              </w:rPr>
            </w:pPr>
          </w:p>
        </w:tc>
        <w:tc>
          <w:tcPr>
            <w:tcW w:w="0" w:type="auto"/>
            <w:vMerge w:val="continue"/>
            <w:tcBorders>
              <w:top w:val="nil"/>
              <w:left w:val="nil"/>
              <w:bottom w:val="single" w:color="000000" w:sz="4" w:space="0"/>
              <w:right w:val="single" w:color="auto" w:sz="4" w:space="0"/>
            </w:tcBorders>
            <w:vAlign w:val="center"/>
          </w:tcPr>
          <w:p>
            <w:pPr>
              <w:widowControl/>
              <w:spacing w:line="300" w:lineRule="auto"/>
              <w:rPr>
                <w:rFonts w:eastAsia="仿宋_GB2312"/>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spacing w:line="300" w:lineRule="auto"/>
              <w:rPr>
                <w:rFonts w:eastAsia="仿宋_GB2312"/>
                <w:szCs w:val="21"/>
              </w:rPr>
            </w:pP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小计</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购置费</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运行费</w:t>
            </w:r>
          </w:p>
        </w:tc>
        <w:tc>
          <w:tcPr>
            <w:tcW w:w="0" w:type="auto"/>
            <w:vMerge w:val="continue"/>
            <w:tcBorders>
              <w:top w:val="nil"/>
              <w:left w:val="single" w:color="auto" w:sz="4" w:space="0"/>
              <w:bottom w:val="single" w:color="000000" w:sz="4" w:space="0"/>
              <w:right w:val="single" w:color="auto" w:sz="8" w:space="0"/>
            </w:tcBorders>
            <w:vAlign w:val="center"/>
          </w:tcPr>
          <w:p>
            <w:pPr>
              <w:widowControl/>
              <w:spacing w:line="300" w:lineRule="auto"/>
              <w:rPr>
                <w:rFonts w:eastAsia="仿宋_GB2312"/>
                <w:szCs w:val="21"/>
              </w:rPr>
            </w:pPr>
          </w:p>
        </w:tc>
      </w:tr>
      <w:tr>
        <w:tblPrEx>
          <w:tblCellMar>
            <w:top w:w="0" w:type="dxa"/>
            <w:left w:w="108" w:type="dxa"/>
            <w:bottom w:w="0" w:type="dxa"/>
            <w:right w:w="108" w:type="dxa"/>
          </w:tblCellMar>
        </w:tblPrEx>
        <w:trPr>
          <w:trHeight w:val="410" w:hRule="atLeast"/>
        </w:trPr>
        <w:tc>
          <w:tcPr>
            <w:tcW w:w="1175" w:type="dxa"/>
            <w:tcBorders>
              <w:top w:val="nil"/>
              <w:left w:val="single" w:color="auto" w:sz="8" w:space="0"/>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2</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3</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4</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5</w:t>
            </w:r>
          </w:p>
        </w:tc>
        <w:tc>
          <w:tcPr>
            <w:tcW w:w="1178"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6</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7</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8</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9</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10</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11</w:t>
            </w:r>
          </w:p>
        </w:tc>
        <w:tc>
          <w:tcPr>
            <w:tcW w:w="1176" w:type="dxa"/>
            <w:tcBorders>
              <w:top w:val="nil"/>
              <w:left w:val="nil"/>
              <w:bottom w:val="single" w:color="auto" w:sz="4" w:space="0"/>
              <w:right w:val="single" w:color="auto" w:sz="8" w:space="0"/>
            </w:tcBorders>
            <w:vAlign w:val="center"/>
          </w:tcPr>
          <w:p>
            <w:pPr>
              <w:widowControl/>
              <w:spacing w:line="300" w:lineRule="auto"/>
              <w:jc w:val="center"/>
              <w:rPr>
                <w:rFonts w:eastAsia="仿宋_GB2312"/>
                <w:szCs w:val="21"/>
              </w:rPr>
            </w:pPr>
            <w:r>
              <w:rPr>
                <w:rFonts w:eastAsia="仿宋_GB2312"/>
                <w:szCs w:val="21"/>
              </w:rPr>
              <w:t>12</w:t>
            </w:r>
          </w:p>
        </w:tc>
      </w:tr>
      <w:tr>
        <w:tblPrEx>
          <w:tblCellMar>
            <w:top w:w="0" w:type="dxa"/>
            <w:left w:w="108" w:type="dxa"/>
            <w:bottom w:w="0" w:type="dxa"/>
            <w:right w:w="108" w:type="dxa"/>
          </w:tblCellMar>
        </w:tblPrEx>
        <w:trPr>
          <w:trHeight w:val="410" w:hRule="atLeast"/>
        </w:trPr>
        <w:tc>
          <w:tcPr>
            <w:tcW w:w="1175" w:type="dxa"/>
            <w:tcBorders>
              <w:top w:val="nil"/>
              <w:left w:val="single" w:color="auto" w:sz="8" w:space="0"/>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5"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5"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5"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7"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8"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7" w:type="dxa"/>
            <w:tcBorders>
              <w:top w:val="nil"/>
              <w:left w:val="nil"/>
              <w:bottom w:val="single" w:color="auto" w:sz="8" w:space="0"/>
              <w:right w:val="nil"/>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6" w:type="dxa"/>
            <w:tcBorders>
              <w:top w:val="nil"/>
              <w:left w:val="single" w:color="auto" w:sz="4"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r>
    </w:tbl>
    <w:p>
      <w:pPr>
        <w:autoSpaceDE w:val="0"/>
        <w:autoSpaceDN w:val="0"/>
        <w:adjustRightInd w:val="0"/>
        <w:spacing w:line="300" w:lineRule="auto"/>
        <w:ind w:left="330" w:leftChars="150"/>
        <w:rPr>
          <w:rFonts w:ascii="楷体_GB2312" w:hAnsi="Calibri" w:eastAsia="楷体_GB2312" w:cs="宋体"/>
          <w:sz w:val="24"/>
          <w:lang w:eastAsia="zh-CN"/>
        </w:rPr>
      </w:pPr>
      <w:r>
        <w:rPr>
          <w:rFonts w:hint="eastAsia" w:ascii="楷体_GB2312" w:eastAsia="楷体_GB2312" w:cs="宋体"/>
          <w:sz w:val="24"/>
          <w:lang w:eastAsia="zh-CN"/>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spacing w:line="300" w:lineRule="auto"/>
        <w:rPr>
          <w:rFonts w:ascii="Times New Roman" w:hAnsi="Times New Roman" w:cs="Times New Roman" w:eastAsiaTheme="minorEastAsia"/>
          <w:color w:val="000000"/>
          <w:sz w:val="36"/>
          <w:szCs w:val="36"/>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pPr>
    </w:p>
    <w:p>
      <w:pPr>
        <w:widowControl/>
        <w:spacing w:line="300" w:lineRule="auto"/>
        <w:ind w:right="440"/>
        <w:rPr>
          <w:rFonts w:eastAsia="仿宋_GB2312"/>
          <w:color w:val="000000"/>
          <w:szCs w:val="21"/>
          <w:lang w:eastAsia="zh-CN"/>
        </w:rPr>
      </w:pPr>
    </w:p>
    <w:tbl>
      <w:tblPr>
        <w:tblStyle w:val="11"/>
        <w:tblpPr w:leftFromText="180" w:rightFromText="180" w:vertAnchor="text" w:horzAnchor="margin" w:tblpY="81"/>
        <w:tblOverlap w:val="never"/>
        <w:tblW w:w="14000" w:type="dxa"/>
        <w:tblInd w:w="0" w:type="dxa"/>
        <w:tblLayout w:type="fixed"/>
        <w:tblCellMar>
          <w:top w:w="0" w:type="dxa"/>
          <w:left w:w="108" w:type="dxa"/>
          <w:bottom w:w="0" w:type="dxa"/>
          <w:right w:w="108" w:type="dxa"/>
        </w:tblCellMar>
      </w:tblPr>
      <w:tblGrid>
        <w:gridCol w:w="4077"/>
        <w:gridCol w:w="236"/>
        <w:gridCol w:w="427"/>
        <w:gridCol w:w="1321"/>
        <w:gridCol w:w="1718"/>
        <w:gridCol w:w="1105"/>
        <w:gridCol w:w="216"/>
        <w:gridCol w:w="4900"/>
      </w:tblGrid>
      <w:tr>
        <w:tblPrEx>
          <w:tblCellMar>
            <w:top w:w="0" w:type="dxa"/>
            <w:left w:w="108" w:type="dxa"/>
            <w:bottom w:w="0" w:type="dxa"/>
            <w:right w:w="108" w:type="dxa"/>
          </w:tblCellMar>
        </w:tblPrEx>
        <w:trPr>
          <w:trHeight w:val="563" w:hRule="atLeast"/>
        </w:trPr>
        <w:tc>
          <w:tcPr>
            <w:tcW w:w="14000" w:type="dxa"/>
            <w:gridSpan w:val="8"/>
            <w:tcBorders>
              <w:top w:val="nil"/>
              <w:left w:val="nil"/>
              <w:bottom w:val="nil"/>
              <w:right w:val="nil"/>
            </w:tcBorders>
            <w:vAlign w:val="center"/>
          </w:tcPr>
          <w:p>
            <w:pPr>
              <w:widowControl/>
              <w:spacing w:line="300" w:lineRule="auto"/>
              <w:jc w:val="center"/>
              <w:rPr>
                <w:rFonts w:ascii="黑体" w:hAnsi="黑体" w:eastAsia="黑体" w:cs="黑体"/>
                <w:sz w:val="36"/>
                <w:szCs w:val="36"/>
                <w:lang w:eastAsia="zh-CN"/>
              </w:rPr>
            </w:pPr>
            <w:r>
              <w:rPr>
                <w:rFonts w:hint="eastAsia" w:ascii="黑体" w:hAnsi="黑体" w:eastAsia="黑体" w:cs="黑体"/>
                <w:sz w:val="36"/>
                <w:szCs w:val="36"/>
                <w:lang w:eastAsia="zh-CN"/>
              </w:rPr>
              <w:t>政府性基金预算财政拨款收支决算表</w:t>
            </w:r>
          </w:p>
        </w:tc>
      </w:tr>
      <w:tr>
        <w:tblPrEx>
          <w:tblCellMar>
            <w:top w:w="0" w:type="dxa"/>
            <w:left w:w="108" w:type="dxa"/>
            <w:bottom w:w="0" w:type="dxa"/>
            <w:right w:w="108" w:type="dxa"/>
          </w:tblCellMar>
        </w:tblPrEx>
        <w:trPr>
          <w:trHeight w:val="385" w:hRule="atLeast"/>
        </w:trPr>
        <w:tc>
          <w:tcPr>
            <w:tcW w:w="4077"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36"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466" w:type="dxa"/>
            <w:gridSpan w:val="3"/>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321"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xml:space="preserve">　     </w:t>
            </w:r>
          </w:p>
        </w:tc>
        <w:tc>
          <w:tcPr>
            <w:tcW w:w="4900"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xml:space="preserve">　                                  </w:t>
            </w:r>
            <w:r>
              <w:rPr>
                <w:rFonts w:hint="eastAsia" w:eastAsia="仿宋_GB2312"/>
                <w:color w:val="000000"/>
                <w:szCs w:val="21"/>
              </w:rPr>
              <w:t>公开</w:t>
            </w:r>
            <w:r>
              <w:rPr>
                <w:rFonts w:eastAsia="仿宋_GB2312"/>
                <w:color w:val="000000"/>
                <w:szCs w:val="21"/>
              </w:rPr>
              <w:t>08</w:t>
            </w:r>
            <w:r>
              <w:rPr>
                <w:rFonts w:hint="eastAsia" w:eastAsia="仿宋_GB2312"/>
                <w:color w:val="000000"/>
                <w:szCs w:val="21"/>
              </w:rPr>
              <w:t>表</w:t>
            </w:r>
          </w:p>
        </w:tc>
      </w:tr>
      <w:tr>
        <w:tblPrEx>
          <w:tblCellMar>
            <w:top w:w="0" w:type="dxa"/>
            <w:left w:w="108" w:type="dxa"/>
            <w:bottom w:w="0" w:type="dxa"/>
            <w:right w:w="108" w:type="dxa"/>
          </w:tblCellMar>
        </w:tblPrEx>
        <w:trPr>
          <w:trHeight w:val="385" w:hRule="atLeast"/>
        </w:trPr>
        <w:tc>
          <w:tcPr>
            <w:tcW w:w="4077" w:type="dxa"/>
            <w:tcBorders>
              <w:top w:val="nil"/>
              <w:left w:val="nil"/>
              <w:bottom w:val="nil"/>
              <w:right w:val="nil"/>
            </w:tcBorders>
            <w:noWrap/>
            <w:vAlign w:val="center"/>
          </w:tcPr>
          <w:p>
            <w:pPr>
              <w:widowControl/>
              <w:spacing w:line="300" w:lineRule="auto"/>
              <w:rPr>
                <w:rFonts w:ascii="宋体" w:hAnsi="宋体" w:eastAsia="宋体" w:cs="宋体"/>
                <w:color w:val="000000"/>
                <w:sz w:val="20"/>
                <w:szCs w:val="20"/>
                <w:lang w:eastAsia="zh-CN"/>
              </w:rPr>
            </w:pPr>
            <w:r>
              <w:rPr>
                <w:rFonts w:hint="eastAsia" w:eastAsia="仿宋_GB2312"/>
                <w:color w:val="000000"/>
                <w:szCs w:val="21"/>
                <w:lang w:eastAsia="zh-CN"/>
              </w:rPr>
              <w:t>部门：湘潭县青山桥镇人民政府</w:t>
            </w:r>
          </w:p>
        </w:tc>
        <w:tc>
          <w:tcPr>
            <w:tcW w:w="663" w:type="dxa"/>
            <w:gridSpan w:val="2"/>
            <w:tcBorders>
              <w:top w:val="nil"/>
              <w:left w:val="nil"/>
              <w:bottom w:val="nil"/>
              <w:right w:val="nil"/>
            </w:tcBorders>
            <w:vAlign w:val="center"/>
          </w:tcPr>
          <w:p>
            <w:pPr>
              <w:widowControl/>
              <w:spacing w:line="300" w:lineRule="auto"/>
              <w:jc w:val="both"/>
              <w:rPr>
                <w:rFonts w:ascii="宋体" w:hAnsi="宋体" w:eastAsia="宋体" w:cs="宋体"/>
                <w:sz w:val="20"/>
                <w:szCs w:val="20"/>
                <w:lang w:eastAsia="zh-CN"/>
              </w:rPr>
            </w:pPr>
          </w:p>
        </w:tc>
        <w:tc>
          <w:tcPr>
            <w:tcW w:w="1321"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823"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5116" w:type="dxa"/>
            <w:gridSpan w:val="2"/>
            <w:tcBorders>
              <w:top w:val="nil"/>
              <w:left w:val="nil"/>
              <w:bottom w:val="nil"/>
              <w:right w:val="nil"/>
            </w:tcBorders>
            <w:noWrap/>
            <w:vAlign w:val="center"/>
          </w:tcPr>
          <w:p>
            <w:pPr>
              <w:widowControl/>
              <w:spacing w:line="300" w:lineRule="auto"/>
              <w:jc w:val="right"/>
              <w:rPr>
                <w:rFonts w:ascii="宋体" w:hAnsi="宋体" w:eastAsia="宋体" w:cs="宋体"/>
                <w:color w:val="000000"/>
                <w:sz w:val="20"/>
                <w:szCs w:val="20"/>
              </w:rPr>
            </w:pPr>
            <w:r>
              <w:rPr>
                <w:rFonts w:hint="eastAsia" w:eastAsia="仿宋_GB2312"/>
                <w:color w:val="000000"/>
                <w:szCs w:val="21"/>
              </w:rPr>
              <w:t>单位：万元</w:t>
            </w:r>
          </w:p>
        </w:tc>
      </w:tr>
    </w:tbl>
    <w:tbl>
      <w:tblPr>
        <w:tblStyle w:val="11"/>
        <w:tblpPr w:leftFromText="180" w:rightFromText="180" w:vertAnchor="page" w:horzAnchor="margin" w:tblpY="2493"/>
        <w:tblW w:w="14074"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91"/>
        <w:gridCol w:w="1287"/>
        <w:gridCol w:w="1949"/>
        <w:gridCol w:w="1949"/>
        <w:gridCol w:w="1949"/>
        <w:gridCol w:w="1949"/>
        <w:gridCol w:w="1951"/>
        <w:gridCol w:w="194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项目</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年初结转和结余</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本年收入</w:t>
            </w:r>
          </w:p>
        </w:tc>
        <w:tc>
          <w:tcPr>
            <w:tcW w:w="5849" w:type="dxa"/>
            <w:gridSpan w:val="3"/>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本年支出</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功能分类科目编码</w:t>
            </w:r>
          </w:p>
        </w:tc>
        <w:tc>
          <w:tcPr>
            <w:tcW w:w="1287"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科目名称</w:t>
            </w: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小计</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基本支出</w:t>
            </w:r>
          </w:p>
        </w:tc>
        <w:tc>
          <w:tcPr>
            <w:tcW w:w="1951"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项目支出</w:t>
            </w: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hint="eastAsia" w:eastAsia="仿宋_GB2312"/>
                <w:szCs w:val="21"/>
              </w:rPr>
              <w:t>栏次</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1</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2</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3</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4</w:t>
            </w:r>
          </w:p>
        </w:tc>
        <w:tc>
          <w:tcPr>
            <w:tcW w:w="1951"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5</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合计</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lang w:eastAsia="zh-CN"/>
              </w:rPr>
              <w:t>无</w:t>
            </w: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bl>
    <w:p>
      <w:pPr>
        <w:widowControl/>
        <w:spacing w:line="300" w:lineRule="auto"/>
        <w:jc w:val="right"/>
        <w:rPr>
          <w:rFonts w:eastAsia="仿宋_GB2312"/>
          <w:color w:val="000000"/>
          <w:szCs w:val="21"/>
          <w:lang w:eastAsia="zh-CN"/>
        </w:rPr>
      </w:pPr>
    </w:p>
    <w:p>
      <w:pPr>
        <w:widowControl/>
        <w:spacing w:line="300" w:lineRule="auto"/>
        <w:ind w:right="880"/>
        <w:rPr>
          <w:rFonts w:eastAsia="仿宋_GB2312"/>
          <w:color w:val="000000"/>
          <w:szCs w:val="21"/>
          <w:lang w:eastAsia="zh-CN"/>
        </w:rPr>
      </w:pPr>
      <w:r>
        <w:rPr>
          <w:rFonts w:hint="eastAsia" w:eastAsia="仿宋_GB2312"/>
          <w:szCs w:val="21"/>
          <w:lang w:eastAsia="zh-CN"/>
        </w:rPr>
        <w:t>注：本表反映部门本年度政府性基金预算财政拨款收入、支出及结转和结余情况</w:t>
      </w:r>
    </w:p>
    <w:p>
      <w:pPr>
        <w:widowControl/>
        <w:spacing w:line="300" w:lineRule="auto"/>
        <w:rPr>
          <w:rFonts w:eastAsia="仿宋_GB2312"/>
          <w:szCs w:val="21"/>
          <w:lang w:eastAsia="zh-CN"/>
        </w:rPr>
      </w:pPr>
      <w:r>
        <w:rPr>
          <w:rFonts w:eastAsia="仿宋_GB2312"/>
          <w:szCs w:val="21"/>
          <w:lang w:eastAsia="zh-CN"/>
        </w:rPr>
        <w:t>(</w:t>
      </w:r>
      <w:r>
        <w:rPr>
          <w:rFonts w:hint="eastAsia" w:eastAsia="仿宋_GB2312"/>
          <w:szCs w:val="21"/>
          <w:lang w:eastAsia="zh-CN"/>
        </w:rPr>
        <w:t>若本单位无政府性基金收支</w:t>
      </w:r>
      <w:r>
        <w:rPr>
          <w:rFonts w:eastAsia="仿宋_GB2312"/>
          <w:szCs w:val="21"/>
          <w:lang w:eastAsia="zh-CN"/>
        </w:rPr>
        <w:t>,</w:t>
      </w:r>
      <w:r>
        <w:rPr>
          <w:rFonts w:hint="eastAsia" w:eastAsia="仿宋_GB2312"/>
          <w:szCs w:val="21"/>
          <w:lang w:eastAsia="zh-CN"/>
        </w:rPr>
        <w:t>请说明：</w:t>
      </w:r>
      <w:r>
        <w:rPr>
          <w:rFonts w:eastAsia="仿宋_GB2312"/>
          <w:szCs w:val="21"/>
          <w:lang w:eastAsia="zh-CN"/>
        </w:rPr>
        <w:t>XX</w:t>
      </w:r>
      <w:r>
        <w:rPr>
          <w:rFonts w:hint="eastAsia" w:eastAsia="仿宋_GB2312"/>
          <w:szCs w:val="21"/>
          <w:lang w:eastAsia="zh-CN"/>
        </w:rPr>
        <w:t>单位没有政府性基金收入，也没有使用政府性基金安排的支出，故本表无数据</w:t>
      </w:r>
      <w:r>
        <w:rPr>
          <w:rFonts w:eastAsia="仿宋_GB2312"/>
          <w:szCs w:val="21"/>
          <w:lang w:eastAsia="zh-CN"/>
        </w:rPr>
        <w:t>)</w:t>
      </w:r>
      <w:r>
        <w:rPr>
          <w:rFonts w:hint="eastAsia" w:eastAsia="仿宋_GB2312"/>
          <w:szCs w:val="21"/>
          <w:lang w:eastAsia="zh-CN"/>
        </w:rPr>
        <w:t>。</w:t>
      </w:r>
    </w:p>
    <w:p>
      <w:pPr>
        <w:pStyle w:val="2"/>
        <w:spacing w:line="300" w:lineRule="auto"/>
        <w:ind w:firstLine="440"/>
        <w:rPr>
          <w:rFonts w:eastAsiaTheme="minorEastAsia"/>
          <w:lang w:eastAsia="zh-CN"/>
        </w:rPr>
      </w:pPr>
    </w:p>
    <w:p>
      <w:pPr>
        <w:pStyle w:val="2"/>
        <w:spacing w:line="300" w:lineRule="auto"/>
        <w:ind w:firstLine="0" w:firstLineChars="0"/>
        <w:rPr>
          <w:rFonts w:eastAsiaTheme="minorEastAsia"/>
          <w:lang w:eastAsia="zh-CN"/>
        </w:rPr>
      </w:pPr>
    </w:p>
    <w:tbl>
      <w:tblPr>
        <w:tblStyle w:val="11"/>
        <w:tblpPr w:leftFromText="180" w:rightFromText="180" w:vertAnchor="text" w:horzAnchor="margin" w:tblpY="385"/>
        <w:tblW w:w="14004" w:type="dxa"/>
        <w:tblInd w:w="0" w:type="dxa"/>
        <w:tblLayout w:type="fixed"/>
        <w:tblCellMar>
          <w:top w:w="0" w:type="dxa"/>
          <w:left w:w="108" w:type="dxa"/>
          <w:bottom w:w="0" w:type="dxa"/>
          <w:right w:w="108" w:type="dxa"/>
        </w:tblCellMar>
      </w:tblPr>
      <w:tblGrid>
        <w:gridCol w:w="775"/>
        <w:gridCol w:w="361"/>
        <w:gridCol w:w="1045"/>
        <w:gridCol w:w="1755"/>
        <w:gridCol w:w="290"/>
        <w:gridCol w:w="1178"/>
        <w:gridCol w:w="1617"/>
        <w:gridCol w:w="900"/>
        <w:gridCol w:w="2227"/>
        <w:gridCol w:w="3856"/>
      </w:tblGrid>
      <w:tr>
        <w:tblPrEx>
          <w:tblCellMar>
            <w:top w:w="0" w:type="dxa"/>
            <w:left w:w="108" w:type="dxa"/>
            <w:bottom w:w="0" w:type="dxa"/>
            <w:right w:w="108" w:type="dxa"/>
          </w:tblCellMar>
        </w:tblPrEx>
        <w:trPr>
          <w:trHeight w:val="730" w:hRule="atLeast"/>
        </w:trPr>
        <w:tc>
          <w:tcPr>
            <w:tcW w:w="14004" w:type="dxa"/>
            <w:gridSpan w:val="10"/>
            <w:tcBorders>
              <w:top w:val="nil"/>
              <w:left w:val="nil"/>
              <w:bottom w:val="nil"/>
              <w:right w:val="nil"/>
            </w:tcBorders>
            <w:vAlign w:val="center"/>
          </w:tcPr>
          <w:p>
            <w:pPr>
              <w:widowControl/>
              <w:spacing w:line="300" w:lineRule="auto"/>
              <w:jc w:val="center"/>
              <w:rPr>
                <w:rFonts w:ascii="华文中宋" w:hAnsi="华文中宋" w:eastAsia="华文中宋" w:cs="宋体"/>
                <w:sz w:val="32"/>
                <w:szCs w:val="32"/>
                <w:lang w:eastAsia="zh-CN"/>
              </w:rPr>
            </w:pPr>
            <w:r>
              <w:rPr>
                <w:rFonts w:hint="eastAsia" w:ascii="黑体" w:hAnsi="黑体" w:eastAsia="黑体" w:cs="黑体"/>
                <w:color w:val="000000"/>
                <w:sz w:val="36"/>
                <w:szCs w:val="36"/>
                <w:lang w:eastAsia="zh-CN"/>
              </w:rPr>
              <w:t>国有资本经营预算财政拨款支出决算表</w:t>
            </w:r>
          </w:p>
        </w:tc>
      </w:tr>
      <w:tr>
        <w:tblPrEx>
          <w:tblCellMar>
            <w:top w:w="0" w:type="dxa"/>
            <w:left w:w="108" w:type="dxa"/>
            <w:bottom w:w="0" w:type="dxa"/>
            <w:right w:w="108" w:type="dxa"/>
          </w:tblCellMar>
        </w:tblPrEx>
        <w:trPr>
          <w:trHeight w:val="289" w:hRule="atLeast"/>
        </w:trPr>
        <w:tc>
          <w:tcPr>
            <w:tcW w:w="775"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61"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090" w:type="dxa"/>
            <w:gridSpan w:val="3"/>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178"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517"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6083" w:type="dxa"/>
            <w:gridSpan w:val="2"/>
            <w:tcBorders>
              <w:top w:val="nil"/>
              <w:left w:val="nil"/>
              <w:bottom w:val="nil"/>
              <w:right w:val="nil"/>
            </w:tcBorders>
            <w:noWrap/>
            <w:vAlign w:val="center"/>
          </w:tcPr>
          <w:p>
            <w:pPr>
              <w:widowControl/>
              <w:spacing w:line="300" w:lineRule="auto"/>
              <w:jc w:val="right"/>
              <w:rPr>
                <w:rFonts w:ascii="Times New Roman" w:hAnsi="Times New Roman" w:eastAsia="仿宋_GB2312" w:cs="Times New Roman"/>
                <w:szCs w:val="21"/>
              </w:rPr>
            </w:pPr>
            <w:r>
              <w:rPr>
                <w:rFonts w:hint="eastAsia" w:ascii="Times New Roman" w:hAnsi="Times New Roman" w:eastAsia="仿宋_GB2312" w:cs="Times New Roman"/>
                <w:szCs w:val="21"/>
              </w:rPr>
              <w:t>公开09表</w:t>
            </w:r>
          </w:p>
        </w:tc>
      </w:tr>
      <w:tr>
        <w:tblPrEx>
          <w:tblCellMar>
            <w:top w:w="0" w:type="dxa"/>
            <w:left w:w="108" w:type="dxa"/>
            <w:bottom w:w="0" w:type="dxa"/>
            <w:right w:w="108" w:type="dxa"/>
          </w:tblCellMar>
        </w:tblPrEx>
        <w:trPr>
          <w:trHeight w:val="289" w:hRule="atLeast"/>
        </w:trPr>
        <w:tc>
          <w:tcPr>
            <w:tcW w:w="3936" w:type="dxa"/>
            <w:gridSpan w:val="4"/>
            <w:tcBorders>
              <w:top w:val="nil"/>
              <w:left w:val="nil"/>
              <w:bottom w:val="single" w:color="auto" w:sz="8" w:space="0"/>
              <w:right w:val="nil"/>
            </w:tcBorders>
            <w:noWrap/>
            <w:vAlign w:val="center"/>
          </w:tcPr>
          <w:p>
            <w:pPr>
              <w:widowControl/>
              <w:spacing w:line="300" w:lineRule="auto"/>
              <w:rPr>
                <w:rFonts w:ascii="宋体" w:hAnsi="宋体" w:eastAsia="宋体" w:cs="宋体"/>
                <w:color w:val="000000"/>
                <w:sz w:val="20"/>
                <w:szCs w:val="20"/>
                <w:lang w:eastAsia="zh-CN"/>
              </w:rPr>
            </w:pPr>
            <w:r>
              <w:rPr>
                <w:rFonts w:hint="eastAsia" w:ascii="Times New Roman" w:hAnsi="Times New Roman" w:eastAsia="仿宋_GB2312" w:cs="Times New Roman"/>
                <w:szCs w:val="21"/>
                <w:lang w:eastAsia="zh-CN"/>
              </w:rPr>
              <w:t>部门：湘潭县青山桥镇人民政府</w:t>
            </w:r>
          </w:p>
        </w:tc>
        <w:tc>
          <w:tcPr>
            <w:tcW w:w="290" w:type="dxa"/>
            <w:tcBorders>
              <w:top w:val="nil"/>
              <w:left w:val="nil"/>
              <w:bottom w:val="single" w:color="auto" w:sz="8" w:space="0"/>
              <w:right w:val="nil"/>
            </w:tcBorders>
            <w:vAlign w:val="center"/>
          </w:tcPr>
          <w:p>
            <w:pPr>
              <w:widowControl/>
              <w:spacing w:line="300" w:lineRule="auto"/>
              <w:jc w:val="both"/>
              <w:rPr>
                <w:rFonts w:ascii="宋体" w:hAnsi="宋体" w:eastAsia="宋体" w:cs="宋体"/>
                <w:sz w:val="20"/>
                <w:szCs w:val="20"/>
                <w:lang w:eastAsia="zh-CN"/>
              </w:rPr>
            </w:pPr>
          </w:p>
        </w:tc>
        <w:tc>
          <w:tcPr>
            <w:tcW w:w="1178" w:type="dxa"/>
            <w:tcBorders>
              <w:top w:val="nil"/>
              <w:left w:val="nil"/>
              <w:bottom w:val="single" w:color="auto" w:sz="8" w:space="0"/>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517" w:type="dxa"/>
            <w:gridSpan w:val="2"/>
            <w:tcBorders>
              <w:top w:val="nil"/>
              <w:left w:val="nil"/>
              <w:bottom w:val="single" w:color="auto" w:sz="8" w:space="0"/>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6083" w:type="dxa"/>
            <w:gridSpan w:val="2"/>
            <w:tcBorders>
              <w:top w:val="nil"/>
              <w:left w:val="nil"/>
              <w:bottom w:val="single" w:color="auto" w:sz="8" w:space="0"/>
              <w:right w:val="nil"/>
            </w:tcBorders>
            <w:noWrap/>
            <w:vAlign w:val="center"/>
          </w:tcPr>
          <w:p>
            <w:pPr>
              <w:widowControl/>
              <w:spacing w:line="300" w:lineRule="auto"/>
              <w:jc w:val="right"/>
              <w:rPr>
                <w:rFonts w:ascii="Times New Roman" w:hAnsi="Times New Roman" w:eastAsia="仿宋_GB2312" w:cs="Times New Roman"/>
                <w:szCs w:val="21"/>
              </w:rPr>
            </w:pPr>
            <w:r>
              <w:rPr>
                <w:rFonts w:hint="eastAsia" w:ascii="Times New Roman" w:hAnsi="Times New Roman" w:eastAsia="仿宋_GB2312" w:cs="Times New Roman"/>
                <w:szCs w:val="21"/>
              </w:rPr>
              <w:t>单位：万元</w:t>
            </w:r>
          </w:p>
        </w:tc>
      </w:tr>
      <w:tr>
        <w:tblPrEx>
          <w:tblCellMar>
            <w:top w:w="0" w:type="dxa"/>
            <w:left w:w="108" w:type="dxa"/>
            <w:bottom w:w="0" w:type="dxa"/>
            <w:right w:w="108" w:type="dxa"/>
          </w:tblCellMar>
        </w:tblPrEx>
        <w:trPr>
          <w:trHeight w:val="408" w:hRule="atLeast"/>
        </w:trPr>
        <w:tc>
          <w:tcPr>
            <w:tcW w:w="4226" w:type="dxa"/>
            <w:gridSpan w:val="5"/>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项目</w:t>
            </w:r>
          </w:p>
        </w:tc>
        <w:tc>
          <w:tcPr>
            <w:tcW w:w="9778" w:type="dxa"/>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本年支出</w:t>
            </w:r>
          </w:p>
        </w:tc>
      </w:tr>
      <w:tr>
        <w:tblPrEx>
          <w:tblCellMar>
            <w:top w:w="0" w:type="dxa"/>
            <w:left w:w="108" w:type="dxa"/>
            <w:bottom w:w="0" w:type="dxa"/>
            <w:right w:w="108" w:type="dxa"/>
          </w:tblCellMar>
        </w:tblPrEx>
        <w:trPr>
          <w:trHeight w:val="408" w:hRule="atLeast"/>
        </w:trPr>
        <w:tc>
          <w:tcPr>
            <w:tcW w:w="2181" w:type="dxa"/>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功能分类科目编码</w:t>
            </w:r>
          </w:p>
        </w:tc>
        <w:tc>
          <w:tcPr>
            <w:tcW w:w="2045" w:type="dxa"/>
            <w:gridSpan w:val="2"/>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科目名称</w:t>
            </w:r>
          </w:p>
        </w:tc>
        <w:tc>
          <w:tcPr>
            <w:tcW w:w="2795"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合计</w:t>
            </w:r>
          </w:p>
        </w:tc>
        <w:tc>
          <w:tcPr>
            <w:tcW w:w="3127"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基本支出</w:t>
            </w:r>
          </w:p>
        </w:tc>
        <w:tc>
          <w:tcPr>
            <w:tcW w:w="3856"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项目支出</w:t>
            </w:r>
          </w:p>
        </w:tc>
      </w:tr>
      <w:tr>
        <w:tblPrEx>
          <w:tblCellMar>
            <w:top w:w="0" w:type="dxa"/>
            <w:left w:w="108" w:type="dxa"/>
            <w:bottom w:w="0" w:type="dxa"/>
            <w:right w:w="108" w:type="dxa"/>
          </w:tblCellMar>
        </w:tblPrEx>
        <w:trPr>
          <w:trHeight w:val="408" w:hRule="atLeast"/>
        </w:trPr>
        <w:tc>
          <w:tcPr>
            <w:tcW w:w="2181"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045" w:type="dxa"/>
            <w:gridSpan w:val="2"/>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795"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12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856"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r>
      <w:tr>
        <w:tblPrEx>
          <w:tblCellMar>
            <w:top w:w="0" w:type="dxa"/>
            <w:left w:w="108" w:type="dxa"/>
            <w:bottom w:w="0" w:type="dxa"/>
            <w:right w:w="108" w:type="dxa"/>
          </w:tblCellMar>
        </w:tblPrEx>
        <w:trPr>
          <w:trHeight w:val="408" w:hRule="atLeast"/>
        </w:trPr>
        <w:tc>
          <w:tcPr>
            <w:tcW w:w="2181"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045" w:type="dxa"/>
            <w:gridSpan w:val="2"/>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795"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12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856"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r>
      <w:tr>
        <w:tblPrEx>
          <w:tblCellMar>
            <w:top w:w="0" w:type="dxa"/>
            <w:left w:w="108" w:type="dxa"/>
            <w:bottom w:w="0" w:type="dxa"/>
            <w:right w:w="108" w:type="dxa"/>
          </w:tblCellMar>
        </w:tblPrEx>
        <w:trPr>
          <w:trHeight w:val="408" w:hRule="atLeast"/>
        </w:trPr>
        <w:tc>
          <w:tcPr>
            <w:tcW w:w="4226" w:type="dxa"/>
            <w:gridSpan w:val="5"/>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栏次</w:t>
            </w:r>
          </w:p>
        </w:tc>
        <w:tc>
          <w:tcPr>
            <w:tcW w:w="2795" w:type="dxa"/>
            <w:gridSpan w:val="2"/>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1</w:t>
            </w:r>
          </w:p>
        </w:tc>
        <w:tc>
          <w:tcPr>
            <w:tcW w:w="3127" w:type="dxa"/>
            <w:gridSpan w:val="2"/>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2</w:t>
            </w:r>
          </w:p>
        </w:tc>
        <w:tc>
          <w:tcPr>
            <w:tcW w:w="3856" w:type="dxa"/>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3</w:t>
            </w:r>
          </w:p>
        </w:tc>
      </w:tr>
      <w:tr>
        <w:tblPrEx>
          <w:tblCellMar>
            <w:top w:w="0" w:type="dxa"/>
            <w:left w:w="108" w:type="dxa"/>
            <w:bottom w:w="0" w:type="dxa"/>
            <w:right w:w="108" w:type="dxa"/>
          </w:tblCellMar>
        </w:tblPrEx>
        <w:trPr>
          <w:trHeight w:val="408" w:hRule="atLeast"/>
        </w:trPr>
        <w:tc>
          <w:tcPr>
            <w:tcW w:w="4226" w:type="dxa"/>
            <w:gridSpan w:val="5"/>
            <w:tcBorders>
              <w:top w:val="nil"/>
              <w:left w:val="single" w:color="auto" w:sz="8" w:space="0"/>
              <w:bottom w:val="single" w:color="auto" w:sz="4" w:space="0"/>
              <w:right w:val="single" w:color="000000"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合计</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lang w:eastAsia="zh-CN"/>
              </w:rPr>
              <w:t>无</w:t>
            </w: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730" w:hRule="atLeast"/>
        </w:trPr>
        <w:tc>
          <w:tcPr>
            <w:tcW w:w="14004" w:type="dxa"/>
            <w:gridSpan w:val="10"/>
            <w:tcBorders>
              <w:top w:val="single" w:color="auto" w:sz="8" w:space="0"/>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Times New Roman" w:hAnsi="Times New Roman" w:eastAsia="仿宋_GB2312" w:cs="Times New Roman"/>
                <w:szCs w:val="21"/>
                <w:lang w:eastAsia="zh-CN"/>
              </w:rPr>
              <w:t>注：本表反映部门本年度国有资本经营预算财政拨款支出情况。</w:t>
            </w:r>
          </w:p>
        </w:tc>
      </w:tr>
    </w:tbl>
    <w:p>
      <w:pPr>
        <w:widowControl/>
        <w:spacing w:line="300" w:lineRule="auto"/>
        <w:jc w:val="right"/>
        <w:rPr>
          <w:rFonts w:eastAsia="仿宋_GB2312"/>
          <w:color w:val="000000"/>
          <w:szCs w:val="21"/>
          <w:lang w:eastAsia="zh-CN"/>
        </w:rPr>
      </w:pPr>
    </w:p>
    <w:p>
      <w:pPr>
        <w:widowControl/>
        <w:spacing w:line="300" w:lineRule="auto"/>
        <w:jc w:val="right"/>
        <w:rPr>
          <w:rFonts w:eastAsia="仿宋_GB2312"/>
          <w:color w:val="000000"/>
          <w:szCs w:val="21"/>
          <w:lang w:eastAsia="zh-CN"/>
        </w:rPr>
      </w:pPr>
    </w:p>
    <w:p>
      <w:pPr>
        <w:widowControl/>
        <w:spacing w:line="300" w:lineRule="auto"/>
        <w:rPr>
          <w:rFonts w:ascii="黑体" w:hAnsi="黑体" w:eastAsia="黑体"/>
          <w:szCs w:val="21"/>
          <w:lang w:eastAsia="zh-CN"/>
        </w:rPr>
      </w:pPr>
    </w:p>
    <w:p>
      <w:pPr>
        <w:spacing w:before="15" w:line="300" w:lineRule="auto"/>
        <w:ind w:left="4324"/>
        <w:rPr>
          <w:rFonts w:ascii="PMingLiU" w:hAnsi="PMingLiU" w:eastAsia="PMingLiU" w:cs="PMingLiU"/>
          <w:sz w:val="30"/>
          <w:szCs w:val="30"/>
          <w:lang w:eastAsia="zh-CN"/>
        </w:rPr>
      </w:pPr>
    </w:p>
    <w:p>
      <w:pPr>
        <w:spacing w:before="15" w:line="300" w:lineRule="auto"/>
        <w:ind w:left="4324"/>
        <w:rPr>
          <w:rFonts w:ascii="PMingLiU" w:hAnsi="PMingLiU" w:eastAsia="PMingLiU" w:cs="PMingLiU"/>
          <w:sz w:val="30"/>
          <w:szCs w:val="30"/>
          <w:lang w:eastAsia="zh-CN"/>
        </w:rPr>
      </w:pPr>
    </w:p>
    <w:p>
      <w:pPr>
        <w:spacing w:line="300" w:lineRule="auto"/>
        <w:ind w:right="136"/>
        <w:rPr>
          <w:rFonts w:ascii="PMingLiU" w:hAnsi="PMingLiU" w:cs="PMingLiU" w:eastAsiaTheme="minorEastAsia"/>
          <w:sz w:val="72"/>
          <w:szCs w:val="72"/>
          <w:lang w:eastAsia="zh-CN"/>
        </w:rPr>
        <w:sectPr>
          <w:footerReference r:id="rId7" w:type="default"/>
          <w:pgSz w:w="16840" w:h="11910" w:orient="landscape"/>
          <w:pgMar w:top="1080" w:right="1440" w:bottom="1080" w:left="1440" w:header="0" w:footer="958" w:gutter="0"/>
          <w:pgNumType w:start="21"/>
          <w:cols w:space="720" w:num="1"/>
          <w:docGrid w:linePitch="299" w:charSpace="0"/>
        </w:sectPr>
      </w:pPr>
    </w:p>
    <w:p>
      <w:pPr>
        <w:pStyle w:val="3"/>
        <w:spacing w:line="300" w:lineRule="auto"/>
        <w:ind w:left="135" w:right="136"/>
        <w:jc w:val="center"/>
        <w:rPr>
          <w:rFonts w:ascii="宋体" w:hAnsi="宋体" w:eastAsia="宋体" w:cs="宋体"/>
          <w:lang w:eastAsia="zh-CN"/>
        </w:rPr>
      </w:pPr>
    </w:p>
    <w:p>
      <w:pPr>
        <w:pStyle w:val="3"/>
        <w:spacing w:line="300" w:lineRule="auto"/>
        <w:ind w:left="0" w:right="136"/>
        <w:rPr>
          <w:rFonts w:ascii="宋体" w:hAnsi="宋体" w:eastAsia="宋体" w:cs="宋体"/>
          <w:lang w:eastAsia="zh-CN"/>
        </w:rPr>
      </w:pPr>
    </w:p>
    <w:p>
      <w:pPr>
        <w:spacing w:line="300" w:lineRule="auto"/>
        <w:rPr>
          <w:rFonts w:eastAsiaTheme="minorEastAsia"/>
          <w:lang w:eastAsia="zh-CN"/>
        </w:rPr>
      </w:pPr>
    </w:p>
    <w:p>
      <w:pPr>
        <w:pStyle w:val="3"/>
        <w:spacing w:line="300" w:lineRule="auto"/>
        <w:ind w:left="135" w:right="136"/>
        <w:jc w:val="center"/>
        <w:rPr>
          <w:rFonts w:ascii="宋体" w:hAnsi="宋体" w:eastAsia="宋体" w:cs="宋体"/>
          <w:lang w:eastAsia="zh-CN"/>
        </w:rPr>
      </w:pPr>
    </w:p>
    <w:p>
      <w:pPr>
        <w:pStyle w:val="3"/>
        <w:spacing w:line="300" w:lineRule="auto"/>
        <w:ind w:left="135" w:right="136"/>
        <w:jc w:val="center"/>
        <w:rPr>
          <w:rFonts w:ascii="宋体" w:hAnsi="宋体" w:eastAsia="宋体" w:cs="宋体"/>
          <w:lang w:eastAsia="zh-CN"/>
        </w:rPr>
      </w:pPr>
    </w:p>
    <w:p>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第三部分</w:t>
      </w:r>
    </w:p>
    <w:p>
      <w:pPr>
        <w:widowControl/>
        <w:spacing w:line="300" w:lineRule="auto"/>
        <w:jc w:val="center"/>
        <w:outlineLvl w:val="0"/>
        <w:rPr>
          <w:rFonts w:ascii="黑体" w:hAnsi="黑体" w:eastAsia="黑体" w:cs="黑体"/>
          <w:b/>
          <w:sz w:val="44"/>
          <w:szCs w:val="44"/>
          <w:lang w:eastAsia="zh-CN"/>
        </w:rPr>
      </w:pPr>
    </w:p>
    <w:p>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2023</w:t>
      </w:r>
      <w:r>
        <w:rPr>
          <w:rFonts w:ascii="黑体" w:hAnsi="黑体" w:eastAsia="黑体" w:cs="黑体"/>
          <w:b/>
          <w:sz w:val="44"/>
          <w:szCs w:val="44"/>
          <w:lang w:eastAsia="zh-CN"/>
        </w:rPr>
        <w:t>年度部门决算情况说明</w:t>
      </w: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p>
    <w:p>
      <w:pPr>
        <w:pStyle w:val="16"/>
        <w:spacing w:line="300" w:lineRule="auto"/>
        <w:outlineLvl w:val="1"/>
        <w:rPr>
          <w:rFonts w:hAnsi="黑体" w:cs="Times New Roman"/>
          <w:color w:val="auto"/>
          <w:sz w:val="32"/>
          <w:szCs w:val="32"/>
        </w:rPr>
      </w:pPr>
    </w:p>
    <w:p>
      <w:pPr>
        <w:pStyle w:val="16"/>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年度收、支总计</w:t>
      </w:r>
      <w:r>
        <w:rPr>
          <w:rFonts w:hint="eastAsia" w:ascii="Times New Roman" w:hAnsi="Times New Roman" w:eastAsia="仿宋_GB2312" w:cs="Times New Roman"/>
          <w:color w:val="auto"/>
          <w:sz w:val="32"/>
          <w:szCs w:val="32"/>
          <w:lang w:val="en-US" w:eastAsia="zh-CN"/>
        </w:rPr>
        <w:t>3365.79</w:t>
      </w:r>
      <w:r>
        <w:rPr>
          <w:rFonts w:hint="eastAsia" w:ascii="Times New Roman" w:hAnsi="Times New Roman" w:eastAsia="仿宋_GB2312" w:cs="Times New Roman"/>
          <w:color w:val="auto"/>
          <w:sz w:val="32"/>
          <w:szCs w:val="32"/>
        </w:rPr>
        <w:t>万元。与上年相比，减少</w:t>
      </w:r>
      <w:r>
        <w:rPr>
          <w:rFonts w:hint="eastAsia" w:ascii="Times New Roman" w:hAnsi="Times New Roman" w:eastAsia="仿宋_GB2312" w:cs="Times New Roman"/>
          <w:color w:val="auto"/>
          <w:sz w:val="32"/>
          <w:szCs w:val="32"/>
          <w:lang w:val="en-US" w:eastAsia="zh-CN"/>
        </w:rPr>
        <w:t>641.54</w:t>
      </w:r>
      <w:r>
        <w:rPr>
          <w:rFonts w:hint="eastAsia" w:ascii="Times New Roman" w:hAnsi="Times New Roman" w:eastAsia="仿宋_GB2312" w:cs="Times New Roman"/>
          <w:color w:val="auto"/>
          <w:sz w:val="32"/>
          <w:szCs w:val="32"/>
        </w:rPr>
        <w:t>万元，减少</w:t>
      </w:r>
      <w:r>
        <w:rPr>
          <w:rFonts w:hint="eastAsia" w:ascii="Times New Roman" w:hAnsi="Times New Roman" w:eastAsia="仿宋_GB2312" w:cs="Times New Roman"/>
          <w:color w:val="auto"/>
          <w:sz w:val="32"/>
          <w:szCs w:val="32"/>
          <w:lang w:val="en-US" w:eastAsia="zh-CN"/>
        </w:rPr>
        <w:t>16.01</w:t>
      </w:r>
      <w:r>
        <w:rPr>
          <w:rFonts w:hint="eastAsia" w:ascii="Times New Roman" w:hAnsi="Times New Roman" w:eastAsia="仿宋_GB2312" w:cs="Times New Roman"/>
          <w:color w:val="auto"/>
          <w:sz w:val="32"/>
          <w:szCs w:val="32"/>
        </w:rPr>
        <w:t>%，主要原因是</w:t>
      </w:r>
      <w:r>
        <w:rPr>
          <w:rFonts w:hint="eastAsia" w:ascii="Times New Roman" w:hAnsi="Times New Roman" w:eastAsia="仿宋_GB2312" w:cs="Times New Roman"/>
          <w:color w:val="auto"/>
          <w:sz w:val="32"/>
          <w:szCs w:val="32"/>
          <w:lang w:eastAsia="zh-CN"/>
        </w:rPr>
        <w:t>降本增效，节省行政开支</w:t>
      </w:r>
      <w:r>
        <w:rPr>
          <w:rFonts w:hint="eastAsia" w:ascii="Times New Roman" w:hAnsi="Times New Roman" w:eastAsia="仿宋_GB2312" w:cs="Times New Roman"/>
          <w:color w:val="auto"/>
          <w:sz w:val="32"/>
          <w:szCs w:val="32"/>
        </w:rPr>
        <w:t>。</w:t>
      </w:r>
    </w:p>
    <w:p>
      <w:pPr>
        <w:pStyle w:val="16"/>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本年收入合计</w:t>
      </w:r>
      <w:r>
        <w:rPr>
          <w:rFonts w:hint="eastAsia" w:ascii="Times New Roman" w:hAnsi="Times New Roman" w:eastAsia="仿宋_GB2312" w:cs="Times New Roman"/>
          <w:color w:val="auto"/>
          <w:sz w:val="32"/>
          <w:szCs w:val="32"/>
          <w:lang w:val="en-US" w:eastAsia="zh-CN"/>
        </w:rPr>
        <w:t>3365.79</w:t>
      </w:r>
      <w:r>
        <w:rPr>
          <w:rFonts w:hint="eastAsia"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lang w:val="en-US" w:eastAsia="zh-CN"/>
        </w:rPr>
        <w:t>2536.65</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75.37</w:t>
      </w:r>
      <w:r>
        <w:rPr>
          <w:rFonts w:hint="eastAsia" w:ascii="Times New Roman" w:hAnsi="Times New Roman" w:eastAsia="仿宋_GB2312" w:cs="Times New Roman"/>
          <w:color w:val="auto"/>
          <w:sz w:val="32"/>
          <w:szCs w:val="32"/>
        </w:rPr>
        <w:t>％ ；上级补助收入0万元，占0%；事业收入0万元，占0%；经营收入0万元，占0%；附属单位上缴收入0万元，占0%；其他收入0万元，占0%。其他收入</w:t>
      </w:r>
      <w:r>
        <w:rPr>
          <w:rFonts w:hint="eastAsia" w:ascii="Times New Roman" w:hAnsi="Times New Roman" w:eastAsia="仿宋_GB2312" w:cs="Times New Roman"/>
          <w:color w:val="auto"/>
          <w:sz w:val="32"/>
          <w:szCs w:val="32"/>
          <w:lang w:val="en-US" w:eastAsia="zh-CN"/>
        </w:rPr>
        <w:t>829.15</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24.63</w:t>
      </w:r>
      <w:r>
        <w:rPr>
          <w:rFonts w:hint="eastAsia" w:ascii="Times New Roman" w:hAnsi="Times New Roman" w:eastAsia="仿宋_GB2312" w:cs="Times New Roman"/>
          <w:color w:val="auto"/>
          <w:sz w:val="32"/>
          <w:szCs w:val="32"/>
        </w:rPr>
        <w:t>％。</w:t>
      </w:r>
    </w:p>
    <w:p>
      <w:pPr>
        <w:pStyle w:val="16"/>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年度总支出</w:t>
      </w:r>
      <w:r>
        <w:rPr>
          <w:rFonts w:hint="eastAsia" w:ascii="Times New Roman" w:hAnsi="Times New Roman" w:eastAsia="仿宋_GB2312" w:cs="Times New Roman"/>
          <w:color w:val="auto"/>
          <w:sz w:val="32"/>
          <w:szCs w:val="32"/>
          <w:lang w:val="en-US" w:eastAsia="zh-CN"/>
        </w:rPr>
        <w:t>3365.79</w:t>
      </w:r>
      <w:r>
        <w:rPr>
          <w:rFonts w:hint="eastAsia"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lang w:val="en-US" w:eastAsia="zh-CN"/>
        </w:rPr>
        <w:t>3121.96</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92.76</w:t>
      </w:r>
      <w:r>
        <w:rPr>
          <w:rFonts w:hint="eastAsia" w:ascii="Times New Roman" w:hAnsi="Times New Roman" w:eastAsia="仿宋_GB2312" w:cs="Times New Roman"/>
          <w:color w:val="auto"/>
          <w:sz w:val="32"/>
          <w:szCs w:val="32"/>
        </w:rPr>
        <w:t>%；项目支出</w:t>
      </w:r>
      <w:r>
        <w:rPr>
          <w:rFonts w:hint="eastAsia" w:ascii="Times New Roman" w:hAnsi="Times New Roman" w:eastAsia="仿宋_GB2312" w:cs="Times New Roman"/>
          <w:color w:val="auto"/>
          <w:sz w:val="32"/>
          <w:szCs w:val="32"/>
          <w:lang w:val="en-US" w:eastAsia="zh-CN"/>
        </w:rPr>
        <w:t>243.83</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7.24</w:t>
      </w:r>
      <w:r>
        <w:rPr>
          <w:rFonts w:hint="eastAsia" w:ascii="Times New Roman" w:hAnsi="Times New Roman" w:eastAsia="仿宋_GB2312" w:cs="Times New Roman"/>
          <w:color w:val="auto"/>
          <w:sz w:val="32"/>
          <w:szCs w:val="32"/>
        </w:rPr>
        <w:t>%；上缴上级支出0万元，占0%；经营支出0万元，占0%；对附属单位补助支出0万元，占0%。</w:t>
      </w:r>
    </w:p>
    <w:p>
      <w:pPr>
        <w:pStyle w:val="16"/>
        <w:spacing w:line="300" w:lineRule="auto"/>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年度财政拨款收、支</w:t>
      </w:r>
      <w:r>
        <w:rPr>
          <w:rFonts w:hint="eastAsia" w:ascii="Times New Roman" w:hAnsi="Times New Roman" w:eastAsia="仿宋_GB2312" w:cs="Times New Roman"/>
          <w:color w:val="auto"/>
          <w:sz w:val="32"/>
          <w:szCs w:val="32"/>
          <w:lang w:val="en-US" w:eastAsia="zh-CN"/>
        </w:rPr>
        <w:t>2536.65</w:t>
      </w:r>
      <w:r>
        <w:rPr>
          <w:rFonts w:hint="eastAsia" w:ascii="Times New Roman" w:hAnsi="Times New Roman" w:eastAsia="仿宋_GB2312" w:cs="Times New Roman"/>
          <w:color w:val="auto"/>
          <w:sz w:val="32"/>
          <w:szCs w:val="32"/>
        </w:rPr>
        <w:t>万元，占本年收、支合计的</w:t>
      </w:r>
      <w:r>
        <w:rPr>
          <w:rFonts w:hint="eastAsia" w:ascii="Times New Roman" w:hAnsi="Times New Roman" w:eastAsia="仿宋_GB2312" w:cs="Times New Roman"/>
          <w:color w:val="auto"/>
          <w:sz w:val="32"/>
          <w:szCs w:val="32"/>
          <w:lang w:val="en-US" w:eastAsia="zh-CN"/>
        </w:rPr>
        <w:t>75.37</w:t>
      </w:r>
      <w:r>
        <w:rPr>
          <w:rFonts w:hint="eastAsia" w:ascii="Times New Roman" w:hAnsi="Times New Roman" w:eastAsia="仿宋_GB2312" w:cs="Times New Roman"/>
          <w:color w:val="auto"/>
          <w:sz w:val="32"/>
          <w:szCs w:val="32"/>
        </w:rPr>
        <w:t>%，与</w:t>
      </w:r>
      <w:r>
        <w:rPr>
          <w:rFonts w:hint="eastAsia" w:ascii="Times New Roman" w:hAnsi="Times New Roman" w:eastAsia="仿宋_GB2312" w:cs="Times New Roman"/>
          <w:color w:val="auto"/>
          <w:sz w:val="32"/>
          <w:szCs w:val="32"/>
          <w:lang w:val="en-US" w:eastAsia="zh-CN"/>
        </w:rPr>
        <w:t>2022</w:t>
      </w:r>
      <w:r>
        <w:rPr>
          <w:rFonts w:hint="eastAsia" w:ascii="Times New Roman" w:hAnsi="Times New Roman" w:eastAsia="仿宋_GB2312" w:cs="Times New Roman"/>
          <w:color w:val="auto"/>
          <w:sz w:val="32"/>
          <w:szCs w:val="32"/>
        </w:rPr>
        <w:t>年相比，财政拨款支出减少</w:t>
      </w:r>
      <w:r>
        <w:rPr>
          <w:rFonts w:hint="eastAsia" w:ascii="Times New Roman" w:hAnsi="Times New Roman" w:eastAsia="仿宋_GB2312" w:cs="Times New Roman"/>
          <w:color w:val="auto"/>
          <w:sz w:val="32"/>
          <w:szCs w:val="32"/>
          <w:lang w:val="en-US" w:eastAsia="zh-CN"/>
        </w:rPr>
        <w:t>184.68</w:t>
      </w:r>
      <w:r>
        <w:rPr>
          <w:rFonts w:hint="eastAsia" w:ascii="Times New Roman" w:hAnsi="Times New Roman" w:eastAsia="仿宋_GB2312" w:cs="Times New Roman"/>
          <w:color w:val="auto"/>
          <w:sz w:val="32"/>
          <w:szCs w:val="32"/>
        </w:rPr>
        <w:t>万元，减少</w:t>
      </w:r>
      <w:r>
        <w:rPr>
          <w:rFonts w:hint="eastAsia" w:ascii="Times New Roman" w:hAnsi="Times New Roman" w:eastAsia="仿宋_GB2312" w:cs="Times New Roman"/>
          <w:color w:val="auto"/>
          <w:sz w:val="32"/>
          <w:szCs w:val="32"/>
          <w:lang w:val="en-US" w:eastAsia="zh-CN"/>
        </w:rPr>
        <w:t>6.79</w:t>
      </w:r>
      <w:r>
        <w:rPr>
          <w:rFonts w:hint="eastAsia" w:ascii="Times New Roman" w:hAnsi="Times New Roman" w:eastAsia="仿宋_GB2312" w:cs="Times New Roman"/>
          <w:color w:val="auto"/>
          <w:sz w:val="32"/>
          <w:szCs w:val="32"/>
        </w:rPr>
        <w:t>%。主要原因是</w:t>
      </w:r>
      <w:r>
        <w:rPr>
          <w:rFonts w:hint="eastAsia" w:ascii="Times New Roman" w:hAnsi="Times New Roman" w:eastAsia="仿宋_GB2312" w:cs="Times New Roman"/>
          <w:color w:val="auto"/>
          <w:sz w:val="32"/>
          <w:szCs w:val="32"/>
          <w:lang w:eastAsia="zh-CN"/>
        </w:rPr>
        <w:t>降本增效，节省行政开支</w:t>
      </w:r>
      <w:r>
        <w:rPr>
          <w:rFonts w:hint="eastAsia" w:ascii="Times New Roman" w:hAnsi="Times New Roman" w:eastAsia="仿宋_GB2312" w:cs="Times New Roman"/>
          <w:color w:val="auto"/>
          <w:sz w:val="32"/>
          <w:szCs w:val="32"/>
        </w:rPr>
        <w:t>。</w:t>
      </w:r>
    </w:p>
    <w:p>
      <w:pPr>
        <w:pStyle w:val="16"/>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pPr>
        <w:spacing w:before="67" w:line="300" w:lineRule="auto"/>
        <w:ind w:left="740" w:right="83"/>
        <w:rPr>
          <w:rFonts w:ascii="Microsoft JhengHei" w:hAnsi="Microsoft JhengHei" w:eastAsia="Microsoft JhengHei" w:cs="Microsoft JhengHei"/>
          <w:b/>
          <w:bCs/>
          <w:w w:val="99"/>
          <w:sz w:val="32"/>
          <w:szCs w:val="32"/>
          <w:lang w:eastAsia="zh-CN"/>
        </w:rPr>
      </w:pPr>
      <w:r>
        <w:rPr>
          <w:rFonts w:hint="eastAsia" w:ascii="楷体_GB2312" w:hAnsi="Times New Roman" w:eastAsia="楷体_GB2312" w:cs="Times New Roman"/>
          <w:b/>
          <w:sz w:val="32"/>
          <w:szCs w:val="32"/>
          <w:lang w:eastAsia="zh-CN"/>
        </w:rPr>
        <w:t xml:space="preserve">（一）财政拨款支出决算总体情况 </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lang w:val="en-US" w:eastAsia="zh-CN"/>
        </w:rPr>
        <w:t>2536.65</w:t>
      </w:r>
      <w:r>
        <w:rPr>
          <w:rFonts w:hint="eastAsia" w:ascii="Times New Roman" w:hAnsi="Times New Roman" w:eastAsia="仿宋_GB2312" w:cs="Times New Roman"/>
          <w:color w:val="auto"/>
          <w:sz w:val="32"/>
          <w:szCs w:val="32"/>
        </w:rPr>
        <w:t>万元，占本年支出合计的</w:t>
      </w:r>
      <w:r>
        <w:rPr>
          <w:rFonts w:hint="eastAsia" w:ascii="Times New Roman" w:hAnsi="Times New Roman" w:eastAsia="仿宋_GB2312" w:cs="Times New Roman"/>
          <w:color w:val="auto"/>
          <w:sz w:val="32"/>
          <w:szCs w:val="32"/>
          <w:lang w:val="en-US" w:eastAsia="zh-CN"/>
        </w:rPr>
        <w:t>75.37</w:t>
      </w:r>
      <w:r>
        <w:rPr>
          <w:rFonts w:hint="eastAsia" w:ascii="Times New Roman" w:hAnsi="Times New Roman" w:eastAsia="仿宋_GB2312" w:cs="Times New Roman"/>
          <w:color w:val="auto"/>
          <w:sz w:val="32"/>
          <w:szCs w:val="32"/>
        </w:rPr>
        <w:t>%，与</w:t>
      </w:r>
      <w:r>
        <w:rPr>
          <w:rFonts w:hint="eastAsia" w:ascii="Times New Roman" w:hAnsi="Times New Roman" w:eastAsia="仿宋_GB2312" w:cs="Times New Roman"/>
          <w:color w:val="auto"/>
          <w:sz w:val="32"/>
          <w:szCs w:val="32"/>
          <w:lang w:val="en-US" w:eastAsia="zh-CN"/>
        </w:rPr>
        <w:t>2022</w:t>
      </w:r>
      <w:r>
        <w:rPr>
          <w:rFonts w:hint="eastAsia" w:ascii="Times New Roman" w:hAnsi="Times New Roman" w:eastAsia="仿宋_GB2312" w:cs="Times New Roman"/>
          <w:color w:val="auto"/>
          <w:sz w:val="32"/>
          <w:szCs w:val="32"/>
        </w:rPr>
        <w:t>年相比，财政拨款支出减少</w:t>
      </w:r>
      <w:r>
        <w:rPr>
          <w:rFonts w:hint="eastAsia" w:ascii="Times New Roman" w:hAnsi="Times New Roman" w:eastAsia="仿宋_GB2312" w:cs="Times New Roman"/>
          <w:color w:val="auto"/>
          <w:sz w:val="32"/>
          <w:szCs w:val="32"/>
          <w:lang w:val="en-US" w:eastAsia="zh-CN"/>
        </w:rPr>
        <w:t>184.68</w:t>
      </w:r>
      <w:r>
        <w:rPr>
          <w:rFonts w:hint="eastAsia" w:ascii="Times New Roman" w:hAnsi="Times New Roman" w:eastAsia="仿宋_GB2312" w:cs="Times New Roman"/>
          <w:color w:val="auto"/>
          <w:sz w:val="32"/>
          <w:szCs w:val="32"/>
        </w:rPr>
        <w:t>万元，减少</w:t>
      </w:r>
      <w:r>
        <w:rPr>
          <w:rFonts w:hint="eastAsia" w:ascii="Times New Roman" w:hAnsi="Times New Roman" w:eastAsia="仿宋_GB2312" w:cs="Times New Roman"/>
          <w:color w:val="auto"/>
          <w:sz w:val="32"/>
          <w:szCs w:val="32"/>
          <w:lang w:val="en-US" w:eastAsia="zh-CN"/>
        </w:rPr>
        <w:t>6.79</w:t>
      </w:r>
      <w:r>
        <w:rPr>
          <w:rFonts w:hint="eastAsia" w:ascii="Times New Roman" w:hAnsi="Times New Roman" w:eastAsia="仿宋_GB2312" w:cs="Times New Roman"/>
          <w:color w:val="auto"/>
          <w:sz w:val="32"/>
          <w:szCs w:val="32"/>
        </w:rPr>
        <w:t>%。主要原因是</w:t>
      </w:r>
      <w:r>
        <w:rPr>
          <w:rFonts w:hint="eastAsia" w:ascii="Times New Roman" w:hAnsi="Times New Roman" w:eastAsia="仿宋_GB2312" w:cs="Times New Roman"/>
          <w:color w:val="auto"/>
          <w:sz w:val="32"/>
          <w:szCs w:val="32"/>
          <w:lang w:eastAsia="zh-CN"/>
        </w:rPr>
        <w:t>降本增效，节省行政开支</w:t>
      </w:r>
      <w:r>
        <w:rPr>
          <w:rFonts w:hint="eastAsia" w:ascii="Times New Roman" w:hAnsi="Times New Roman" w:eastAsia="仿宋_GB2312" w:cs="Times New Roman"/>
          <w:color w:val="auto"/>
          <w:sz w:val="32"/>
          <w:szCs w:val="32"/>
        </w:rPr>
        <w:t>。</w:t>
      </w:r>
    </w:p>
    <w:p>
      <w:pPr>
        <w:pStyle w:val="16"/>
        <w:spacing w:line="300" w:lineRule="auto"/>
        <w:ind w:firstLine="640"/>
        <w:rPr>
          <w:rFonts w:ascii="楷体_GB2312" w:hAnsi="Times New Roman" w:eastAsia="楷体_GB2312" w:cs="Times New Roman"/>
          <w:b/>
          <w:sz w:val="32"/>
          <w:szCs w:val="32"/>
        </w:rPr>
      </w:pPr>
      <w:r>
        <w:rPr>
          <w:rFonts w:hint="eastAsia" w:ascii="楷体_GB2312" w:hAnsi="Times New Roman" w:eastAsia="楷体_GB2312" w:cs="Times New Roman"/>
          <w:b/>
          <w:sz w:val="32"/>
          <w:szCs w:val="32"/>
        </w:rPr>
        <w:t>（二）财政拨款支出决算结构情况</w:t>
      </w:r>
    </w:p>
    <w:p>
      <w:pPr>
        <w:pStyle w:val="16"/>
        <w:spacing w:line="300" w:lineRule="auto"/>
        <w:ind w:firstLine="640"/>
        <w:rPr>
          <w:rFonts w:asciiTheme="minorEastAsia" w:hAnsiTheme="minorEastAsia" w:eastAsiaTheme="minorEastAsia"/>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lang w:val="en-US" w:eastAsia="zh-CN"/>
        </w:rPr>
        <w:t>2536.65</w:t>
      </w:r>
      <w:r>
        <w:rPr>
          <w:rFonts w:hint="eastAsia" w:ascii="Times New Roman" w:hAnsi="Times New Roman" w:eastAsia="仿宋_GB2312" w:cs="Times New Roman"/>
          <w:color w:val="auto"/>
          <w:sz w:val="32"/>
          <w:szCs w:val="32"/>
        </w:rPr>
        <w:t>万元，主要用于以下方面：一般公共服务支出</w:t>
      </w:r>
      <w:r>
        <w:rPr>
          <w:rFonts w:hint="eastAsia" w:ascii="Times New Roman" w:hAnsi="Times New Roman" w:eastAsia="仿宋_GB2312" w:cs="Times New Roman"/>
          <w:color w:val="auto"/>
          <w:sz w:val="32"/>
          <w:szCs w:val="32"/>
          <w:lang w:val="en-US" w:eastAsia="zh-CN"/>
        </w:rPr>
        <w:t>1473.25</w:t>
      </w:r>
      <w:r>
        <w:rPr>
          <w:rFonts w:hint="eastAsia" w:ascii="Times New Roman" w:hAnsi="Times New Roman" w:eastAsia="仿宋_GB2312" w:cs="Times New Roman"/>
          <w:color w:val="auto"/>
          <w:sz w:val="32"/>
          <w:szCs w:val="32"/>
        </w:rPr>
        <w:t>万元，占总支出</w:t>
      </w:r>
      <w:r>
        <w:rPr>
          <w:rFonts w:hint="eastAsia" w:ascii="Times New Roman" w:hAnsi="Times New Roman" w:eastAsia="仿宋_GB2312" w:cs="Times New Roman"/>
          <w:color w:val="auto"/>
          <w:sz w:val="32"/>
          <w:szCs w:val="32"/>
          <w:lang w:val="en-US" w:eastAsia="zh-CN"/>
        </w:rPr>
        <w:t>58.08</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国防支出</w:t>
      </w:r>
      <w:r>
        <w:rPr>
          <w:rFonts w:hint="eastAsia" w:ascii="Times New Roman" w:hAnsi="Times New Roman" w:eastAsia="仿宋_GB2312" w:cs="Times New Roman"/>
          <w:color w:val="auto"/>
          <w:sz w:val="32"/>
          <w:szCs w:val="32"/>
          <w:lang w:val="en-US" w:eastAsia="zh-CN"/>
        </w:rPr>
        <w:t>3.72万元，占总支出0.15%，科学技术支出2.87万元，占总支出0.11%，</w:t>
      </w:r>
      <w:r>
        <w:rPr>
          <w:rFonts w:hint="eastAsia" w:ascii="Times New Roman" w:hAnsi="Times New Roman" w:eastAsia="仿宋_GB2312" w:cs="Times New Roman"/>
          <w:color w:val="auto"/>
          <w:sz w:val="32"/>
          <w:szCs w:val="32"/>
        </w:rPr>
        <w:t>社会保障和就业支出</w:t>
      </w:r>
      <w:r>
        <w:rPr>
          <w:rFonts w:hint="eastAsia" w:ascii="Times New Roman" w:hAnsi="Times New Roman" w:eastAsia="仿宋_GB2312" w:cs="Times New Roman"/>
          <w:color w:val="auto"/>
          <w:sz w:val="32"/>
          <w:szCs w:val="32"/>
          <w:lang w:val="en-US" w:eastAsia="zh-CN"/>
        </w:rPr>
        <w:t>150.31</w:t>
      </w:r>
      <w:r>
        <w:rPr>
          <w:rFonts w:hint="eastAsia" w:ascii="Times New Roman" w:hAnsi="Times New Roman" w:eastAsia="仿宋_GB2312" w:cs="Times New Roman"/>
          <w:color w:val="auto"/>
          <w:sz w:val="32"/>
          <w:szCs w:val="32"/>
        </w:rPr>
        <w:t>万元，占总支出</w:t>
      </w:r>
      <w:r>
        <w:rPr>
          <w:rFonts w:hint="eastAsia" w:ascii="Times New Roman" w:hAnsi="Times New Roman" w:eastAsia="仿宋_GB2312" w:cs="Times New Roman"/>
          <w:color w:val="auto"/>
          <w:sz w:val="32"/>
          <w:szCs w:val="32"/>
          <w:lang w:val="en-US" w:eastAsia="zh-CN"/>
        </w:rPr>
        <w:t>5.93</w:t>
      </w:r>
      <w:r>
        <w:rPr>
          <w:rFonts w:hint="eastAsia" w:ascii="Times New Roman" w:hAnsi="Times New Roman" w:eastAsia="仿宋_GB2312" w:cs="Times New Roman"/>
          <w:color w:val="auto"/>
          <w:sz w:val="32"/>
          <w:szCs w:val="32"/>
        </w:rPr>
        <w:t>％，卫生健康支出</w:t>
      </w:r>
      <w:r>
        <w:rPr>
          <w:rFonts w:hint="eastAsia" w:ascii="Times New Roman" w:hAnsi="Times New Roman" w:eastAsia="仿宋_GB2312" w:cs="Times New Roman"/>
          <w:color w:val="auto"/>
          <w:sz w:val="32"/>
          <w:szCs w:val="32"/>
          <w:lang w:val="en-US" w:eastAsia="zh-CN"/>
        </w:rPr>
        <w:t>89.13</w:t>
      </w:r>
      <w:r>
        <w:rPr>
          <w:rFonts w:hint="eastAsia" w:ascii="Times New Roman" w:hAnsi="Times New Roman" w:eastAsia="仿宋_GB2312" w:cs="Times New Roman"/>
          <w:color w:val="auto"/>
          <w:sz w:val="32"/>
          <w:szCs w:val="32"/>
        </w:rPr>
        <w:t>万元，占总支出</w:t>
      </w:r>
      <w:r>
        <w:rPr>
          <w:rFonts w:hint="eastAsia" w:ascii="Times New Roman" w:hAnsi="Times New Roman" w:eastAsia="仿宋_GB2312" w:cs="Times New Roman"/>
          <w:color w:val="auto"/>
          <w:sz w:val="32"/>
          <w:szCs w:val="32"/>
          <w:lang w:val="en-US" w:eastAsia="zh-CN"/>
        </w:rPr>
        <w:t>3.51</w:t>
      </w:r>
      <w:r>
        <w:rPr>
          <w:rFonts w:hint="eastAsia" w:ascii="Times New Roman" w:hAnsi="Times New Roman" w:eastAsia="仿宋_GB2312" w:cs="Times New Roman"/>
          <w:color w:val="auto"/>
          <w:sz w:val="32"/>
          <w:szCs w:val="32"/>
        </w:rPr>
        <w:t>％，城乡社区支出</w:t>
      </w:r>
      <w:r>
        <w:rPr>
          <w:rFonts w:hint="eastAsia" w:ascii="Times New Roman" w:hAnsi="Times New Roman" w:eastAsia="仿宋_GB2312" w:cs="Times New Roman"/>
          <w:color w:val="auto"/>
          <w:sz w:val="32"/>
          <w:szCs w:val="32"/>
          <w:lang w:val="en-US" w:eastAsia="zh-CN"/>
        </w:rPr>
        <w:t>29.98</w:t>
      </w:r>
      <w:r>
        <w:rPr>
          <w:rFonts w:hint="eastAsia" w:ascii="Times New Roman" w:hAnsi="Times New Roman" w:eastAsia="仿宋_GB2312" w:cs="Times New Roman"/>
          <w:color w:val="auto"/>
          <w:sz w:val="32"/>
          <w:szCs w:val="32"/>
        </w:rPr>
        <w:t>万元，占总支出</w:t>
      </w:r>
      <w:r>
        <w:rPr>
          <w:rFonts w:hint="eastAsia" w:ascii="Times New Roman" w:hAnsi="Times New Roman" w:eastAsia="仿宋_GB2312" w:cs="Times New Roman"/>
          <w:color w:val="auto"/>
          <w:sz w:val="32"/>
          <w:szCs w:val="32"/>
          <w:lang w:val="en-US" w:eastAsia="zh-CN"/>
        </w:rPr>
        <w:t>1.18</w:t>
      </w:r>
      <w:r>
        <w:rPr>
          <w:rFonts w:hint="eastAsia" w:ascii="Times New Roman" w:hAnsi="Times New Roman" w:eastAsia="仿宋_GB2312" w:cs="Times New Roman"/>
          <w:color w:val="auto"/>
          <w:sz w:val="32"/>
          <w:szCs w:val="32"/>
        </w:rPr>
        <w:t>％，农林水支出</w:t>
      </w:r>
      <w:r>
        <w:rPr>
          <w:rFonts w:hint="eastAsia" w:ascii="Times New Roman" w:hAnsi="Times New Roman" w:eastAsia="仿宋_GB2312" w:cs="Times New Roman"/>
          <w:color w:val="auto"/>
          <w:sz w:val="32"/>
          <w:szCs w:val="32"/>
          <w:lang w:val="en-US" w:eastAsia="zh-CN"/>
        </w:rPr>
        <w:t>664.22</w:t>
      </w:r>
      <w:r>
        <w:rPr>
          <w:rFonts w:hint="eastAsia" w:ascii="Times New Roman" w:hAnsi="Times New Roman" w:eastAsia="仿宋_GB2312" w:cs="Times New Roman"/>
          <w:color w:val="auto"/>
          <w:sz w:val="32"/>
          <w:szCs w:val="32"/>
        </w:rPr>
        <w:t>万元，占总支出</w:t>
      </w:r>
      <w:r>
        <w:rPr>
          <w:rFonts w:hint="eastAsia" w:ascii="Times New Roman" w:hAnsi="Times New Roman" w:eastAsia="仿宋_GB2312" w:cs="Times New Roman"/>
          <w:color w:val="auto"/>
          <w:sz w:val="32"/>
          <w:szCs w:val="32"/>
          <w:lang w:val="en-US" w:eastAsia="zh-CN"/>
        </w:rPr>
        <w:t>26.18</w:t>
      </w:r>
      <w:r>
        <w:rPr>
          <w:rFonts w:hint="eastAsia" w:ascii="Times New Roman" w:hAnsi="Times New Roman" w:eastAsia="仿宋_GB2312" w:cs="Times New Roman"/>
          <w:color w:val="auto"/>
          <w:sz w:val="32"/>
          <w:szCs w:val="32"/>
        </w:rPr>
        <w:t>％，住房保障支出</w:t>
      </w:r>
      <w:r>
        <w:rPr>
          <w:rFonts w:hint="eastAsia" w:ascii="Times New Roman" w:hAnsi="Times New Roman" w:eastAsia="仿宋_GB2312" w:cs="Times New Roman"/>
          <w:color w:val="auto"/>
          <w:sz w:val="32"/>
          <w:szCs w:val="32"/>
          <w:lang w:val="en-US" w:eastAsia="zh-CN"/>
        </w:rPr>
        <w:t>104.15</w:t>
      </w:r>
      <w:r>
        <w:rPr>
          <w:rFonts w:hint="eastAsia" w:ascii="Times New Roman" w:hAnsi="Times New Roman" w:eastAsia="仿宋_GB2312" w:cs="Times New Roman"/>
          <w:color w:val="auto"/>
          <w:sz w:val="32"/>
          <w:szCs w:val="32"/>
        </w:rPr>
        <w:t>万元，占总支出</w:t>
      </w:r>
      <w:r>
        <w:rPr>
          <w:rFonts w:hint="eastAsia" w:ascii="Times New Roman" w:hAnsi="Times New Roman" w:eastAsia="仿宋_GB2312" w:cs="Times New Roman"/>
          <w:color w:val="auto"/>
          <w:sz w:val="32"/>
          <w:szCs w:val="32"/>
          <w:lang w:val="en-US" w:eastAsia="zh-CN"/>
        </w:rPr>
        <w:t>4.11</w:t>
      </w:r>
      <w:r>
        <w:rPr>
          <w:rFonts w:hint="eastAsia" w:ascii="Times New Roman" w:hAnsi="Times New Roman" w:eastAsia="仿宋_GB2312" w:cs="Times New Roman"/>
          <w:color w:val="auto"/>
          <w:sz w:val="32"/>
          <w:szCs w:val="32"/>
        </w:rPr>
        <w:t>%，灾害防治及应急管理支出</w:t>
      </w:r>
      <w:r>
        <w:rPr>
          <w:rFonts w:hint="eastAsia" w:ascii="Times New Roman" w:hAnsi="Times New Roman" w:eastAsia="仿宋_GB2312" w:cs="Times New Roman"/>
          <w:color w:val="auto"/>
          <w:sz w:val="32"/>
          <w:szCs w:val="32"/>
          <w:lang w:val="en-US" w:eastAsia="zh-CN"/>
        </w:rPr>
        <w:t>19.00</w:t>
      </w:r>
      <w:r>
        <w:rPr>
          <w:rFonts w:hint="eastAsia" w:ascii="Times New Roman" w:hAnsi="Times New Roman" w:eastAsia="仿宋_GB2312" w:cs="Times New Roman"/>
          <w:color w:val="auto"/>
          <w:sz w:val="32"/>
          <w:szCs w:val="32"/>
        </w:rPr>
        <w:t>万元，占总支出</w:t>
      </w:r>
      <w:r>
        <w:rPr>
          <w:rFonts w:hint="eastAsia" w:ascii="Times New Roman" w:hAnsi="Times New Roman" w:eastAsia="仿宋_GB2312" w:cs="Times New Roman"/>
          <w:color w:val="auto"/>
          <w:sz w:val="32"/>
          <w:szCs w:val="32"/>
          <w:lang w:val="en-US" w:eastAsia="zh-CN"/>
        </w:rPr>
        <w:t>0.75</w:t>
      </w:r>
      <w:r>
        <w:rPr>
          <w:rFonts w:hint="eastAsia" w:ascii="Times New Roman" w:hAnsi="Times New Roman" w:eastAsia="仿宋_GB2312" w:cs="Times New Roman"/>
          <w:color w:val="auto"/>
          <w:sz w:val="32"/>
          <w:szCs w:val="32"/>
        </w:rPr>
        <w:t>%。</w:t>
      </w:r>
    </w:p>
    <w:p>
      <w:pPr>
        <w:spacing w:before="67" w:line="300" w:lineRule="auto"/>
        <w:ind w:left="740" w:right="83"/>
        <w:rPr>
          <w:rFonts w:ascii="楷体_GB2312" w:hAnsi="Times New Roman" w:eastAsia="楷体_GB2312" w:cs="Times New Roman"/>
          <w:b/>
          <w:sz w:val="32"/>
          <w:szCs w:val="32"/>
          <w:lang w:eastAsia="zh-CN"/>
        </w:rPr>
      </w:pPr>
      <w:r>
        <w:rPr>
          <w:rFonts w:hint="eastAsia" w:ascii="楷体_GB2312" w:hAnsi="Times New Roman" w:eastAsia="楷体_GB2312" w:cs="Times New Roman"/>
          <w:b/>
          <w:sz w:val="32"/>
          <w:szCs w:val="32"/>
          <w:lang w:eastAsia="zh-CN"/>
        </w:rPr>
        <w:t>（三）财政拨款支出决算具体情况</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年度财政拨款支出年初预算数为</w:t>
      </w:r>
      <w:r>
        <w:rPr>
          <w:rFonts w:hint="eastAsia" w:ascii="Times New Roman" w:hAnsi="Times New Roman" w:eastAsia="仿宋_GB2312" w:cs="Times New Roman"/>
          <w:color w:val="auto"/>
          <w:sz w:val="32"/>
          <w:szCs w:val="32"/>
          <w:lang w:val="en-US" w:eastAsia="zh-CN"/>
        </w:rPr>
        <w:t>2536.65</w:t>
      </w:r>
      <w:r>
        <w:rPr>
          <w:rFonts w:hint="eastAsia" w:ascii="Times New Roman" w:hAnsi="Times New Roman" w:eastAsia="仿宋_GB2312" w:cs="Times New Roman"/>
          <w:color w:val="auto"/>
          <w:sz w:val="32"/>
          <w:szCs w:val="32"/>
        </w:rPr>
        <w:t>万元，支出决算数为</w:t>
      </w:r>
      <w:r>
        <w:rPr>
          <w:rFonts w:hint="eastAsia" w:ascii="Times New Roman" w:hAnsi="Times New Roman" w:eastAsia="仿宋_GB2312" w:cs="Times New Roman"/>
          <w:color w:val="auto"/>
          <w:sz w:val="32"/>
          <w:szCs w:val="32"/>
          <w:lang w:val="en-US" w:eastAsia="zh-CN"/>
        </w:rPr>
        <w:t>2536.65</w:t>
      </w:r>
      <w:r>
        <w:rPr>
          <w:rFonts w:hint="eastAsia" w:ascii="Times New Roman" w:hAnsi="Times New Roman" w:eastAsia="仿宋_GB2312" w:cs="Times New Roman"/>
          <w:color w:val="auto"/>
          <w:sz w:val="32"/>
          <w:szCs w:val="32"/>
        </w:rPr>
        <w:t>万元，完成年初预算的100%，其中：</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1、一般公共服务（类）人大事务（款）机关服务（项）。</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53.5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53.5</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2、一般公共服务（类）政府办公厅（室）及相关机构事务（款）行政运行（项）。</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1224.99</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1224.99</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3、一般公共服务（类）政府办公厅（室）及相关机构事务（款）一般行政管理事务（项）。</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296.53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296.53</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4、一般公共服务（类）政府办公厅（室）及相关机构事务（款）信访事务（项）。</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46</w:t>
      </w:r>
      <w:r>
        <w:rPr>
          <w:rFonts w:hint="eastAsia" w:ascii="Times New Roman" w:hAnsi="Times New Roman" w:eastAsia="仿宋_GB2312" w:cs="Times New Roman"/>
          <w:color w:val="auto"/>
          <w:sz w:val="32"/>
          <w:szCs w:val="32"/>
        </w:rPr>
        <w:t>.00万元，支出决算为</w:t>
      </w:r>
      <w:r>
        <w:rPr>
          <w:rFonts w:hint="eastAsia" w:ascii="Times New Roman" w:hAnsi="Times New Roman" w:eastAsia="仿宋_GB2312" w:cs="Times New Roman"/>
          <w:color w:val="auto"/>
          <w:sz w:val="32"/>
          <w:szCs w:val="32"/>
          <w:lang w:val="en-US" w:eastAsia="zh-CN"/>
        </w:rPr>
        <w:t>46</w:t>
      </w:r>
      <w:r>
        <w:rPr>
          <w:rFonts w:hint="eastAsia" w:ascii="Times New Roman" w:hAnsi="Times New Roman" w:eastAsia="仿宋_GB2312" w:cs="Times New Roman"/>
          <w:color w:val="auto"/>
          <w:sz w:val="32"/>
          <w:szCs w:val="32"/>
        </w:rPr>
        <w:t>.00万元，完成年初预算的100%。</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5、一般公共服务（类）政府办公厅（室）及相关机构事务（款）其他政府办公厅（室）及相关机构事务支出（项）。</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14.83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14.83</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6、一般公共服务（类）</w:t>
      </w:r>
      <w:r>
        <w:rPr>
          <w:rFonts w:hint="eastAsia" w:ascii="Times New Roman" w:hAnsi="Times New Roman" w:eastAsia="仿宋_GB2312" w:cs="Times New Roman"/>
          <w:color w:val="auto"/>
          <w:sz w:val="32"/>
          <w:szCs w:val="32"/>
          <w:lang w:eastAsia="zh-CN"/>
        </w:rPr>
        <w:t>发展与改革事务</w:t>
      </w:r>
      <w:r>
        <w:rPr>
          <w:rFonts w:hint="eastAsia" w:ascii="Times New Roman" w:hAnsi="Times New Roman" w:eastAsia="仿宋_GB2312" w:cs="Times New Roman"/>
          <w:color w:val="auto"/>
          <w:sz w:val="32"/>
          <w:szCs w:val="32"/>
        </w:rPr>
        <w:t>（款）其他</w:t>
      </w:r>
      <w:r>
        <w:rPr>
          <w:rFonts w:hint="eastAsia" w:ascii="Times New Roman" w:hAnsi="Times New Roman" w:eastAsia="仿宋_GB2312" w:cs="Times New Roman"/>
          <w:color w:val="auto"/>
          <w:sz w:val="32"/>
          <w:szCs w:val="32"/>
          <w:lang w:eastAsia="zh-CN"/>
        </w:rPr>
        <w:t>发展与改革事务支出</w:t>
      </w:r>
      <w:r>
        <w:rPr>
          <w:rFonts w:hint="eastAsia" w:ascii="Times New Roman" w:hAnsi="Times New Roman" w:eastAsia="仿宋_GB2312" w:cs="Times New Roman"/>
          <w:color w:val="auto"/>
          <w:sz w:val="32"/>
          <w:szCs w:val="32"/>
        </w:rPr>
        <w:t>（项）。</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6.08</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6.08</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7、一般公共服务（类）</w:t>
      </w:r>
      <w:r>
        <w:rPr>
          <w:rFonts w:hint="eastAsia" w:ascii="Times New Roman" w:hAnsi="Times New Roman" w:eastAsia="仿宋_GB2312" w:cs="Times New Roman"/>
          <w:color w:val="auto"/>
          <w:sz w:val="32"/>
          <w:szCs w:val="32"/>
          <w:lang w:eastAsia="zh-CN"/>
        </w:rPr>
        <w:t>财政事务</w:t>
      </w:r>
      <w:r>
        <w:rPr>
          <w:rFonts w:hint="eastAsia" w:ascii="Times New Roman" w:hAnsi="Times New Roman" w:eastAsia="仿宋_GB2312" w:cs="Times New Roman"/>
          <w:color w:val="auto"/>
          <w:sz w:val="32"/>
          <w:szCs w:val="32"/>
        </w:rPr>
        <w:t>（款）</w:t>
      </w:r>
      <w:r>
        <w:rPr>
          <w:rFonts w:hint="eastAsia" w:ascii="Times New Roman" w:hAnsi="Times New Roman" w:eastAsia="仿宋_GB2312" w:cs="Times New Roman"/>
          <w:color w:val="auto"/>
          <w:sz w:val="32"/>
          <w:szCs w:val="32"/>
          <w:lang w:eastAsia="zh-CN"/>
        </w:rPr>
        <w:t>行政运行</w:t>
      </w:r>
      <w:r>
        <w:rPr>
          <w:rFonts w:hint="eastAsia" w:ascii="Times New Roman" w:hAnsi="Times New Roman" w:eastAsia="仿宋_GB2312" w:cs="Times New Roman"/>
          <w:color w:val="auto"/>
          <w:sz w:val="32"/>
          <w:szCs w:val="32"/>
        </w:rPr>
        <w:t>（项）。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20.07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20.07</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8、一般公共服务（类）</w:t>
      </w:r>
      <w:r>
        <w:rPr>
          <w:rFonts w:hint="eastAsia" w:ascii="Times New Roman" w:hAnsi="Times New Roman" w:eastAsia="仿宋_GB2312" w:cs="Times New Roman"/>
          <w:color w:val="auto"/>
          <w:sz w:val="32"/>
          <w:szCs w:val="32"/>
          <w:lang w:eastAsia="zh-CN"/>
        </w:rPr>
        <w:t>财政事务</w:t>
      </w:r>
      <w:r>
        <w:rPr>
          <w:rFonts w:hint="eastAsia" w:ascii="Times New Roman" w:hAnsi="Times New Roman" w:eastAsia="仿宋_GB2312" w:cs="Times New Roman"/>
          <w:color w:val="auto"/>
          <w:sz w:val="32"/>
          <w:szCs w:val="32"/>
        </w:rPr>
        <w:t>（款）</w:t>
      </w:r>
      <w:r>
        <w:rPr>
          <w:rFonts w:hint="eastAsia" w:ascii="Times New Roman" w:hAnsi="Times New Roman" w:eastAsia="仿宋_GB2312" w:cs="Times New Roman"/>
          <w:color w:val="auto"/>
          <w:sz w:val="32"/>
          <w:szCs w:val="32"/>
          <w:lang w:eastAsia="zh-CN"/>
        </w:rPr>
        <w:t>其他财政事务支出</w:t>
      </w:r>
      <w:r>
        <w:rPr>
          <w:rFonts w:hint="eastAsia" w:ascii="Times New Roman" w:hAnsi="Times New Roman" w:eastAsia="仿宋_GB2312" w:cs="Times New Roman"/>
          <w:color w:val="auto"/>
          <w:sz w:val="32"/>
          <w:szCs w:val="32"/>
        </w:rPr>
        <w:t>（项）。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4.00</w:t>
      </w:r>
      <w:r>
        <w:rPr>
          <w:rFonts w:hint="eastAsia" w:ascii="Times New Roman" w:hAnsi="Times New Roman" w:eastAsia="仿宋_GB2312" w:cs="Times New Roman"/>
          <w:color w:val="auto"/>
          <w:sz w:val="32"/>
          <w:szCs w:val="32"/>
        </w:rPr>
        <w:t>万元，完成年初预算的100%。</w:t>
      </w:r>
    </w:p>
    <w:p>
      <w:pPr>
        <w:pStyle w:val="16"/>
        <w:numPr>
          <w:ilvl w:val="0"/>
          <w:numId w:val="1"/>
        </w:numPr>
        <w:spacing w:line="300" w:lineRule="auto"/>
        <w:ind w:firstLine="64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一般公共服务（类）</w:t>
      </w:r>
      <w:r>
        <w:rPr>
          <w:rFonts w:hint="eastAsia" w:ascii="Times New Roman" w:hAnsi="Times New Roman" w:eastAsia="仿宋_GB2312" w:cs="Times New Roman"/>
          <w:color w:val="auto"/>
          <w:sz w:val="32"/>
          <w:szCs w:val="32"/>
          <w:lang w:eastAsia="zh-CN"/>
        </w:rPr>
        <w:t>商贸事务（款）招商引资（项）。</w:t>
      </w:r>
      <w:r>
        <w:rPr>
          <w:rFonts w:hint="eastAsia" w:ascii="Times New Roman" w:hAnsi="Times New Roman" w:eastAsia="仿宋_GB2312" w:cs="Times New Roman"/>
          <w:color w:val="auto"/>
          <w:sz w:val="32"/>
          <w:szCs w:val="32"/>
          <w:lang w:val="en-US" w:eastAsia="zh-CN"/>
        </w:rPr>
        <w:t xml:space="preserve">  </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10.00</w:t>
      </w:r>
      <w:r>
        <w:rPr>
          <w:rFonts w:hint="eastAsia" w:ascii="Times New Roman" w:hAnsi="Times New Roman" w:eastAsia="仿宋_GB2312" w:cs="Times New Roman"/>
          <w:color w:val="auto"/>
          <w:sz w:val="32"/>
          <w:szCs w:val="32"/>
        </w:rPr>
        <w:t>万元，完成年初预算的100%。</w:t>
      </w:r>
    </w:p>
    <w:p>
      <w:pPr>
        <w:pStyle w:val="16"/>
        <w:numPr>
          <w:ilvl w:val="0"/>
          <w:numId w:val="1"/>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一般公共服务（类）</w:t>
      </w:r>
      <w:r>
        <w:rPr>
          <w:rFonts w:hint="eastAsia" w:ascii="Times New Roman" w:hAnsi="Times New Roman" w:eastAsia="仿宋_GB2312" w:cs="Times New Roman"/>
          <w:color w:val="auto"/>
          <w:sz w:val="32"/>
          <w:szCs w:val="32"/>
          <w:lang w:eastAsia="zh-CN"/>
        </w:rPr>
        <w:t>其他共产党事务支出（款）一般行政管理事务（项）。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11.00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11.00</w:t>
      </w:r>
      <w:r>
        <w:rPr>
          <w:rFonts w:hint="eastAsia" w:ascii="Times New Roman" w:hAnsi="Times New Roman" w:eastAsia="仿宋_GB2312" w:cs="Times New Roman"/>
          <w:color w:val="auto"/>
          <w:sz w:val="32"/>
          <w:szCs w:val="32"/>
        </w:rPr>
        <w:t>万元，完成年初预</w:t>
      </w:r>
      <w:r>
        <w:rPr>
          <w:rFonts w:hint="eastAsia" w:ascii="Times New Roman" w:hAnsi="Times New Roman" w:eastAsia="仿宋_GB2312" w:cs="Times New Roman"/>
          <w:color w:val="auto"/>
          <w:sz w:val="32"/>
          <w:szCs w:val="32"/>
          <w:lang w:eastAsia="zh-CN"/>
        </w:rPr>
        <w:t>算的</w:t>
      </w:r>
      <w:r>
        <w:rPr>
          <w:rFonts w:hint="eastAsia" w:ascii="Times New Roman" w:hAnsi="Times New Roman" w:eastAsia="仿宋_GB2312" w:cs="Times New Roman"/>
          <w:color w:val="auto"/>
          <w:sz w:val="32"/>
          <w:szCs w:val="32"/>
        </w:rPr>
        <w:t>100%。</w:t>
      </w:r>
    </w:p>
    <w:p>
      <w:pPr>
        <w:pStyle w:val="16"/>
        <w:numPr>
          <w:ilvl w:val="0"/>
          <w:numId w:val="1"/>
        </w:numPr>
        <w:spacing w:line="300" w:lineRule="auto"/>
        <w:ind w:left="0" w:leftChars="0" w:firstLine="640" w:firstLineChars="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一般公共服务（类）</w:t>
      </w:r>
      <w:r>
        <w:rPr>
          <w:rFonts w:hint="eastAsia" w:ascii="Times New Roman" w:hAnsi="Times New Roman" w:eastAsia="仿宋_GB2312" w:cs="Times New Roman"/>
          <w:color w:val="auto"/>
          <w:sz w:val="32"/>
          <w:szCs w:val="32"/>
          <w:lang w:eastAsia="zh-CN"/>
        </w:rPr>
        <w:t>其他一般公共服务支出（款）其他一般公共服务支出（项）。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11.23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11.23</w:t>
      </w:r>
      <w:r>
        <w:rPr>
          <w:rFonts w:hint="eastAsia" w:ascii="Times New Roman" w:hAnsi="Times New Roman" w:eastAsia="仿宋_GB2312" w:cs="Times New Roman"/>
          <w:color w:val="auto"/>
          <w:sz w:val="32"/>
          <w:szCs w:val="32"/>
        </w:rPr>
        <w:t>万元，完成年初预</w:t>
      </w:r>
      <w:r>
        <w:rPr>
          <w:rFonts w:hint="eastAsia" w:ascii="Times New Roman" w:hAnsi="Times New Roman" w:eastAsia="仿宋_GB2312" w:cs="Times New Roman"/>
          <w:color w:val="auto"/>
          <w:sz w:val="32"/>
          <w:szCs w:val="32"/>
          <w:lang w:eastAsia="zh-CN"/>
        </w:rPr>
        <w:t>算的</w:t>
      </w:r>
      <w:r>
        <w:rPr>
          <w:rFonts w:hint="eastAsia" w:ascii="Times New Roman" w:hAnsi="Times New Roman" w:eastAsia="仿宋_GB2312" w:cs="Times New Roman"/>
          <w:color w:val="auto"/>
          <w:sz w:val="32"/>
          <w:szCs w:val="32"/>
        </w:rPr>
        <w:t>100%。</w:t>
      </w:r>
    </w:p>
    <w:p>
      <w:pPr>
        <w:pStyle w:val="16"/>
        <w:numPr>
          <w:ilvl w:val="0"/>
          <w:numId w:val="1"/>
        </w:numPr>
        <w:spacing w:line="300" w:lineRule="auto"/>
        <w:ind w:left="0" w:leftChars="0" w:firstLine="64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国防支出（类）国防动员（款）兵役征集（项）。 </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3.72</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3.72</w:t>
      </w:r>
      <w:r>
        <w:rPr>
          <w:rFonts w:hint="eastAsia" w:ascii="Times New Roman" w:hAnsi="Times New Roman" w:eastAsia="仿宋_GB2312" w:cs="Times New Roman"/>
          <w:color w:val="auto"/>
          <w:sz w:val="32"/>
          <w:szCs w:val="32"/>
        </w:rPr>
        <w:t>万元，完成年初预</w:t>
      </w:r>
      <w:r>
        <w:rPr>
          <w:rFonts w:hint="eastAsia" w:ascii="Times New Roman" w:hAnsi="Times New Roman" w:eastAsia="仿宋_GB2312" w:cs="Times New Roman"/>
          <w:color w:val="auto"/>
          <w:sz w:val="32"/>
          <w:szCs w:val="32"/>
          <w:lang w:eastAsia="zh-CN"/>
        </w:rPr>
        <w:t>算的</w:t>
      </w:r>
      <w:r>
        <w:rPr>
          <w:rFonts w:hint="eastAsia" w:ascii="Times New Roman" w:hAnsi="Times New Roman" w:eastAsia="仿宋_GB2312" w:cs="Times New Roman"/>
          <w:color w:val="auto"/>
          <w:sz w:val="32"/>
          <w:szCs w:val="32"/>
        </w:rPr>
        <w:t>100%。</w:t>
      </w:r>
    </w:p>
    <w:p>
      <w:pPr>
        <w:pStyle w:val="16"/>
        <w:numPr>
          <w:ilvl w:val="0"/>
          <w:numId w:val="1"/>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公共安全支出（类）国家安全（款）其他国家安全支出（项）。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49.34</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49.34</w:t>
      </w:r>
      <w:r>
        <w:rPr>
          <w:rFonts w:hint="eastAsia" w:ascii="Times New Roman" w:hAnsi="Times New Roman" w:eastAsia="仿宋_GB2312" w:cs="Times New Roman"/>
          <w:color w:val="auto"/>
          <w:sz w:val="32"/>
          <w:szCs w:val="32"/>
        </w:rPr>
        <w:t>万元，完成年初预</w:t>
      </w:r>
      <w:r>
        <w:rPr>
          <w:rFonts w:hint="eastAsia" w:ascii="Times New Roman" w:hAnsi="Times New Roman" w:eastAsia="仿宋_GB2312" w:cs="Times New Roman"/>
          <w:color w:val="auto"/>
          <w:sz w:val="32"/>
          <w:szCs w:val="32"/>
          <w:lang w:eastAsia="zh-CN"/>
        </w:rPr>
        <w:t>算的</w:t>
      </w:r>
      <w:r>
        <w:rPr>
          <w:rFonts w:hint="eastAsia" w:ascii="Times New Roman" w:hAnsi="Times New Roman" w:eastAsia="仿宋_GB2312" w:cs="Times New Roman"/>
          <w:color w:val="auto"/>
          <w:sz w:val="32"/>
          <w:szCs w:val="32"/>
        </w:rPr>
        <w:t>100%。</w:t>
      </w:r>
    </w:p>
    <w:p>
      <w:pPr>
        <w:pStyle w:val="16"/>
        <w:numPr>
          <w:ilvl w:val="0"/>
          <w:numId w:val="1"/>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科学技术支出（类）科学技术管理事务（款）一般行政管理事务（项）。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2.87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2.87</w:t>
      </w:r>
      <w:r>
        <w:rPr>
          <w:rFonts w:hint="eastAsia" w:ascii="Times New Roman" w:hAnsi="Times New Roman" w:eastAsia="仿宋_GB2312" w:cs="Times New Roman"/>
          <w:color w:val="auto"/>
          <w:sz w:val="32"/>
          <w:szCs w:val="32"/>
        </w:rPr>
        <w:t>万元，完成年初预</w:t>
      </w:r>
      <w:r>
        <w:rPr>
          <w:rFonts w:hint="eastAsia" w:ascii="Times New Roman" w:hAnsi="Times New Roman" w:eastAsia="仿宋_GB2312" w:cs="Times New Roman"/>
          <w:color w:val="auto"/>
          <w:sz w:val="32"/>
          <w:szCs w:val="32"/>
          <w:lang w:eastAsia="zh-CN"/>
        </w:rPr>
        <w:t>算的</w:t>
      </w:r>
      <w:r>
        <w:rPr>
          <w:rFonts w:hint="eastAsia" w:ascii="Times New Roman" w:hAnsi="Times New Roman" w:eastAsia="仿宋_GB2312" w:cs="Times New Roman"/>
          <w:color w:val="auto"/>
          <w:sz w:val="32"/>
          <w:szCs w:val="32"/>
        </w:rPr>
        <w:t>100%。</w:t>
      </w:r>
    </w:p>
    <w:p>
      <w:pPr>
        <w:pStyle w:val="16"/>
        <w:numPr>
          <w:ilvl w:val="0"/>
          <w:numId w:val="1"/>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文化旅游体育与传媒支出（类）文化和旅游（款）群众文化（项）。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52.19</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52.19</w:t>
      </w:r>
      <w:r>
        <w:rPr>
          <w:rFonts w:hint="eastAsia" w:ascii="Times New Roman" w:hAnsi="Times New Roman" w:eastAsia="仿宋_GB2312" w:cs="Times New Roman"/>
          <w:color w:val="auto"/>
          <w:sz w:val="32"/>
          <w:szCs w:val="32"/>
        </w:rPr>
        <w:t>万元，完成年初预</w:t>
      </w:r>
      <w:r>
        <w:rPr>
          <w:rFonts w:hint="eastAsia" w:ascii="Times New Roman" w:hAnsi="Times New Roman" w:eastAsia="仿宋_GB2312" w:cs="Times New Roman"/>
          <w:color w:val="auto"/>
          <w:sz w:val="32"/>
          <w:szCs w:val="32"/>
          <w:lang w:eastAsia="zh-CN"/>
        </w:rPr>
        <w:t>算的</w:t>
      </w:r>
      <w:r>
        <w:rPr>
          <w:rFonts w:hint="eastAsia" w:ascii="Times New Roman" w:hAnsi="Times New Roman" w:eastAsia="仿宋_GB2312" w:cs="Times New Roman"/>
          <w:color w:val="auto"/>
          <w:sz w:val="32"/>
          <w:szCs w:val="32"/>
        </w:rPr>
        <w:t>100%。</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16、</w:t>
      </w:r>
      <w:r>
        <w:rPr>
          <w:rFonts w:hint="eastAsia" w:ascii="Times New Roman" w:hAnsi="Times New Roman" w:eastAsia="仿宋_GB2312" w:cs="Times New Roman"/>
          <w:color w:val="auto"/>
          <w:sz w:val="32"/>
          <w:szCs w:val="32"/>
        </w:rPr>
        <w:t>社会保障和就业支出（类）</w:t>
      </w:r>
      <w:r>
        <w:rPr>
          <w:rFonts w:hint="eastAsia" w:ascii="Times New Roman" w:hAnsi="Times New Roman" w:eastAsia="仿宋_GB2312" w:cs="Times New Roman"/>
          <w:color w:val="auto"/>
          <w:sz w:val="32"/>
          <w:szCs w:val="32"/>
          <w:lang w:eastAsia="zh-CN"/>
        </w:rPr>
        <w:t>人力资源和社会保障管理事务</w:t>
      </w:r>
      <w:r>
        <w:rPr>
          <w:rFonts w:hint="eastAsia" w:ascii="Times New Roman" w:hAnsi="Times New Roman" w:eastAsia="仿宋_GB2312" w:cs="Times New Roman"/>
          <w:color w:val="auto"/>
          <w:sz w:val="32"/>
          <w:szCs w:val="32"/>
        </w:rPr>
        <w:t>（款）</w:t>
      </w:r>
      <w:r>
        <w:rPr>
          <w:rFonts w:hint="eastAsia" w:ascii="Times New Roman" w:hAnsi="Times New Roman" w:eastAsia="仿宋_GB2312" w:cs="Times New Roman"/>
          <w:color w:val="auto"/>
          <w:sz w:val="32"/>
          <w:szCs w:val="32"/>
          <w:lang w:eastAsia="zh-CN"/>
        </w:rPr>
        <w:t>一般行政管理事务</w:t>
      </w:r>
      <w:r>
        <w:rPr>
          <w:rFonts w:hint="eastAsia" w:ascii="Times New Roman" w:hAnsi="Times New Roman" w:eastAsia="仿宋_GB2312" w:cs="Times New Roman"/>
          <w:color w:val="auto"/>
          <w:sz w:val="32"/>
          <w:szCs w:val="32"/>
        </w:rPr>
        <w:t>（项）。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6.5</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17、</w:t>
      </w:r>
      <w:r>
        <w:rPr>
          <w:rFonts w:hint="eastAsia" w:ascii="Times New Roman" w:hAnsi="Times New Roman" w:eastAsia="仿宋_GB2312" w:cs="Times New Roman"/>
          <w:color w:val="auto"/>
          <w:sz w:val="32"/>
          <w:szCs w:val="32"/>
        </w:rPr>
        <w:t>社会保障和就业支出（类）</w:t>
      </w:r>
      <w:r>
        <w:rPr>
          <w:rFonts w:hint="eastAsia" w:ascii="Times New Roman" w:hAnsi="Times New Roman" w:eastAsia="仿宋_GB2312" w:cs="Times New Roman"/>
          <w:color w:val="auto"/>
          <w:sz w:val="32"/>
          <w:szCs w:val="32"/>
          <w:lang w:eastAsia="zh-CN"/>
        </w:rPr>
        <w:t>人力资源和社会保障管理事务</w:t>
      </w:r>
      <w:r>
        <w:rPr>
          <w:rFonts w:hint="eastAsia" w:ascii="Times New Roman" w:hAnsi="Times New Roman" w:eastAsia="仿宋_GB2312" w:cs="Times New Roman"/>
          <w:color w:val="auto"/>
          <w:sz w:val="32"/>
          <w:szCs w:val="32"/>
        </w:rPr>
        <w:t>（款）</w:t>
      </w:r>
      <w:r>
        <w:rPr>
          <w:rFonts w:hint="eastAsia" w:ascii="Times New Roman" w:hAnsi="Times New Roman" w:eastAsia="仿宋_GB2312" w:cs="Times New Roman"/>
          <w:color w:val="auto"/>
          <w:sz w:val="32"/>
          <w:szCs w:val="32"/>
          <w:lang w:eastAsia="zh-CN"/>
        </w:rPr>
        <w:t>其他人力资源和社会保障管理事务支出</w:t>
      </w:r>
      <w:r>
        <w:rPr>
          <w:rFonts w:hint="eastAsia" w:ascii="Times New Roman" w:hAnsi="Times New Roman" w:eastAsia="仿宋_GB2312" w:cs="Times New Roman"/>
          <w:color w:val="auto"/>
          <w:sz w:val="32"/>
          <w:szCs w:val="32"/>
        </w:rPr>
        <w:t>（项）。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39.12</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39.12</w:t>
      </w:r>
      <w:r>
        <w:rPr>
          <w:rFonts w:hint="eastAsia" w:ascii="Times New Roman" w:hAnsi="Times New Roman" w:eastAsia="仿宋_GB2312" w:cs="Times New Roman"/>
          <w:color w:val="auto"/>
          <w:sz w:val="32"/>
          <w:szCs w:val="32"/>
        </w:rPr>
        <w:t>万元，完成年初预算的100%。</w:t>
      </w:r>
    </w:p>
    <w:p>
      <w:pPr>
        <w:pStyle w:val="16"/>
        <w:numPr>
          <w:ilvl w:val="0"/>
          <w:numId w:val="2"/>
        </w:numPr>
        <w:spacing w:line="300" w:lineRule="auto"/>
        <w:ind w:firstLine="64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社会保障和就业支出（类）</w:t>
      </w:r>
      <w:r>
        <w:rPr>
          <w:rFonts w:hint="eastAsia" w:ascii="Times New Roman" w:hAnsi="Times New Roman" w:eastAsia="仿宋_GB2312" w:cs="Times New Roman"/>
          <w:color w:val="auto"/>
          <w:sz w:val="32"/>
          <w:szCs w:val="32"/>
          <w:lang w:eastAsia="zh-CN"/>
        </w:rPr>
        <w:t>行政事业单位养老支出（款）机关事业单位基本养老保险缴费支出（项）。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131.01</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131.01</w:t>
      </w:r>
      <w:r>
        <w:rPr>
          <w:rFonts w:hint="eastAsia" w:ascii="Times New Roman" w:hAnsi="Times New Roman" w:eastAsia="仿宋_GB2312" w:cs="Times New Roman"/>
          <w:color w:val="auto"/>
          <w:sz w:val="32"/>
          <w:szCs w:val="32"/>
        </w:rPr>
        <w:t>万元，完成年初预算的100%。</w:t>
      </w:r>
    </w:p>
    <w:p>
      <w:pPr>
        <w:pStyle w:val="16"/>
        <w:numPr>
          <w:ilvl w:val="0"/>
          <w:numId w:val="2"/>
        </w:numPr>
        <w:spacing w:line="300" w:lineRule="auto"/>
        <w:ind w:firstLine="64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社会保障和就业支出（类）</w:t>
      </w:r>
      <w:r>
        <w:rPr>
          <w:rFonts w:hint="eastAsia" w:ascii="Times New Roman" w:hAnsi="Times New Roman" w:eastAsia="仿宋_GB2312" w:cs="Times New Roman"/>
          <w:color w:val="auto"/>
          <w:sz w:val="32"/>
          <w:szCs w:val="32"/>
          <w:lang w:eastAsia="zh-CN"/>
        </w:rPr>
        <w:t>行政事业单位养老支出（款）机关事业单位职业年金缴费支出（项）。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5.69</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5.69</w:t>
      </w:r>
      <w:r>
        <w:rPr>
          <w:rFonts w:hint="eastAsia" w:ascii="Times New Roman" w:hAnsi="Times New Roman" w:eastAsia="仿宋_GB2312" w:cs="Times New Roman"/>
          <w:color w:val="auto"/>
          <w:sz w:val="32"/>
          <w:szCs w:val="32"/>
        </w:rPr>
        <w:t>万元，完成年初预算的100%。</w:t>
      </w:r>
    </w:p>
    <w:p>
      <w:pPr>
        <w:pStyle w:val="16"/>
        <w:numPr>
          <w:ilvl w:val="0"/>
          <w:numId w:val="2"/>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社会保障和就业支出（类）</w:t>
      </w:r>
      <w:r>
        <w:rPr>
          <w:rFonts w:hint="eastAsia" w:ascii="Times New Roman" w:hAnsi="Times New Roman" w:eastAsia="仿宋_GB2312" w:cs="Times New Roman"/>
          <w:color w:val="auto"/>
          <w:sz w:val="32"/>
          <w:szCs w:val="32"/>
          <w:lang w:eastAsia="zh-CN"/>
        </w:rPr>
        <w:t>抚恤（款）死亡抚恤（项）。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7.11</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7.11</w:t>
      </w:r>
      <w:r>
        <w:rPr>
          <w:rFonts w:hint="eastAsia" w:ascii="Times New Roman" w:hAnsi="Times New Roman" w:eastAsia="仿宋_GB2312" w:cs="Times New Roman"/>
          <w:color w:val="auto"/>
          <w:sz w:val="32"/>
          <w:szCs w:val="32"/>
        </w:rPr>
        <w:t>万元，完成年初预算的100%。</w:t>
      </w:r>
    </w:p>
    <w:p>
      <w:pPr>
        <w:pStyle w:val="16"/>
        <w:numPr>
          <w:ilvl w:val="0"/>
          <w:numId w:val="2"/>
        </w:numPr>
        <w:spacing w:line="300" w:lineRule="auto"/>
        <w:ind w:left="0" w:leftChars="0" w:firstLine="640" w:firstLineChars="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社会保障和就业支出（类）</w:t>
      </w:r>
      <w:r>
        <w:rPr>
          <w:rFonts w:hint="eastAsia" w:ascii="Times New Roman" w:hAnsi="Times New Roman" w:eastAsia="仿宋_GB2312" w:cs="Times New Roman"/>
          <w:color w:val="auto"/>
          <w:sz w:val="32"/>
          <w:szCs w:val="32"/>
          <w:lang w:eastAsia="zh-CN"/>
        </w:rPr>
        <w:t>退役安置（款）其他退役安置支出（项）。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30.65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30.65</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22、</w:t>
      </w:r>
      <w:r>
        <w:rPr>
          <w:rFonts w:hint="eastAsia" w:ascii="Times New Roman" w:hAnsi="Times New Roman" w:eastAsia="仿宋_GB2312" w:cs="Times New Roman"/>
          <w:color w:val="auto"/>
          <w:sz w:val="32"/>
          <w:szCs w:val="32"/>
        </w:rPr>
        <w:t>卫生健康支出（类）公共卫生（款）重大公共卫生服务（项）。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1.02</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1.02</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23、</w:t>
      </w:r>
      <w:r>
        <w:rPr>
          <w:rFonts w:hint="eastAsia" w:ascii="Times New Roman" w:hAnsi="Times New Roman" w:eastAsia="仿宋_GB2312" w:cs="Times New Roman"/>
          <w:color w:val="auto"/>
          <w:sz w:val="32"/>
          <w:szCs w:val="32"/>
        </w:rPr>
        <w:t>卫生健康支出（类）</w:t>
      </w:r>
      <w:r>
        <w:rPr>
          <w:rFonts w:hint="eastAsia" w:ascii="Times New Roman" w:hAnsi="Times New Roman" w:eastAsia="仿宋_GB2312" w:cs="Times New Roman"/>
          <w:color w:val="auto"/>
          <w:sz w:val="32"/>
          <w:szCs w:val="32"/>
          <w:lang w:eastAsia="zh-CN"/>
        </w:rPr>
        <w:t>计划生育事务</w:t>
      </w:r>
      <w:r>
        <w:rPr>
          <w:rFonts w:hint="eastAsia" w:ascii="Times New Roman" w:hAnsi="Times New Roman" w:eastAsia="仿宋_GB2312" w:cs="Times New Roman"/>
          <w:color w:val="auto"/>
          <w:sz w:val="32"/>
          <w:szCs w:val="32"/>
        </w:rPr>
        <w:t>（款）</w:t>
      </w:r>
      <w:r>
        <w:rPr>
          <w:rFonts w:hint="eastAsia" w:ascii="Times New Roman" w:hAnsi="Times New Roman" w:eastAsia="仿宋_GB2312" w:cs="Times New Roman"/>
          <w:color w:val="auto"/>
          <w:sz w:val="32"/>
          <w:szCs w:val="32"/>
          <w:lang w:eastAsia="zh-CN"/>
        </w:rPr>
        <w:t>其他计划生育事务支出</w:t>
      </w:r>
      <w:r>
        <w:rPr>
          <w:rFonts w:hint="eastAsia" w:ascii="Times New Roman" w:hAnsi="Times New Roman" w:eastAsia="仿宋_GB2312" w:cs="Times New Roman"/>
          <w:color w:val="auto"/>
          <w:sz w:val="32"/>
          <w:szCs w:val="32"/>
        </w:rPr>
        <w:t>（项）。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22.38</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22.38</w:t>
      </w:r>
      <w:r>
        <w:rPr>
          <w:rFonts w:hint="eastAsia" w:ascii="Times New Roman" w:hAnsi="Times New Roman" w:eastAsia="仿宋_GB2312" w:cs="Times New Roman"/>
          <w:color w:val="auto"/>
          <w:sz w:val="32"/>
          <w:szCs w:val="32"/>
        </w:rPr>
        <w:t>万元，完成年初预算的100%。</w:t>
      </w:r>
    </w:p>
    <w:p>
      <w:pPr>
        <w:pStyle w:val="16"/>
        <w:numPr>
          <w:ilvl w:val="0"/>
          <w:numId w:val="3"/>
        </w:numPr>
        <w:spacing w:line="300" w:lineRule="auto"/>
        <w:ind w:firstLine="64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卫生健康支出（类）</w:t>
      </w:r>
      <w:r>
        <w:rPr>
          <w:rFonts w:hint="eastAsia" w:ascii="Times New Roman" w:hAnsi="Times New Roman" w:eastAsia="仿宋_GB2312" w:cs="Times New Roman"/>
          <w:color w:val="auto"/>
          <w:sz w:val="32"/>
          <w:szCs w:val="32"/>
          <w:lang w:eastAsia="zh-CN"/>
        </w:rPr>
        <w:t>行政事业单位医疗（款）行政事业单位医疗（项）。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88.11</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88.11</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25、</w:t>
      </w:r>
      <w:r>
        <w:rPr>
          <w:rFonts w:hint="eastAsia" w:ascii="Times New Roman" w:hAnsi="Times New Roman" w:eastAsia="仿宋_GB2312" w:cs="Times New Roman"/>
          <w:color w:val="auto"/>
          <w:sz w:val="32"/>
          <w:szCs w:val="32"/>
        </w:rPr>
        <w:t>城乡社区支出（类）城乡社区</w:t>
      </w:r>
      <w:r>
        <w:rPr>
          <w:rFonts w:hint="eastAsia" w:ascii="Times New Roman" w:hAnsi="Times New Roman" w:eastAsia="仿宋_GB2312" w:cs="Times New Roman"/>
          <w:color w:val="auto"/>
          <w:sz w:val="32"/>
          <w:szCs w:val="32"/>
          <w:lang w:eastAsia="zh-CN"/>
        </w:rPr>
        <w:t>管理事务</w:t>
      </w:r>
      <w:r>
        <w:rPr>
          <w:rFonts w:hint="eastAsia" w:ascii="Times New Roman" w:hAnsi="Times New Roman" w:eastAsia="仿宋_GB2312" w:cs="Times New Roman"/>
          <w:color w:val="auto"/>
          <w:sz w:val="32"/>
          <w:szCs w:val="32"/>
        </w:rPr>
        <w:t>（款）</w:t>
      </w:r>
      <w:r>
        <w:rPr>
          <w:rFonts w:hint="eastAsia" w:ascii="Times New Roman" w:hAnsi="Times New Roman" w:eastAsia="仿宋_GB2312" w:cs="Times New Roman"/>
          <w:color w:val="auto"/>
          <w:sz w:val="32"/>
          <w:szCs w:val="32"/>
          <w:lang w:eastAsia="zh-CN"/>
        </w:rPr>
        <w:t>城管执法</w:t>
      </w:r>
      <w:r>
        <w:rPr>
          <w:rFonts w:hint="eastAsia" w:ascii="Times New Roman" w:hAnsi="Times New Roman" w:eastAsia="仿宋_GB2312" w:cs="Times New Roman"/>
          <w:color w:val="auto"/>
          <w:sz w:val="32"/>
          <w:szCs w:val="32"/>
        </w:rPr>
        <w:t>（项）。</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2.00</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26、</w:t>
      </w:r>
      <w:r>
        <w:rPr>
          <w:rFonts w:hint="eastAsia" w:ascii="Times New Roman" w:hAnsi="Times New Roman" w:eastAsia="仿宋_GB2312" w:cs="Times New Roman"/>
          <w:color w:val="auto"/>
          <w:sz w:val="32"/>
          <w:szCs w:val="32"/>
        </w:rPr>
        <w:t>城乡社区支出（类）</w:t>
      </w:r>
      <w:r>
        <w:rPr>
          <w:rFonts w:hint="eastAsia" w:ascii="Times New Roman" w:hAnsi="Times New Roman" w:eastAsia="仿宋_GB2312" w:cs="Times New Roman"/>
          <w:color w:val="auto"/>
          <w:sz w:val="32"/>
          <w:szCs w:val="32"/>
          <w:lang w:eastAsia="zh-CN"/>
        </w:rPr>
        <w:t>城乡社区公共设施</w:t>
      </w:r>
      <w:r>
        <w:rPr>
          <w:rFonts w:hint="eastAsia" w:ascii="Times New Roman" w:hAnsi="Times New Roman" w:eastAsia="仿宋_GB2312" w:cs="Times New Roman"/>
          <w:color w:val="auto"/>
          <w:sz w:val="32"/>
          <w:szCs w:val="32"/>
        </w:rPr>
        <w:t>（款）</w:t>
      </w:r>
      <w:r>
        <w:rPr>
          <w:rFonts w:hint="eastAsia" w:ascii="Times New Roman" w:hAnsi="Times New Roman" w:eastAsia="仿宋_GB2312" w:cs="Times New Roman"/>
          <w:color w:val="auto"/>
          <w:sz w:val="32"/>
          <w:szCs w:val="32"/>
          <w:lang w:eastAsia="zh-CN"/>
        </w:rPr>
        <w:t>小城镇基础设施建设</w:t>
      </w:r>
      <w:r>
        <w:rPr>
          <w:rFonts w:hint="eastAsia" w:ascii="Times New Roman" w:hAnsi="Times New Roman" w:eastAsia="仿宋_GB2312" w:cs="Times New Roman"/>
          <w:color w:val="auto"/>
          <w:sz w:val="32"/>
          <w:szCs w:val="32"/>
        </w:rPr>
        <w:t>（项）。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6.00</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firstLine="64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城乡社区支出（类）</w:t>
      </w:r>
      <w:r>
        <w:rPr>
          <w:rFonts w:hint="eastAsia" w:ascii="Times New Roman" w:hAnsi="Times New Roman" w:eastAsia="仿宋_GB2312" w:cs="Times New Roman"/>
          <w:color w:val="auto"/>
          <w:sz w:val="32"/>
          <w:szCs w:val="32"/>
          <w:lang w:eastAsia="zh-CN"/>
        </w:rPr>
        <w:t>城乡社区环境卫生（款）城乡社区环境卫生（项）。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256.55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256.55</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城乡社区支出（类）</w:t>
      </w:r>
      <w:r>
        <w:rPr>
          <w:rFonts w:hint="eastAsia" w:ascii="Times New Roman" w:hAnsi="Times New Roman" w:eastAsia="仿宋_GB2312" w:cs="Times New Roman"/>
          <w:color w:val="auto"/>
          <w:sz w:val="32"/>
          <w:szCs w:val="32"/>
          <w:lang w:eastAsia="zh-CN"/>
        </w:rPr>
        <w:t>其他城乡社区支出（款）其他城乡社区支出（项）。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农林水支出（类）农业农村（款）农村社会事业（项）。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6.28</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6.28</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农林水支出（类）农业农村（款）其他农业农村支出（项）。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63.31</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63.31</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农林水支出（类）水利（款）农村水利（项）。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4.00</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农林水支出（类）水利（款）水利技术推广（项）。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农林水支出（类）巩固拓展脱贫攻坚成果衔接乡村振兴（类）农村基础设施建设（项）。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9.92</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9.92</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农林水支出（类）巩固拓展脱贫攻坚成果衔接乡村振兴（类）其他巩固拓展</w:t>
      </w:r>
      <w:bookmarkStart w:id="0" w:name="_GoBack"/>
      <w:bookmarkEnd w:id="0"/>
      <w:r>
        <w:rPr>
          <w:rFonts w:hint="eastAsia" w:ascii="Times New Roman" w:hAnsi="Times New Roman" w:eastAsia="仿宋_GB2312" w:cs="Times New Roman"/>
          <w:color w:val="auto"/>
          <w:sz w:val="32"/>
          <w:szCs w:val="32"/>
          <w:lang w:val="en-US" w:eastAsia="zh-CN"/>
        </w:rPr>
        <w:t>脱贫攻坚成果衔接乡村振兴支出（项）。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38.23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38.23</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农林水支出（类）农村综合改革（类）对村级公益事业建设的补助（项）。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48.24</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48.24</w:t>
      </w:r>
      <w:r>
        <w:rPr>
          <w:rFonts w:hint="eastAsia" w:ascii="Times New Roman" w:hAnsi="Times New Roman" w:eastAsia="仿宋_GB2312" w:cs="Times New Roman"/>
          <w:color w:val="auto"/>
          <w:sz w:val="32"/>
          <w:szCs w:val="32"/>
        </w:rPr>
        <w:t>万元，完成年初预算的100%。</w:t>
      </w:r>
    </w:p>
    <w:p>
      <w:pPr>
        <w:pStyle w:val="16"/>
        <w:numPr>
          <w:ilvl w:val="0"/>
          <w:numId w:val="4"/>
        </w:numPr>
        <w:spacing w:line="300" w:lineRule="auto"/>
        <w:ind w:left="0" w:leftChars="0" w:firstLine="640" w:firstLineChars="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农林水支出（类）农村综合改革（类）对村民委员会和村党支部的补助（项）。</w:t>
      </w:r>
    </w:p>
    <w:p>
      <w:pPr>
        <w:pStyle w:val="16"/>
        <w:numPr>
          <w:ilvl w:val="0"/>
          <w:numId w:val="0"/>
        </w:numPr>
        <w:spacing w:line="300" w:lineRule="auto"/>
        <w:ind w:firstLine="720" w:firstLine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660.15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660.15</w:t>
      </w:r>
      <w:r>
        <w:rPr>
          <w:rFonts w:hint="eastAsia" w:ascii="Times New Roman" w:hAnsi="Times New Roman" w:eastAsia="仿宋_GB2312" w:cs="Times New Roman"/>
          <w:color w:val="auto"/>
          <w:sz w:val="32"/>
          <w:szCs w:val="32"/>
        </w:rPr>
        <w:t>万元，完成年初预算的100%。</w:t>
      </w:r>
    </w:p>
    <w:p>
      <w:pPr>
        <w:pStyle w:val="16"/>
        <w:numPr>
          <w:ilvl w:val="0"/>
          <w:numId w:val="0"/>
        </w:numPr>
        <w:spacing w:line="300" w:lineRule="auto"/>
        <w:ind w:left="640" w:leftChars="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37、</w:t>
      </w:r>
      <w:r>
        <w:rPr>
          <w:rFonts w:hint="eastAsia" w:ascii="Times New Roman" w:hAnsi="Times New Roman" w:eastAsia="仿宋_GB2312" w:cs="Times New Roman"/>
          <w:color w:val="auto"/>
          <w:sz w:val="32"/>
          <w:szCs w:val="32"/>
        </w:rPr>
        <w:t>住房保障支出（类）住房改革支出（款）住房公积金（项）。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104.15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104.15</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38、</w:t>
      </w:r>
      <w:r>
        <w:rPr>
          <w:rFonts w:hint="eastAsia" w:ascii="Times New Roman" w:hAnsi="Times New Roman" w:eastAsia="仿宋_GB2312" w:cs="Times New Roman"/>
          <w:color w:val="auto"/>
          <w:sz w:val="32"/>
          <w:szCs w:val="32"/>
        </w:rPr>
        <w:t>灾害防治及应急管理支出（类）</w:t>
      </w:r>
      <w:r>
        <w:rPr>
          <w:rFonts w:hint="eastAsia" w:ascii="Times New Roman" w:hAnsi="Times New Roman" w:eastAsia="仿宋_GB2312" w:cs="Times New Roman"/>
          <w:color w:val="auto"/>
          <w:sz w:val="32"/>
          <w:szCs w:val="32"/>
          <w:lang w:eastAsia="zh-CN"/>
        </w:rPr>
        <w:t>自然灾害救灾及恢复重建支出</w:t>
      </w:r>
      <w:r>
        <w:rPr>
          <w:rFonts w:hint="eastAsia" w:ascii="Times New Roman" w:hAnsi="Times New Roman" w:eastAsia="仿宋_GB2312" w:cs="Times New Roman"/>
          <w:color w:val="auto"/>
          <w:sz w:val="32"/>
          <w:szCs w:val="32"/>
        </w:rPr>
        <w:t>（款）</w:t>
      </w:r>
      <w:r>
        <w:rPr>
          <w:rFonts w:hint="eastAsia" w:ascii="Times New Roman" w:hAnsi="Times New Roman" w:eastAsia="仿宋_GB2312" w:cs="Times New Roman"/>
          <w:color w:val="auto"/>
          <w:sz w:val="32"/>
          <w:szCs w:val="32"/>
          <w:lang w:eastAsia="zh-CN"/>
        </w:rPr>
        <w:t>其他自然灾害救灾及恢复重建支出</w:t>
      </w:r>
      <w:r>
        <w:rPr>
          <w:rFonts w:hint="eastAsia" w:ascii="Times New Roman" w:hAnsi="Times New Roman" w:eastAsia="仿宋_GB2312" w:cs="Times New Roman"/>
          <w:color w:val="auto"/>
          <w:sz w:val="32"/>
          <w:szCs w:val="32"/>
        </w:rPr>
        <w:t>（项）。</w:t>
      </w:r>
    </w:p>
    <w:p>
      <w:pPr>
        <w:pStyle w:val="16"/>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19.00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19.00</w:t>
      </w:r>
      <w:r>
        <w:rPr>
          <w:rFonts w:hint="eastAsia" w:ascii="Times New Roman" w:hAnsi="Times New Roman" w:eastAsia="仿宋_GB2312" w:cs="Times New Roman"/>
          <w:color w:val="auto"/>
          <w:sz w:val="32"/>
          <w:szCs w:val="32"/>
        </w:rPr>
        <w:t>万元，完成年初预算的100%。</w:t>
      </w:r>
    </w:p>
    <w:p>
      <w:pPr>
        <w:pStyle w:val="16"/>
        <w:spacing w:line="300" w:lineRule="auto"/>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年度财政拨款基本支出</w:t>
      </w:r>
      <w:r>
        <w:rPr>
          <w:rFonts w:hint="eastAsia" w:ascii="Times New Roman" w:hAnsi="Times New Roman" w:eastAsia="仿宋_GB2312" w:cs="Times New Roman"/>
          <w:color w:val="auto"/>
          <w:sz w:val="32"/>
          <w:szCs w:val="32"/>
          <w:lang w:val="en-US" w:eastAsia="zh-CN"/>
        </w:rPr>
        <w:t>2468.48</w:t>
      </w:r>
      <w:r>
        <w:rPr>
          <w:rFonts w:hint="eastAsia"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lang w:val="en-US" w:eastAsia="zh-CN"/>
        </w:rPr>
        <w:t>1915.46</w:t>
      </w:r>
      <w:r>
        <w:rPr>
          <w:rFonts w:hint="eastAsia"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lang w:val="en-US" w:eastAsia="zh-CN"/>
        </w:rPr>
        <w:t>77.6</w:t>
      </w:r>
      <w:r>
        <w:rPr>
          <w:rFonts w:hint="eastAsia" w:ascii="Times New Roman" w:hAnsi="Times New Roman" w:eastAsia="仿宋_GB2312" w:cs="Times New Roman"/>
          <w:color w:val="auto"/>
          <w:sz w:val="32"/>
          <w:szCs w:val="32"/>
        </w:rPr>
        <w:t>%,主要包括基本工资、津贴补贴、奖金、绩效工资、机关事业单位基本养老保险缴费、职工基本医疗保险缴费、住房公积金等；公用经费</w:t>
      </w:r>
      <w:r>
        <w:rPr>
          <w:rFonts w:hint="eastAsia" w:ascii="Times New Roman" w:hAnsi="Times New Roman" w:eastAsia="仿宋_GB2312" w:cs="Times New Roman"/>
          <w:color w:val="auto"/>
          <w:sz w:val="32"/>
          <w:szCs w:val="32"/>
          <w:lang w:val="en-US" w:eastAsia="zh-CN"/>
        </w:rPr>
        <w:t>553.02</w:t>
      </w:r>
      <w:r>
        <w:rPr>
          <w:rFonts w:hint="eastAsia"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lang w:val="en-US" w:eastAsia="zh-CN"/>
        </w:rPr>
        <w:t>22.4</w:t>
      </w:r>
      <w:r>
        <w:rPr>
          <w:rFonts w:hint="eastAsia" w:ascii="Times New Roman" w:hAnsi="Times New Roman" w:eastAsia="仿宋_GB2312" w:cs="Times New Roman"/>
          <w:color w:val="auto"/>
          <w:sz w:val="32"/>
          <w:szCs w:val="32"/>
        </w:rPr>
        <w:t>%，主要包括办公费、印刷费、咨询费、会议费、专用材料费、劳务费等。</w:t>
      </w:r>
    </w:p>
    <w:p>
      <w:pPr>
        <w:pStyle w:val="16"/>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pPr>
        <w:pStyle w:val="16"/>
        <w:spacing w:line="300" w:lineRule="auto"/>
        <w:ind w:firstLine="642"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“三公”经费财政拨款支出预算为0.00万元，支出决算为0.00万元，其中：</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因公出国（境）费支出预算为0.00万元，支出决算为0.00万元。</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公务接待费支出预算为0.00万元，支出决算为0.00万元。</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公务用车购置费及运行维护费支出预算为0.00万元，支出决算为0.00万元。</w:t>
      </w:r>
    </w:p>
    <w:p>
      <w:pPr>
        <w:pStyle w:val="16"/>
        <w:spacing w:line="300" w:lineRule="auto"/>
        <w:ind w:firstLine="642"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年度“三公”经费财政拨款支出决算中，公务接待费支出决算0.00万元，因公出国（境）费支出决算0.00万元,公务用车购置费及运行维护费支出决算0.00万元。其中：</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1、因公出国（境）费支出决算为0.00万元，全年安排因公出国（境）团组0个，累计0人次。</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2、公务接待费支出决算为0.00万元，全年共接待来宾0人次。</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3、公务用车购置费及运行维护费支出决算为0.00万元，其中：公务用车购置费0.00万元，更新公务用车0辆。公务用车运行维护费0.00万元。</w:t>
      </w:r>
      <w:r>
        <w:rPr>
          <w:rFonts w:hint="eastAsia" w:ascii="Times New Roman" w:hAnsi="Times New Roman" w:eastAsia="仿宋_GB2312" w:cs="Times New Roman"/>
          <w:color w:val="auto"/>
          <w:sz w:val="32"/>
          <w:szCs w:val="32"/>
          <w:lang w:eastAsia="zh-CN"/>
        </w:rPr>
        <w:t>截至2023</w:t>
      </w:r>
      <w:r>
        <w:rPr>
          <w:rFonts w:hint="eastAsia" w:ascii="Times New Roman" w:hAnsi="Times New Roman" w:eastAsia="仿宋_GB2312" w:cs="Times New Roman"/>
          <w:color w:val="auto"/>
          <w:sz w:val="32"/>
          <w:szCs w:val="32"/>
        </w:rPr>
        <w:t>年12月31日，我单位开支财政拨款的公务用车保有量为0辆。</w:t>
      </w:r>
    </w:p>
    <w:p>
      <w:pPr>
        <w:pStyle w:val="16"/>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八、政府性基金预算收入支出决算情况</w:t>
      </w:r>
    </w:p>
    <w:p>
      <w:pPr>
        <w:pStyle w:val="16"/>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本年度无政府性基金收支。</w:t>
      </w:r>
    </w:p>
    <w:p>
      <w:pPr>
        <w:pStyle w:val="16"/>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九、国有资本经营预算财政拨款支出决算情况</w:t>
      </w:r>
    </w:p>
    <w:p>
      <w:pPr>
        <w:pStyle w:val="16"/>
        <w:spacing w:line="300" w:lineRule="auto"/>
        <w:ind w:firstLine="640" w:firstLineChars="200"/>
        <w:rPr>
          <w:rFonts w:asciiTheme="minorEastAsia" w:hAnsiTheme="minorEastAsia" w:eastAsiaTheme="minorEastAsia" w:cstheme="minorBidi"/>
          <w:color w:val="auto"/>
          <w:kern w:val="2"/>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rPr>
        <w:t>国有资本经营预算支出。</w:t>
      </w:r>
    </w:p>
    <w:p>
      <w:pPr>
        <w:pStyle w:val="16"/>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十、关于</w:t>
      </w:r>
      <w:r>
        <w:rPr>
          <w:rFonts w:hint="eastAsia" w:hAnsi="黑体" w:cs="Times New Roman"/>
          <w:color w:val="auto"/>
          <w:sz w:val="32"/>
          <w:szCs w:val="32"/>
          <w:lang w:eastAsia="zh-CN"/>
        </w:rPr>
        <w:t>2023</w:t>
      </w:r>
      <w:r>
        <w:rPr>
          <w:rFonts w:hint="eastAsia" w:hAnsi="黑体" w:cs="Times New Roman"/>
          <w:color w:val="auto"/>
          <w:sz w:val="32"/>
          <w:szCs w:val="32"/>
        </w:rPr>
        <w:t>年度预算绩效情况说明</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年度我单位所有项目资金符合国家政策需求，目标明确，组织管理到位，执行项目有力。在资金使用过程中，实际支出与计划规定的用途一致，收支平衡，资金使用都能做到公开透明。根据县财政局《湘潭县</w:t>
      </w: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年度预算绩效管理工作方案》要求，根据</w:t>
      </w: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年我镇工作要点，确定项目的具体指标、项目效益而填报的《部门整体支出绩效申报表》和《项目支出绩效目标申报表》进行自评，撰写自评报告，</w:t>
      </w: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年度本单位无重点绩效项目。</w:t>
      </w:r>
    </w:p>
    <w:p>
      <w:pPr>
        <w:pStyle w:val="16"/>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本单位按照财政绩效管理股的要求对</w:t>
      </w: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年相关项目做了绩效评价并公开在政府门户网站。</w:t>
      </w:r>
    </w:p>
    <w:p>
      <w:pPr>
        <w:pStyle w:val="16"/>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十一、其他重要事项情况说明</w:t>
      </w:r>
    </w:p>
    <w:p>
      <w:pPr>
        <w:spacing w:line="300" w:lineRule="auto"/>
        <w:ind w:firstLine="642"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（一）机关运行经费支出情况</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w:t>
      </w: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年度机关运行经费支出</w:t>
      </w:r>
      <w:r>
        <w:rPr>
          <w:rFonts w:hint="eastAsia" w:ascii="Times New Roman" w:hAnsi="Times New Roman" w:eastAsia="仿宋_GB2312" w:cs="Times New Roman"/>
          <w:color w:val="auto"/>
          <w:sz w:val="32"/>
          <w:szCs w:val="32"/>
          <w:lang w:val="en-US" w:eastAsia="zh-CN"/>
        </w:rPr>
        <w:t>553.02</w:t>
      </w:r>
      <w:r>
        <w:rPr>
          <w:rFonts w:hint="eastAsia" w:ascii="Times New Roman" w:hAnsi="Times New Roman" w:eastAsia="仿宋_GB2312" w:cs="Times New Roman"/>
          <w:color w:val="auto"/>
          <w:sz w:val="32"/>
          <w:szCs w:val="32"/>
        </w:rPr>
        <w:t>万元，比上年决算数</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365.97</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39.82</w:t>
      </w:r>
      <w:r>
        <w:rPr>
          <w:rFonts w:hint="eastAsia" w:ascii="Times New Roman" w:hAnsi="Times New Roman" w:eastAsia="仿宋_GB2312" w:cs="Times New Roman"/>
          <w:color w:val="auto"/>
          <w:sz w:val="32"/>
          <w:szCs w:val="32"/>
        </w:rPr>
        <w:t>%。主要原因是与上年度统计口径不一致。</w:t>
      </w:r>
    </w:p>
    <w:p>
      <w:pPr>
        <w:pStyle w:val="16"/>
        <w:spacing w:line="300" w:lineRule="auto"/>
        <w:ind w:firstLine="640"/>
        <w:rPr>
          <w:rFonts w:ascii="楷体_GB2312" w:eastAsia="楷体_GB2312"/>
          <w:b/>
          <w:sz w:val="32"/>
          <w:szCs w:val="32"/>
        </w:rPr>
      </w:pPr>
      <w:r>
        <w:rPr>
          <w:rFonts w:hint="eastAsia" w:ascii="楷体_GB2312" w:eastAsia="楷体_GB2312"/>
          <w:b/>
          <w:sz w:val="32"/>
          <w:szCs w:val="32"/>
        </w:rPr>
        <w:t>（二）一般性支出情况</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年本部门开支会议费0.00万元，开支培训费0.00万元。</w:t>
      </w:r>
    </w:p>
    <w:p>
      <w:pPr>
        <w:spacing w:line="300" w:lineRule="auto"/>
        <w:ind w:firstLine="642"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（三）政府采购支出情况</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w:t>
      </w: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年度政府采购支出总额</w:t>
      </w:r>
      <w:r>
        <w:rPr>
          <w:rFonts w:hint="eastAsia" w:ascii="Times New Roman" w:hAnsi="Times New Roman" w:eastAsia="仿宋_GB2312" w:cs="Times New Roman"/>
          <w:color w:val="auto"/>
          <w:sz w:val="32"/>
          <w:szCs w:val="32"/>
          <w:lang w:val="en-US" w:eastAsia="zh-CN"/>
        </w:rPr>
        <w:t>74.05</w:t>
      </w:r>
      <w:r>
        <w:rPr>
          <w:rFonts w:hint="eastAsia" w:ascii="Times New Roman" w:hAnsi="Times New Roman" w:eastAsia="仿宋_GB2312" w:cs="Times New Roman"/>
          <w:color w:val="auto"/>
          <w:sz w:val="32"/>
          <w:szCs w:val="32"/>
        </w:rPr>
        <w:t>万元，其中：政府采购货物支出</w:t>
      </w:r>
      <w:r>
        <w:rPr>
          <w:rFonts w:hint="eastAsia" w:ascii="Times New Roman" w:hAnsi="Times New Roman" w:eastAsia="仿宋_GB2312" w:cs="Times New Roman"/>
          <w:color w:val="auto"/>
          <w:sz w:val="32"/>
          <w:szCs w:val="32"/>
          <w:lang w:val="en-US" w:eastAsia="zh-CN"/>
        </w:rPr>
        <w:t>33.96</w:t>
      </w:r>
      <w:r>
        <w:rPr>
          <w:rFonts w:hint="eastAsia" w:ascii="Times New Roman" w:hAnsi="Times New Roman" w:eastAsia="仿宋_GB2312" w:cs="Times New Roman"/>
          <w:color w:val="auto"/>
          <w:sz w:val="32"/>
          <w:szCs w:val="32"/>
        </w:rPr>
        <w:t>万元；政府采购服务支出</w:t>
      </w:r>
      <w:r>
        <w:rPr>
          <w:rFonts w:hint="eastAsia" w:ascii="Times New Roman" w:hAnsi="Times New Roman" w:eastAsia="仿宋_GB2312" w:cs="Times New Roman"/>
          <w:color w:val="auto"/>
          <w:sz w:val="32"/>
          <w:szCs w:val="32"/>
          <w:lang w:val="en-US" w:eastAsia="zh-CN"/>
        </w:rPr>
        <w:t>40.09</w:t>
      </w:r>
      <w:r>
        <w:rPr>
          <w:rFonts w:hint="eastAsia" w:ascii="Times New Roman" w:hAnsi="Times New Roman" w:eastAsia="仿宋_GB2312" w:cs="Times New Roman"/>
          <w:color w:val="auto"/>
          <w:sz w:val="32"/>
          <w:szCs w:val="32"/>
        </w:rPr>
        <w:t>万元。授予</w:t>
      </w:r>
      <w:r>
        <w:rPr>
          <w:rFonts w:hint="eastAsia" w:ascii="Times New Roman" w:hAnsi="Times New Roman" w:eastAsia="仿宋_GB2312" w:cs="Times New Roman"/>
          <w:color w:val="auto"/>
          <w:sz w:val="32"/>
          <w:szCs w:val="32"/>
          <w:lang w:eastAsia="zh-CN"/>
        </w:rPr>
        <w:t>大型</w:t>
      </w:r>
      <w:r>
        <w:rPr>
          <w:rFonts w:hint="eastAsia" w:ascii="Times New Roman" w:hAnsi="Times New Roman" w:eastAsia="仿宋_GB2312" w:cs="Times New Roman"/>
          <w:color w:val="auto"/>
          <w:sz w:val="32"/>
          <w:szCs w:val="32"/>
        </w:rPr>
        <w:t>企业合同金额</w:t>
      </w:r>
      <w:r>
        <w:rPr>
          <w:rFonts w:hint="eastAsia" w:ascii="Times New Roman" w:hAnsi="Times New Roman" w:eastAsia="仿宋_GB2312" w:cs="Times New Roman"/>
          <w:color w:val="auto"/>
          <w:sz w:val="32"/>
          <w:szCs w:val="32"/>
          <w:lang w:val="en-US" w:eastAsia="zh-CN"/>
        </w:rPr>
        <w:t>0.5</w:t>
      </w:r>
      <w:r>
        <w:rPr>
          <w:rFonts w:hint="eastAsia" w:ascii="Times New Roman" w:hAnsi="Times New Roman" w:eastAsia="仿宋_GB2312" w:cs="Times New Roman"/>
          <w:color w:val="auto"/>
          <w:sz w:val="32"/>
          <w:szCs w:val="32"/>
        </w:rPr>
        <w:t>万元，占政府采购支出总额的</w:t>
      </w:r>
      <w:r>
        <w:rPr>
          <w:rFonts w:hint="eastAsia" w:ascii="Times New Roman" w:hAnsi="Times New Roman" w:eastAsia="仿宋_GB2312" w:cs="Times New Roman"/>
          <w:color w:val="auto"/>
          <w:sz w:val="32"/>
          <w:szCs w:val="32"/>
          <w:lang w:val="en-US" w:eastAsia="zh-CN"/>
        </w:rPr>
        <w:t>0.68</w:t>
      </w:r>
      <w:r>
        <w:rPr>
          <w:rFonts w:hint="eastAsia" w:ascii="Times New Roman" w:hAnsi="Times New Roman" w:eastAsia="仿宋_GB2312" w:cs="Times New Roman"/>
          <w:color w:val="auto"/>
          <w:sz w:val="32"/>
          <w:szCs w:val="32"/>
        </w:rPr>
        <w:t>%，其中：授予小微企业合同金额</w:t>
      </w:r>
      <w:r>
        <w:rPr>
          <w:rFonts w:hint="eastAsia" w:ascii="Times New Roman" w:hAnsi="Times New Roman" w:eastAsia="仿宋_GB2312" w:cs="Times New Roman"/>
          <w:color w:val="auto"/>
          <w:sz w:val="32"/>
          <w:szCs w:val="32"/>
          <w:lang w:val="en-US" w:eastAsia="zh-CN"/>
        </w:rPr>
        <w:t>73.55</w:t>
      </w:r>
      <w:r>
        <w:rPr>
          <w:rFonts w:hint="eastAsia" w:ascii="Times New Roman" w:hAnsi="Times New Roman" w:eastAsia="仿宋_GB2312" w:cs="Times New Roman"/>
          <w:color w:val="auto"/>
          <w:sz w:val="32"/>
          <w:szCs w:val="32"/>
        </w:rPr>
        <w:t xml:space="preserve"> 万元，占政府采购支出总额的</w:t>
      </w:r>
      <w:r>
        <w:rPr>
          <w:rFonts w:hint="eastAsia" w:ascii="Times New Roman" w:hAnsi="Times New Roman" w:eastAsia="仿宋_GB2312" w:cs="Times New Roman"/>
          <w:color w:val="auto"/>
          <w:sz w:val="32"/>
          <w:szCs w:val="32"/>
          <w:lang w:val="en-US" w:eastAsia="zh-CN"/>
        </w:rPr>
        <w:t>99.32</w:t>
      </w:r>
      <w:r>
        <w:rPr>
          <w:rFonts w:hint="eastAsia" w:ascii="Times New Roman" w:hAnsi="Times New Roman" w:eastAsia="仿宋_GB2312" w:cs="Times New Roman"/>
          <w:color w:val="auto"/>
          <w:sz w:val="32"/>
          <w:szCs w:val="32"/>
        </w:rPr>
        <w:t>%。</w:t>
      </w:r>
    </w:p>
    <w:p>
      <w:pPr>
        <w:spacing w:line="300" w:lineRule="auto"/>
        <w:ind w:firstLine="642" w:firstLineChars="200"/>
        <w:outlineLvl w:val="2"/>
        <w:rPr>
          <w:rFonts w:ascii="楷体_GB2312" w:eastAsia="楷体_GB2312"/>
          <w:b/>
          <w:sz w:val="32"/>
          <w:szCs w:val="32"/>
          <w:lang w:eastAsia="zh-CN"/>
        </w:rPr>
      </w:pPr>
      <w:r>
        <w:rPr>
          <w:rFonts w:hint="eastAsia" w:ascii="楷体_GB2312" w:eastAsia="楷体_GB2312"/>
          <w:b/>
          <w:sz w:val="32"/>
          <w:szCs w:val="32"/>
          <w:lang w:eastAsia="zh-CN"/>
        </w:rPr>
        <w:t>（四）国有资产占用情况</w:t>
      </w:r>
    </w:p>
    <w:p>
      <w:pPr>
        <w:pStyle w:val="16"/>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截至</w:t>
      </w: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年12月31日，本单位共有车辆</w:t>
      </w:r>
      <w:r>
        <w:rPr>
          <w:rFonts w:ascii="Times New Roman" w:hAnsi="Times New Roman" w:eastAsia="仿宋_GB2312" w:cs="Times New Roman"/>
          <w:color w:val="auto"/>
          <w:sz w:val="32"/>
          <w:szCs w:val="32"/>
        </w:rPr>
        <w:t>5</w:t>
      </w:r>
      <w:r>
        <w:rPr>
          <w:rFonts w:hint="eastAsia" w:ascii="Times New Roman" w:hAnsi="Times New Roman" w:eastAsia="仿宋_GB2312" w:cs="Times New Roman"/>
          <w:color w:val="auto"/>
          <w:sz w:val="32"/>
          <w:szCs w:val="32"/>
        </w:rPr>
        <w:t>辆，其中，领导干部用车  0 辆、机要通信用车 0  辆、应急保障用车 0  辆、执法执勤用车辆、特种专业技术用车</w:t>
      </w:r>
      <w:r>
        <w:rPr>
          <w:rFonts w:ascii="Times New Roman" w:hAnsi="Times New Roman" w:eastAsia="仿宋_GB2312" w:cs="Times New Roman"/>
          <w:color w:val="auto"/>
          <w:sz w:val="32"/>
          <w:szCs w:val="32"/>
        </w:rPr>
        <w:t>5</w:t>
      </w:r>
      <w:r>
        <w:rPr>
          <w:rFonts w:hint="eastAsia" w:ascii="Times New Roman" w:hAnsi="Times New Roman" w:eastAsia="仿宋_GB2312" w:cs="Times New Roman"/>
          <w:color w:val="auto"/>
          <w:sz w:val="32"/>
          <w:szCs w:val="32"/>
        </w:rPr>
        <w:t>辆、其他用车 0  辆；单位价值50万元以上通用设备 0  台（套）；单位价值100万元以上专用设备 0  台（套）。</w:t>
      </w:r>
    </w:p>
    <w:p>
      <w:pPr>
        <w:pStyle w:val="4"/>
        <w:spacing w:line="300" w:lineRule="auto"/>
        <w:ind w:left="0" w:firstLine="686" w:firstLineChars="200"/>
        <w:rPr>
          <w:color w:val="000007"/>
          <w:w w:val="95"/>
          <w:lang w:eastAsia="zh-CN"/>
        </w:rPr>
      </w:pPr>
    </w:p>
    <w:p>
      <w:pPr>
        <w:pStyle w:val="16"/>
        <w:spacing w:line="300" w:lineRule="auto"/>
        <w:ind w:firstLine="640"/>
        <w:rPr>
          <w:color w:val="000007"/>
          <w:w w:val="95"/>
        </w:rPr>
      </w:pPr>
    </w:p>
    <w:p>
      <w:pPr>
        <w:spacing w:line="300" w:lineRule="auto"/>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0" w:firstLineChars="0"/>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40"/>
        <w:rPr>
          <w:lang w:eastAsia="zh-CN"/>
        </w:rPr>
      </w:pPr>
    </w:p>
    <w:p>
      <w:pPr>
        <w:pStyle w:val="16"/>
        <w:spacing w:line="300" w:lineRule="auto"/>
        <w:jc w:val="center"/>
        <w:rPr>
          <w:sz w:val="72"/>
          <w:szCs w:val="72"/>
        </w:rPr>
      </w:pPr>
      <w:r>
        <w:rPr>
          <w:rFonts w:hint="eastAsia"/>
          <w:sz w:val="72"/>
          <w:szCs w:val="72"/>
        </w:rPr>
        <w:t>第四部分</w:t>
      </w:r>
    </w:p>
    <w:p>
      <w:pPr>
        <w:spacing w:line="300" w:lineRule="auto"/>
        <w:jc w:val="center"/>
        <w:rPr>
          <w:rFonts w:ascii="黑体" w:eastAsia="黑体" w:cs="黑体"/>
          <w:color w:val="000000"/>
          <w:sz w:val="70"/>
          <w:szCs w:val="70"/>
          <w:lang w:eastAsia="zh-CN"/>
        </w:rPr>
      </w:pPr>
    </w:p>
    <w:p>
      <w:pPr>
        <w:spacing w:line="300" w:lineRule="auto"/>
        <w:jc w:val="center"/>
        <w:rPr>
          <w:rFonts w:ascii="黑体" w:eastAsia="黑体" w:cs="黑体"/>
          <w:color w:val="000000"/>
          <w:sz w:val="70"/>
          <w:szCs w:val="70"/>
          <w:lang w:eastAsia="zh-CN"/>
        </w:rPr>
      </w:pPr>
      <w:r>
        <w:rPr>
          <w:rFonts w:hint="eastAsia" w:ascii="黑体" w:eastAsia="黑体" w:cs="黑体"/>
          <w:color w:val="000000"/>
          <w:sz w:val="70"/>
          <w:szCs w:val="70"/>
          <w:lang w:eastAsia="zh-CN"/>
        </w:rPr>
        <w:t>名词解释</w:t>
      </w:r>
    </w:p>
    <w:p>
      <w:pPr>
        <w:spacing w:line="300" w:lineRule="auto"/>
        <w:rPr>
          <w:rFonts w:ascii="黑体" w:eastAsia="黑体" w:cs="黑体"/>
          <w:color w:val="000000"/>
          <w:sz w:val="70"/>
          <w:szCs w:val="70"/>
          <w:lang w:eastAsia="zh-CN"/>
        </w:rPr>
      </w:pPr>
      <w:r>
        <w:rPr>
          <w:rFonts w:hint="eastAsia" w:ascii="黑体" w:eastAsia="黑体" w:cs="黑体"/>
          <w:color w:val="000000"/>
          <w:sz w:val="70"/>
          <w:szCs w:val="70"/>
          <w:lang w:eastAsia="zh-CN"/>
        </w:rPr>
        <w:br w:type="page"/>
      </w:r>
    </w:p>
    <w:p>
      <w:pPr>
        <w:spacing w:line="300" w:lineRule="auto"/>
        <w:ind w:firstLine="640" w:firstLineChars="2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pPr>
        <w:widowControl/>
        <w:spacing w:line="300" w:lineRule="auto"/>
        <w:ind w:firstLine="640" w:firstLineChars="2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pPr>
        <w:pStyle w:val="2"/>
        <w:spacing w:line="300" w:lineRule="auto"/>
        <w:ind w:firstLine="440"/>
        <w:rPr>
          <w:lang w:eastAsia="zh-CN"/>
        </w:rPr>
      </w:pPr>
    </w:p>
    <w:p>
      <w:pPr>
        <w:pStyle w:val="2"/>
        <w:spacing w:line="300" w:lineRule="auto"/>
        <w:ind w:firstLine="440"/>
        <w:rPr>
          <w:lang w:eastAsia="zh-CN"/>
        </w:rPr>
      </w:pPr>
    </w:p>
    <w:p>
      <w:pPr>
        <w:pStyle w:val="2"/>
        <w:spacing w:line="300" w:lineRule="auto"/>
        <w:ind w:firstLine="416"/>
        <w:rPr>
          <w:color w:val="000007"/>
          <w:w w:val="95"/>
          <w:lang w:eastAsia="zh-CN"/>
        </w:rPr>
      </w:pPr>
    </w:p>
    <w:p>
      <w:pPr>
        <w:spacing w:line="300" w:lineRule="auto"/>
        <w:rPr>
          <w:color w:val="000007"/>
          <w:w w:val="95"/>
          <w:lang w:eastAsia="zh-CN"/>
        </w:rPr>
      </w:pPr>
      <w:r>
        <w:rPr>
          <w:color w:val="000007"/>
          <w:w w:val="95"/>
          <w:lang w:eastAsia="zh-CN"/>
        </w:rPr>
        <w:br w:type="page"/>
      </w:r>
    </w:p>
    <w:p>
      <w:pPr>
        <w:pStyle w:val="16"/>
        <w:spacing w:line="300" w:lineRule="auto"/>
        <w:jc w:val="center"/>
        <w:rPr>
          <w:sz w:val="72"/>
          <w:szCs w:val="72"/>
        </w:rPr>
      </w:pPr>
    </w:p>
    <w:p>
      <w:pPr>
        <w:pStyle w:val="16"/>
        <w:spacing w:line="300" w:lineRule="auto"/>
        <w:jc w:val="both"/>
        <w:rPr>
          <w:sz w:val="72"/>
          <w:szCs w:val="72"/>
        </w:rPr>
      </w:pPr>
    </w:p>
    <w:p>
      <w:pPr>
        <w:pStyle w:val="16"/>
        <w:spacing w:line="300" w:lineRule="auto"/>
        <w:jc w:val="both"/>
        <w:rPr>
          <w:sz w:val="72"/>
          <w:szCs w:val="72"/>
        </w:rPr>
      </w:pPr>
    </w:p>
    <w:p>
      <w:pPr>
        <w:pStyle w:val="16"/>
        <w:spacing w:line="300" w:lineRule="auto"/>
        <w:jc w:val="both"/>
        <w:rPr>
          <w:sz w:val="72"/>
          <w:szCs w:val="72"/>
        </w:rPr>
      </w:pPr>
    </w:p>
    <w:p>
      <w:pPr>
        <w:pStyle w:val="16"/>
        <w:spacing w:line="300" w:lineRule="auto"/>
        <w:jc w:val="center"/>
        <w:rPr>
          <w:sz w:val="72"/>
          <w:szCs w:val="72"/>
        </w:rPr>
      </w:pPr>
      <w:r>
        <w:rPr>
          <w:rFonts w:hint="eastAsia"/>
          <w:sz w:val="72"/>
          <w:szCs w:val="72"/>
        </w:rPr>
        <w:t>第五部分</w:t>
      </w:r>
    </w:p>
    <w:p>
      <w:pPr>
        <w:pStyle w:val="2"/>
        <w:spacing w:line="300" w:lineRule="auto"/>
        <w:ind w:firstLine="416"/>
        <w:rPr>
          <w:rFonts w:eastAsia="宋体"/>
          <w:color w:val="000007"/>
          <w:w w:val="95"/>
          <w:lang w:eastAsia="zh-CN"/>
        </w:rPr>
      </w:pPr>
    </w:p>
    <w:p>
      <w:pPr>
        <w:pStyle w:val="2"/>
        <w:spacing w:line="300" w:lineRule="auto"/>
        <w:ind w:firstLine="416"/>
        <w:rPr>
          <w:rFonts w:eastAsia="宋体"/>
          <w:color w:val="000007"/>
          <w:w w:val="95"/>
          <w:lang w:eastAsia="zh-CN"/>
        </w:rPr>
      </w:pPr>
    </w:p>
    <w:p>
      <w:pPr>
        <w:pStyle w:val="16"/>
        <w:spacing w:line="300" w:lineRule="auto"/>
        <w:jc w:val="center"/>
        <w:rPr>
          <w:sz w:val="72"/>
          <w:szCs w:val="72"/>
        </w:rPr>
      </w:pPr>
      <w:r>
        <w:rPr>
          <w:rFonts w:hint="eastAsia"/>
          <w:sz w:val="72"/>
          <w:szCs w:val="72"/>
        </w:rPr>
        <w:t>附件</w:t>
      </w:r>
    </w:p>
    <w:p>
      <w:pPr>
        <w:spacing w:line="300" w:lineRule="auto"/>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青山桥镇人民政府</w:t>
      </w:r>
      <w:r>
        <w:rPr>
          <w:rFonts w:hint="eastAsia" w:ascii="宋体" w:hAnsi="宋体" w:cs="方正小标宋_GBK"/>
          <w:b/>
          <w:bCs/>
          <w:sz w:val="36"/>
          <w:szCs w:val="36"/>
        </w:rPr>
        <w:t>部门整体支出绩效评价报告</w:t>
      </w:r>
    </w:p>
    <w:tbl>
      <w:tblPr>
        <w:tblStyle w:val="11"/>
        <w:tblpPr w:leftFromText="180" w:rightFromText="180" w:vertAnchor="page" w:horzAnchor="margin" w:tblpY="2326"/>
        <w:tblW w:w="93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2048"/>
        <w:gridCol w:w="5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851" w:type="dxa"/>
            <w:vAlign w:val="center"/>
          </w:tcPr>
          <w:p>
            <w:pPr>
              <w:pStyle w:val="10"/>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青山桥镇人民政府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pPr>
              <w:spacing w:line="576" w:lineRule="exact"/>
              <w:jc w:val="center"/>
              <w:rPr>
                <w:rFonts w:ascii="仿宋_GB2312" w:hAnsi="宋体" w:eastAsia="仿宋_GB2312" w:cs="宋体"/>
                <w:szCs w:val="21"/>
              </w:rPr>
            </w:pP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851" w:type="dxa"/>
            <w:vAlign w:val="center"/>
          </w:tcPr>
          <w:p>
            <w:pPr>
              <w:pStyle w:val="10"/>
              <w:shd w:val="clear" w:color="auto" w:fill="FFFFFF"/>
              <w:spacing w:before="0" w:beforeAutospacing="0" w:after="0" w:afterAutospacing="0" w:line="400" w:lineRule="exact"/>
              <w:ind w:firstLine="2319" w:firstLineChars="1100"/>
              <w:jc w:val="both"/>
              <w:rPr>
                <w:rFonts w:eastAsia="方正仿宋_GBK"/>
                <w:b/>
                <w:bCs/>
                <w:sz w:val="21"/>
                <w:szCs w:val="21"/>
              </w:rPr>
            </w:pPr>
            <w:r>
              <w:rPr>
                <w:rFonts w:hint="eastAsia" w:eastAsia="方正仿宋_GBK"/>
                <w:b/>
                <w:bCs/>
                <w:sz w:val="21"/>
                <w:szCs w:val="21"/>
                <w:lang w:val="en-US" w:eastAsia="zh-CN"/>
              </w:rPr>
              <w:t>3365.79</w:t>
            </w:r>
            <w:r>
              <w:rPr>
                <w:rFonts w:hint="eastAsia" w:eastAsia="方正仿宋_GBK"/>
                <w:b/>
                <w:bCs/>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pPr>
              <w:spacing w:line="576" w:lineRule="exact"/>
              <w:jc w:val="center"/>
              <w:rPr>
                <w:rFonts w:ascii="仿宋_GB2312" w:hAnsi="宋体" w:eastAsia="仿宋_GB2312" w:cs="宋体"/>
                <w:szCs w:val="21"/>
              </w:rPr>
            </w:pP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851" w:type="dxa"/>
            <w:vAlign w:val="center"/>
          </w:tcPr>
          <w:p>
            <w:pPr>
              <w:pStyle w:val="10"/>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pPr>
              <w:spacing w:line="576" w:lineRule="exact"/>
              <w:jc w:val="center"/>
              <w:rPr>
                <w:rFonts w:ascii="仿宋_GB2312" w:hAnsi="宋体" w:eastAsia="仿宋_GB2312" w:cs="宋体"/>
                <w:szCs w:val="21"/>
              </w:rPr>
            </w:pP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851" w:type="dxa"/>
            <w:vAlign w:val="center"/>
          </w:tcPr>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1、在镇党委的领导下，贯彻执行党的路线、方针、政策和国家的各项法律、法规；负责镇辖区内地区性、群众性、公益性、社会性工作。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2、负责精神文明建设工作，积极组织以提高民众素质为目的的活动，树立文明新风。</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3、按照职责范围，负责镇辖区内的建设和管理、环境卫生、环境保护等监督、管理、服务工作。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4、负责镇辖区内的维护稳定及社会治安综合治理工作，依照有关规定做好出租屋和外来暂住人员的管理工作；负责民事调解，法律服务工作，维护居民的合法权益。</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5、负责村、居委会的建设和管理，积极开展镇区服务工作，大力兴办福利企业，发动和组织镇区成员开展各类公益活动；负责拥军优属、优抚安置、社会救济、社会福利、社区文化、科普、体育、教育等工作。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6、发展镇区经济，为镇区经济组织提供人才、科技、信息和各类服务，以经济、法律和必要的行政手段推动镇区经济发展和维护市场经济秩序。</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7、负责计划生育、劳动就业、安全生产管理、初级卫生保健、民兵、兵役、侨务等工作。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8、指导和帮助居民委员会搞好组织建设和制度建设，发挥居民委员会的群众自治组织作用。</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9、配合有关部门做好房屋拆迁、防汛、防风、防火、动物防疫、防震、防灾和抢险工作。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10、向县人民政府反映居民群众的意见和要求，办理人民群众来信来访事项。</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11、负责辖区内普法教育工作，维护老人、妇女儿童的合法权益。</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12、负责辖区内安全生产和消防工作的指导、监督。</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13、会同有关部门做好辖区内的企业服务、在地统计工作。</w:t>
            </w:r>
          </w:p>
          <w:p>
            <w:pPr>
              <w:pStyle w:val="10"/>
              <w:shd w:val="clear" w:color="auto" w:fill="FFFFFF"/>
              <w:spacing w:before="0" w:beforeAutospacing="0" w:after="0" w:afterAutospacing="0" w:line="400" w:lineRule="exact"/>
              <w:ind w:firstLine="480" w:firstLineChars="200"/>
              <w:jc w:val="both"/>
              <w:rPr>
                <w:rFonts w:eastAsia="方正仿宋_GBK"/>
                <w:sz w:val="21"/>
                <w:szCs w:val="21"/>
              </w:rPr>
            </w:pPr>
            <w:r>
              <w:rPr>
                <w:rFonts w:hint="eastAsia" w:ascii="仿宋_GB2312" w:eastAsia="仿宋_GB2312"/>
                <w:szCs w:val="21"/>
              </w:rPr>
              <w:t>14、承办镇党委和上级部门交办的其他事项。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5" w:hRule="atLeast"/>
        </w:trPr>
        <w:tc>
          <w:tcPr>
            <w:tcW w:w="1428"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851" w:type="dxa"/>
            <w:vAlign w:val="center"/>
          </w:tcPr>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1、收入情况</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3</w:t>
            </w:r>
            <w:r>
              <w:rPr>
                <w:rFonts w:hint="eastAsia" w:ascii="仿宋_GB2312" w:eastAsia="仿宋_GB2312"/>
                <w:kern w:val="2"/>
                <w:sz w:val="21"/>
                <w:szCs w:val="21"/>
                <w:lang w:eastAsia="zh-CN"/>
              </w:rPr>
              <w:t>年初县财政批复青山桥镇预算总收入为</w:t>
            </w:r>
            <w:r>
              <w:rPr>
                <w:rFonts w:hint="eastAsia" w:ascii="仿宋_GB2312" w:eastAsia="仿宋_GB2312"/>
                <w:kern w:val="2"/>
                <w:sz w:val="21"/>
                <w:szCs w:val="21"/>
                <w:lang w:val="en-US" w:eastAsia="zh-CN"/>
              </w:rPr>
              <w:t>3365.79</w:t>
            </w:r>
            <w:r>
              <w:rPr>
                <w:rFonts w:hint="eastAsia" w:ascii="仿宋_GB2312" w:eastAsia="仿宋_GB2312"/>
                <w:kern w:val="2"/>
                <w:sz w:val="21"/>
                <w:szCs w:val="21"/>
                <w:lang w:eastAsia="zh-CN"/>
              </w:rPr>
              <w:t>万元，其中基本支出</w:t>
            </w:r>
            <w:r>
              <w:rPr>
                <w:rFonts w:hint="eastAsia" w:ascii="仿宋_GB2312" w:eastAsia="仿宋_GB2312"/>
                <w:kern w:val="2"/>
                <w:sz w:val="21"/>
                <w:szCs w:val="21"/>
                <w:lang w:val="en-US" w:eastAsia="zh-CN"/>
              </w:rPr>
              <w:t>3121.96</w:t>
            </w:r>
            <w:r>
              <w:rPr>
                <w:rFonts w:hint="eastAsia" w:ascii="仿宋_GB2312" w:eastAsia="仿宋_GB2312"/>
                <w:kern w:val="2"/>
                <w:sz w:val="21"/>
                <w:szCs w:val="21"/>
                <w:lang w:eastAsia="zh-CN"/>
              </w:rPr>
              <w:t>万元，项目支出</w:t>
            </w:r>
            <w:r>
              <w:rPr>
                <w:rFonts w:hint="eastAsia" w:ascii="仿宋_GB2312" w:eastAsia="仿宋_GB2312"/>
                <w:kern w:val="2"/>
                <w:sz w:val="21"/>
                <w:szCs w:val="21"/>
                <w:lang w:val="en-US" w:eastAsia="zh-CN"/>
              </w:rPr>
              <w:t>243.83</w:t>
            </w:r>
            <w:r>
              <w:rPr>
                <w:rFonts w:hint="eastAsia" w:ascii="仿宋_GB2312" w:eastAsia="仿宋_GB2312"/>
                <w:kern w:val="2"/>
                <w:sz w:val="21"/>
                <w:szCs w:val="21"/>
                <w:lang w:eastAsia="zh-CN"/>
              </w:rPr>
              <w:t>万元。全年实际到位预算收入</w:t>
            </w:r>
            <w:r>
              <w:rPr>
                <w:rFonts w:hint="eastAsia" w:ascii="仿宋_GB2312" w:eastAsia="仿宋_GB2312"/>
                <w:kern w:val="2"/>
                <w:sz w:val="21"/>
                <w:szCs w:val="21"/>
                <w:lang w:val="en-US" w:eastAsia="zh-CN"/>
              </w:rPr>
              <w:t>2536.65</w:t>
            </w:r>
            <w:r>
              <w:rPr>
                <w:rFonts w:hint="eastAsia" w:ascii="仿宋_GB2312" w:eastAsia="仿宋_GB2312"/>
                <w:kern w:val="2"/>
                <w:sz w:val="21"/>
                <w:szCs w:val="21"/>
                <w:lang w:eastAsia="zh-CN"/>
              </w:rPr>
              <w:t>万元；其他收入</w:t>
            </w:r>
            <w:r>
              <w:rPr>
                <w:rFonts w:hint="eastAsia" w:ascii="仿宋_GB2312" w:eastAsia="仿宋_GB2312"/>
                <w:kern w:val="2"/>
                <w:sz w:val="21"/>
                <w:szCs w:val="21"/>
                <w:lang w:val="en-US" w:eastAsia="zh-CN"/>
              </w:rPr>
              <w:t>829.14</w:t>
            </w:r>
            <w:r>
              <w:rPr>
                <w:rFonts w:hint="eastAsia" w:ascii="仿宋_GB2312" w:eastAsia="仿宋_GB2312"/>
                <w:kern w:val="2"/>
                <w:sz w:val="21"/>
                <w:szCs w:val="21"/>
                <w:lang w:eastAsia="zh-CN"/>
              </w:rPr>
              <w:t>万元。</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2、支出情况</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val="en-US" w:eastAsia="zh-CN"/>
              </w:rPr>
              <w:t>2023</w:t>
            </w:r>
            <w:r>
              <w:rPr>
                <w:rFonts w:hint="eastAsia" w:ascii="仿宋_GB2312" w:eastAsia="仿宋_GB2312"/>
                <w:kern w:val="2"/>
                <w:sz w:val="21"/>
                <w:szCs w:val="21"/>
                <w:lang w:eastAsia="zh-CN"/>
              </w:rPr>
              <w:t>年决算总支出</w:t>
            </w:r>
            <w:r>
              <w:rPr>
                <w:rFonts w:hint="eastAsia" w:ascii="仿宋_GB2312" w:eastAsia="仿宋_GB2312"/>
                <w:kern w:val="2"/>
                <w:sz w:val="21"/>
                <w:szCs w:val="21"/>
                <w:lang w:val="en-US" w:eastAsia="zh-CN"/>
              </w:rPr>
              <w:t>3365.79</w:t>
            </w:r>
            <w:r>
              <w:rPr>
                <w:rFonts w:hint="eastAsia" w:ascii="仿宋_GB2312" w:eastAsia="仿宋_GB2312"/>
                <w:kern w:val="2"/>
                <w:sz w:val="21"/>
                <w:szCs w:val="21"/>
                <w:lang w:eastAsia="zh-CN"/>
              </w:rPr>
              <w:t>万元，其中工资福利支出</w:t>
            </w:r>
            <w:r>
              <w:rPr>
                <w:rFonts w:hint="eastAsia" w:ascii="仿宋_GB2312" w:eastAsia="仿宋_GB2312"/>
                <w:kern w:val="2"/>
                <w:sz w:val="21"/>
                <w:szCs w:val="21"/>
                <w:lang w:val="en-US" w:eastAsia="zh-CN"/>
              </w:rPr>
              <w:t>1318.81</w:t>
            </w:r>
            <w:r>
              <w:rPr>
                <w:rFonts w:hint="eastAsia" w:ascii="仿宋_GB2312" w:eastAsia="仿宋_GB2312"/>
                <w:kern w:val="2"/>
                <w:sz w:val="21"/>
                <w:szCs w:val="21"/>
                <w:lang w:eastAsia="zh-CN"/>
              </w:rPr>
              <w:t>万元、商品和服务支出</w:t>
            </w:r>
            <w:r>
              <w:rPr>
                <w:rFonts w:hint="eastAsia" w:ascii="仿宋_GB2312" w:eastAsia="仿宋_GB2312"/>
                <w:kern w:val="2"/>
                <w:sz w:val="21"/>
                <w:szCs w:val="21"/>
                <w:lang w:val="en-US" w:eastAsia="zh-CN"/>
              </w:rPr>
              <w:t>553.02</w:t>
            </w:r>
            <w:r>
              <w:rPr>
                <w:rFonts w:hint="eastAsia" w:ascii="仿宋_GB2312" w:eastAsia="仿宋_GB2312"/>
                <w:kern w:val="2"/>
                <w:sz w:val="21"/>
                <w:szCs w:val="21"/>
                <w:lang w:eastAsia="zh-CN"/>
              </w:rPr>
              <w:t>万元、对个人和家庭的补助</w:t>
            </w:r>
            <w:r>
              <w:rPr>
                <w:rFonts w:hint="eastAsia" w:ascii="仿宋_GB2312" w:eastAsia="仿宋_GB2312"/>
                <w:kern w:val="2"/>
                <w:sz w:val="21"/>
                <w:szCs w:val="21"/>
                <w:lang w:val="en-US" w:eastAsia="zh-CN"/>
              </w:rPr>
              <w:t>596.66</w:t>
            </w:r>
            <w:r>
              <w:rPr>
                <w:rFonts w:hint="eastAsia" w:ascii="仿宋_GB2312" w:eastAsia="仿宋_GB2312"/>
                <w:kern w:val="2"/>
                <w:sz w:val="21"/>
                <w:szCs w:val="21"/>
                <w:lang w:eastAsia="zh-CN"/>
              </w:rPr>
              <w:t xml:space="preserve">万元、资本性支出 </w:t>
            </w:r>
            <w:r>
              <w:rPr>
                <w:rFonts w:hint="eastAsia" w:ascii="仿宋_GB2312" w:eastAsia="仿宋_GB2312"/>
                <w:kern w:val="2"/>
                <w:sz w:val="21"/>
                <w:szCs w:val="21"/>
                <w:lang w:val="en-US" w:eastAsia="zh-CN"/>
              </w:rPr>
              <w:t>0</w:t>
            </w:r>
            <w:r>
              <w:rPr>
                <w:rFonts w:hint="eastAsia" w:ascii="仿宋_GB2312" w:eastAsia="仿宋_GB2312"/>
                <w:kern w:val="2"/>
                <w:sz w:val="21"/>
                <w:szCs w:val="21"/>
                <w:lang w:eastAsia="zh-CN"/>
              </w:rPr>
              <w:t>万元。上述决算支出中基本支出</w:t>
            </w:r>
            <w:r>
              <w:rPr>
                <w:rFonts w:hint="eastAsia" w:ascii="仿宋_GB2312" w:eastAsia="仿宋_GB2312"/>
                <w:kern w:val="2"/>
                <w:sz w:val="21"/>
                <w:szCs w:val="21"/>
                <w:lang w:val="en-US" w:eastAsia="zh-CN"/>
              </w:rPr>
              <w:t>3121.96</w:t>
            </w:r>
            <w:r>
              <w:rPr>
                <w:rFonts w:hint="eastAsia" w:ascii="仿宋_GB2312" w:eastAsia="仿宋_GB2312"/>
                <w:kern w:val="2"/>
                <w:sz w:val="21"/>
                <w:szCs w:val="21"/>
                <w:lang w:eastAsia="zh-CN"/>
              </w:rPr>
              <w:t>万元，项目支出</w:t>
            </w:r>
            <w:r>
              <w:rPr>
                <w:rFonts w:hint="eastAsia" w:ascii="仿宋_GB2312" w:eastAsia="仿宋_GB2312"/>
                <w:kern w:val="2"/>
                <w:sz w:val="21"/>
                <w:szCs w:val="21"/>
                <w:lang w:val="en-US" w:eastAsia="zh-CN"/>
              </w:rPr>
              <w:t>243.83</w:t>
            </w:r>
            <w:r>
              <w:rPr>
                <w:rFonts w:hint="eastAsia" w:ascii="仿宋_GB2312" w:eastAsia="仿宋_GB2312"/>
                <w:kern w:val="2"/>
                <w:sz w:val="21"/>
                <w:szCs w:val="21"/>
                <w:lang w:eastAsia="zh-CN"/>
              </w:rPr>
              <w:t>万元。当年无结余。</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3、“三公经费”支出情况</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3</w:t>
            </w:r>
            <w:r>
              <w:rPr>
                <w:rFonts w:hint="eastAsia" w:ascii="仿宋_GB2312" w:eastAsia="仿宋_GB2312"/>
                <w:kern w:val="2"/>
                <w:sz w:val="21"/>
                <w:szCs w:val="21"/>
                <w:lang w:eastAsia="zh-CN"/>
              </w:rPr>
              <w:t>年 “三公”经费支出</w:t>
            </w:r>
            <w:r>
              <w:rPr>
                <w:rFonts w:hint="eastAsia" w:ascii="仿宋_GB2312" w:eastAsia="仿宋_GB2312"/>
                <w:kern w:val="2"/>
                <w:sz w:val="21"/>
                <w:szCs w:val="21"/>
                <w:lang w:val="en-US" w:eastAsia="zh-CN"/>
              </w:rPr>
              <w:t>0</w:t>
            </w:r>
            <w:r>
              <w:rPr>
                <w:rFonts w:hint="eastAsia" w:ascii="仿宋_GB2312" w:eastAsia="仿宋_GB2312"/>
                <w:kern w:val="2"/>
                <w:sz w:val="21"/>
                <w:szCs w:val="21"/>
                <w:lang w:eastAsia="zh-CN"/>
              </w:rPr>
              <w:t>元。其中公务接待费</w:t>
            </w:r>
            <w:r>
              <w:rPr>
                <w:rFonts w:hint="eastAsia" w:ascii="仿宋_GB2312" w:eastAsia="仿宋_GB2312"/>
                <w:kern w:val="2"/>
                <w:sz w:val="21"/>
                <w:szCs w:val="21"/>
                <w:lang w:val="en-US" w:eastAsia="zh-CN"/>
              </w:rPr>
              <w:t>0</w:t>
            </w:r>
            <w:r>
              <w:rPr>
                <w:rFonts w:hint="eastAsia" w:ascii="仿宋_GB2312" w:eastAsia="仿宋_GB2312"/>
                <w:kern w:val="2"/>
                <w:sz w:val="21"/>
                <w:szCs w:val="21"/>
                <w:lang w:eastAsia="zh-CN"/>
              </w:rPr>
              <w:t>元，公务用车运行费用0元，因公出国费0元。</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4、项目支出情况</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3</w:t>
            </w:r>
            <w:r>
              <w:rPr>
                <w:rFonts w:hint="eastAsia" w:ascii="仿宋_GB2312" w:eastAsia="仿宋_GB2312"/>
                <w:kern w:val="2"/>
                <w:sz w:val="21"/>
                <w:szCs w:val="21"/>
                <w:lang w:eastAsia="zh-CN"/>
              </w:rPr>
              <w:t>年度项目支出</w:t>
            </w:r>
            <w:r>
              <w:rPr>
                <w:rFonts w:hint="eastAsia" w:ascii="仿宋_GB2312" w:eastAsia="仿宋_GB2312"/>
                <w:kern w:val="2"/>
                <w:sz w:val="21"/>
                <w:szCs w:val="21"/>
                <w:lang w:val="en-US" w:eastAsia="zh-CN"/>
              </w:rPr>
              <w:t>243.83</w:t>
            </w:r>
            <w:r>
              <w:rPr>
                <w:rFonts w:hint="eastAsia" w:ascii="仿宋_GB2312" w:eastAsia="仿宋_GB2312"/>
                <w:kern w:val="2"/>
                <w:sz w:val="21"/>
                <w:szCs w:val="21"/>
                <w:lang w:eastAsia="zh-CN"/>
              </w:rPr>
              <w:t>万元。</w:t>
            </w:r>
          </w:p>
          <w:p>
            <w:pPr>
              <w:pStyle w:val="10"/>
              <w:shd w:val="clear" w:color="auto" w:fill="FFFFFF"/>
              <w:spacing w:before="0" w:beforeAutospacing="0" w:after="0" w:afterAutospacing="0" w:line="400" w:lineRule="exact"/>
              <w:ind w:firstLine="420" w:firstLineChars="200"/>
              <w:jc w:val="both"/>
              <w:rPr>
                <w:rFonts w:eastAsia="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1428" w:type="dxa"/>
            <w:vMerge w:val="continue"/>
          </w:tcPr>
          <w:p>
            <w:pPr>
              <w:autoSpaceDE w:val="0"/>
              <w:spacing w:line="560" w:lineRule="exact"/>
              <w:ind w:firstLine="440" w:firstLineChars="200"/>
              <w:rPr>
                <w:rFonts w:ascii="宋体" w:hAnsi="宋体" w:eastAsia="方正仿宋_GBK" w:cs="宋体"/>
                <w:szCs w:val="21"/>
              </w:rPr>
            </w:pPr>
          </w:p>
        </w:tc>
        <w:tc>
          <w:tcPr>
            <w:tcW w:w="2048" w:type="dxa"/>
            <w:vAlign w:val="center"/>
          </w:tcPr>
          <w:p>
            <w:pPr>
              <w:autoSpaceDE w:val="0"/>
              <w:spacing w:line="560" w:lineRule="exact"/>
              <w:ind w:firstLine="420" w:firstLineChars="200"/>
              <w:rPr>
                <w:rFonts w:ascii="宋体" w:hAnsi="宋体" w:eastAsia="方正仿宋_GBK" w:cs="宋体"/>
                <w:szCs w:val="21"/>
              </w:rPr>
            </w:pPr>
            <w:r>
              <w:rPr>
                <w:rFonts w:hint="eastAsia" w:ascii="仿宋_GB2312" w:hAnsi="宋体" w:eastAsia="仿宋_GB2312" w:cs="宋体"/>
                <w:kern w:val="2"/>
                <w:sz w:val="21"/>
                <w:szCs w:val="21"/>
                <w:lang w:eastAsia="zh-CN"/>
              </w:rPr>
              <w:t>绩效目标完成情况</w:t>
            </w:r>
          </w:p>
        </w:tc>
        <w:tc>
          <w:tcPr>
            <w:tcW w:w="5851" w:type="dxa"/>
            <w:vAlign w:val="center"/>
          </w:tcPr>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第一，坚守初心使命学政治。严格落实“三会一课”制度，扎实开展主题党日活动，利用流动党员微信群加强对流动党员的管理和教育。在全镇范围内共开展主题党日活动200余次，党的理论政策宣讲6轮120余场次。随着党的理论政策学教活动不断开展，广大党员干部能够树牢“四个意识”，坚定“四个自信”、做到“两个维护”。全面提高了镇村干部的综合素质和为民、务实、清廉的自觉性。</w:t>
            </w:r>
          </w:p>
          <w:p>
            <w:pPr>
              <w:pStyle w:val="10"/>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eastAsia="zh-CN"/>
              </w:rPr>
            </w:pPr>
            <w:r>
              <w:rPr>
                <w:rFonts w:hint="eastAsia" w:ascii="仿宋_GB2312" w:eastAsia="仿宋_GB2312"/>
                <w:kern w:val="2"/>
                <w:sz w:val="21"/>
                <w:szCs w:val="21"/>
                <w:lang w:eastAsia="zh-CN"/>
              </w:rPr>
              <w:t>第二，全面提升招商实效。</w:t>
            </w:r>
            <w:r>
              <w:rPr>
                <w:rFonts w:hint="default" w:ascii="仿宋_GB2312" w:hAnsi="宋体" w:eastAsia="仿宋_GB2312" w:cs="宋体"/>
                <w:kern w:val="2"/>
                <w:sz w:val="21"/>
                <w:szCs w:val="21"/>
                <w:lang w:val="en-US" w:eastAsia="zh-CN"/>
              </w:rPr>
              <w:t>新引进7家企业</w:t>
            </w:r>
            <w:r>
              <w:rPr>
                <w:rFonts w:hint="eastAsia" w:ascii="仿宋_GB2312" w:hAnsi="宋体" w:eastAsia="仿宋_GB2312" w:cs="宋体"/>
                <w:kern w:val="2"/>
                <w:sz w:val="21"/>
                <w:szCs w:val="21"/>
                <w:lang w:val="en-US" w:eastAsia="zh-CN"/>
              </w:rPr>
              <w:t>。其中医疗保健企业2家，湖南康尔乐医疗用品有限公司和湖南康尔佳营养食品有限公司，总投资1.5亿元，预计年产值1.5亿元，带动就业600余人；制造业企业3家，湖南宏昊农业发展有限公司、湖南青山依旧伞工艺制品有限公司和湘潭昌福塑料加工有限公司，总投资3700万元，预计年产值5500万元，带动就业500余人；服务业企业2家，湖南七星聚能光伏科技有限公司和湘潭伟信驾驶员培训有限公司，总投资2000万元，预计年产值3000万元。</w:t>
            </w:r>
          </w:p>
          <w:p>
            <w:pPr>
              <w:pStyle w:val="10"/>
              <w:shd w:val="clear" w:color="auto" w:fill="FFFFFF"/>
              <w:spacing w:before="0" w:beforeAutospacing="0" w:after="0" w:afterAutospacing="0" w:line="400" w:lineRule="exact"/>
              <w:ind w:firstLine="420" w:firstLineChars="200"/>
              <w:jc w:val="both"/>
              <w:rPr>
                <w:rFonts w:hint="default" w:ascii="仿宋_GB2312" w:hAnsi="宋体" w:eastAsia="仿宋_GB2312" w:cs="宋体"/>
                <w:kern w:val="2"/>
                <w:sz w:val="21"/>
                <w:szCs w:val="21"/>
                <w:lang w:val="en-US" w:eastAsia="zh-CN"/>
              </w:rPr>
            </w:pPr>
            <w:r>
              <w:rPr>
                <w:rFonts w:hint="eastAsia" w:ascii="仿宋_GB2312" w:eastAsia="仿宋_GB2312"/>
                <w:kern w:val="2"/>
                <w:sz w:val="21"/>
                <w:szCs w:val="21"/>
                <w:lang w:eastAsia="zh-CN"/>
              </w:rPr>
              <w:t>第三</w:t>
            </w:r>
            <w:r>
              <w:rPr>
                <w:rFonts w:hint="eastAsia" w:ascii="仿宋_GB2312" w:hAnsi="宋体" w:eastAsia="仿宋_GB2312" w:cs="宋体"/>
                <w:kern w:val="2"/>
                <w:sz w:val="21"/>
                <w:szCs w:val="21"/>
                <w:lang w:val="en-US" w:eastAsia="zh-CN"/>
              </w:rPr>
              <w:t>，全力推进项目建设。</w:t>
            </w:r>
            <w:r>
              <w:rPr>
                <w:rFonts w:hint="default" w:ascii="仿宋_GB2312" w:hAnsi="宋体" w:eastAsia="仿宋_GB2312" w:cs="宋体"/>
                <w:kern w:val="2"/>
                <w:sz w:val="21"/>
                <w:szCs w:val="21"/>
                <w:lang w:val="en-US" w:eastAsia="zh-CN"/>
              </w:rPr>
              <w:t>完善园区基础设施建设和配套服务，</w:t>
            </w:r>
            <w:r>
              <w:rPr>
                <w:rFonts w:hint="eastAsia" w:ascii="仿宋_GB2312" w:hAnsi="宋体" w:eastAsia="仿宋_GB2312" w:cs="宋体"/>
                <w:kern w:val="2"/>
                <w:sz w:val="21"/>
                <w:szCs w:val="21"/>
                <w:lang w:val="en-US" w:eastAsia="zh-CN"/>
              </w:rPr>
              <w:t>完成园区300米道路硬化前期工作，</w:t>
            </w:r>
            <w:r>
              <w:rPr>
                <w:rFonts w:hint="default" w:ascii="仿宋_GB2312" w:hAnsi="宋体" w:eastAsia="仿宋_GB2312" w:cs="宋体"/>
                <w:kern w:val="2"/>
                <w:sz w:val="21"/>
                <w:szCs w:val="21"/>
                <w:lang w:val="en-US" w:eastAsia="zh-CN"/>
              </w:rPr>
              <w:t>标准厂房</w:t>
            </w:r>
            <w:r>
              <w:rPr>
                <w:rFonts w:hint="eastAsia" w:ascii="仿宋_GB2312" w:hAnsi="宋体" w:eastAsia="仿宋_GB2312" w:cs="宋体"/>
                <w:kern w:val="2"/>
                <w:sz w:val="21"/>
                <w:szCs w:val="21"/>
                <w:lang w:val="en-US" w:eastAsia="zh-CN"/>
              </w:rPr>
              <w:t>和园区道路新</w:t>
            </w:r>
            <w:r>
              <w:rPr>
                <w:rFonts w:hint="default" w:ascii="仿宋_GB2312" w:hAnsi="宋体" w:eastAsia="仿宋_GB2312" w:cs="宋体"/>
                <w:kern w:val="2"/>
                <w:sz w:val="21"/>
                <w:szCs w:val="21"/>
                <w:lang w:val="en-US" w:eastAsia="zh-CN"/>
              </w:rPr>
              <w:t>安装</w:t>
            </w:r>
            <w:r>
              <w:rPr>
                <w:rFonts w:hint="eastAsia" w:ascii="仿宋_GB2312" w:hAnsi="宋体" w:eastAsia="仿宋_GB2312" w:cs="宋体"/>
                <w:kern w:val="2"/>
                <w:sz w:val="21"/>
                <w:szCs w:val="21"/>
                <w:lang w:val="en-US" w:eastAsia="zh-CN"/>
              </w:rPr>
              <w:t>59</w:t>
            </w:r>
            <w:r>
              <w:rPr>
                <w:rFonts w:hint="default" w:ascii="仿宋_GB2312" w:hAnsi="宋体" w:eastAsia="仿宋_GB2312" w:cs="宋体"/>
                <w:kern w:val="2"/>
                <w:sz w:val="21"/>
                <w:szCs w:val="21"/>
                <w:lang w:val="en-US" w:eastAsia="zh-CN"/>
              </w:rPr>
              <w:t>盏路灯</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修缮</w:t>
            </w:r>
            <w:r>
              <w:rPr>
                <w:rFonts w:hint="eastAsia" w:ascii="仿宋_GB2312" w:hAnsi="宋体" w:eastAsia="仿宋_GB2312" w:cs="宋体"/>
                <w:kern w:val="2"/>
                <w:sz w:val="21"/>
                <w:szCs w:val="21"/>
                <w:lang w:val="en-US" w:eastAsia="zh-CN"/>
              </w:rPr>
              <w:t>32</w:t>
            </w:r>
            <w:r>
              <w:rPr>
                <w:rFonts w:hint="default" w:ascii="仿宋_GB2312" w:hAnsi="宋体" w:eastAsia="仿宋_GB2312" w:cs="宋体"/>
                <w:kern w:val="2"/>
                <w:sz w:val="21"/>
                <w:szCs w:val="21"/>
                <w:lang w:val="en-US" w:eastAsia="zh-CN"/>
              </w:rPr>
              <w:t>盏路灯</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特色小镇项目：青山桥皮鞋小镇孵化园项目，一期投资3500万元，占地10亩，建筑面积9640平方米，建设2栋3层标准厂房</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已签约湖南康尔乐医疗用品有限公司，正在进行内部装修。商贸流通项目：青山桥皮鞋皮具批发交易市场项目，投资8000万元，占地30亩，建筑面积34200平方米，建设5栋商居楼、1栋8层综合楼。已完成</w:t>
            </w:r>
            <w:r>
              <w:rPr>
                <w:rFonts w:hint="eastAsia" w:ascii="仿宋_GB2312" w:hAnsi="宋体" w:eastAsia="仿宋_GB2312" w:cs="宋体"/>
                <w:kern w:val="2"/>
                <w:sz w:val="21"/>
                <w:szCs w:val="21"/>
                <w:lang w:val="en-US" w:eastAsia="zh-CN"/>
              </w:rPr>
              <w:t>第</w:t>
            </w:r>
            <w:r>
              <w:rPr>
                <w:rFonts w:hint="default" w:ascii="仿宋_GB2312" w:hAnsi="宋体" w:eastAsia="仿宋_GB2312" w:cs="宋体"/>
                <w:kern w:val="2"/>
                <w:sz w:val="21"/>
                <w:szCs w:val="21"/>
                <w:lang w:val="en-US" w:eastAsia="zh-CN"/>
              </w:rPr>
              <w:t>1栋主体建设及装修，</w:t>
            </w:r>
            <w:r>
              <w:rPr>
                <w:rFonts w:hint="eastAsia" w:ascii="仿宋_GB2312" w:hAnsi="宋体" w:eastAsia="仿宋_GB2312" w:cs="宋体"/>
                <w:kern w:val="2"/>
                <w:sz w:val="21"/>
                <w:szCs w:val="21"/>
                <w:lang w:val="en-US" w:eastAsia="zh-CN"/>
              </w:rPr>
              <w:t>第</w:t>
            </w:r>
            <w:r>
              <w:rPr>
                <w:rFonts w:hint="default" w:ascii="仿宋_GB2312" w:hAnsi="宋体" w:eastAsia="仿宋_GB2312" w:cs="宋体"/>
                <w:kern w:val="2"/>
                <w:sz w:val="21"/>
                <w:szCs w:val="21"/>
                <w:lang w:val="en-US" w:eastAsia="zh-CN"/>
              </w:rPr>
              <w:t>5、6栋正进行第</w:t>
            </w:r>
            <w:r>
              <w:rPr>
                <w:rFonts w:hint="eastAsia" w:ascii="仿宋_GB2312" w:hAnsi="宋体" w:eastAsia="仿宋_GB2312" w:cs="宋体"/>
                <w:kern w:val="2"/>
                <w:sz w:val="21"/>
                <w:szCs w:val="21"/>
                <w:lang w:val="en-US" w:eastAsia="zh-CN"/>
              </w:rPr>
              <w:t>2</w:t>
            </w:r>
            <w:r>
              <w:rPr>
                <w:rFonts w:hint="default" w:ascii="仿宋_GB2312" w:hAnsi="宋体" w:eastAsia="仿宋_GB2312" w:cs="宋体"/>
                <w:kern w:val="2"/>
                <w:sz w:val="21"/>
                <w:szCs w:val="21"/>
                <w:lang w:val="en-US" w:eastAsia="zh-CN"/>
              </w:rPr>
              <w:t>层主体建设。先进制造业项目：湖南星辉鞋业有限公司年产80万双皮鞋生产线建设项目，投资4000万元，</w:t>
            </w:r>
            <w:r>
              <w:rPr>
                <w:rFonts w:hint="eastAsia" w:ascii="仿宋_GB2312" w:hAnsi="宋体" w:eastAsia="仿宋_GB2312" w:cs="宋体"/>
                <w:kern w:val="2"/>
                <w:sz w:val="21"/>
                <w:szCs w:val="21"/>
                <w:lang w:val="en-US" w:eastAsia="zh-CN"/>
              </w:rPr>
              <w:t>建设</w:t>
            </w:r>
            <w:r>
              <w:rPr>
                <w:rFonts w:hint="default" w:ascii="仿宋_GB2312" w:hAnsi="宋体" w:eastAsia="仿宋_GB2312" w:cs="宋体"/>
                <w:kern w:val="2"/>
                <w:sz w:val="21"/>
                <w:szCs w:val="21"/>
                <w:lang w:val="en-US" w:eastAsia="zh-CN"/>
              </w:rPr>
              <w:t>1栋厂房和1栋仓库</w:t>
            </w:r>
            <w:r>
              <w:rPr>
                <w:rFonts w:hint="eastAsia" w:ascii="仿宋_GB2312" w:hAnsi="宋体" w:eastAsia="仿宋_GB2312" w:cs="宋体"/>
                <w:kern w:val="2"/>
                <w:sz w:val="21"/>
                <w:szCs w:val="21"/>
                <w:lang w:val="en-US" w:eastAsia="zh-CN"/>
              </w:rPr>
              <w:t>，已完成</w:t>
            </w:r>
            <w:r>
              <w:rPr>
                <w:rFonts w:hint="default" w:ascii="仿宋_GB2312" w:hAnsi="宋体" w:eastAsia="仿宋_GB2312" w:cs="宋体"/>
                <w:kern w:val="2"/>
                <w:sz w:val="21"/>
                <w:szCs w:val="21"/>
                <w:lang w:val="en-US" w:eastAsia="zh-CN"/>
              </w:rPr>
              <w:t>主体</w:t>
            </w:r>
            <w:r>
              <w:rPr>
                <w:rFonts w:hint="eastAsia" w:ascii="仿宋_GB2312" w:hAnsi="宋体" w:eastAsia="仿宋_GB2312" w:cs="宋体"/>
                <w:kern w:val="2"/>
                <w:sz w:val="21"/>
                <w:szCs w:val="21"/>
                <w:lang w:val="en-US" w:eastAsia="zh-CN"/>
              </w:rPr>
              <w:t>工程</w:t>
            </w:r>
            <w:r>
              <w:rPr>
                <w:rFonts w:hint="default" w:ascii="仿宋_GB2312" w:hAnsi="宋体" w:eastAsia="仿宋_GB2312" w:cs="宋体"/>
                <w:kern w:val="2"/>
                <w:sz w:val="21"/>
                <w:szCs w:val="21"/>
                <w:lang w:val="en-US" w:eastAsia="zh-CN"/>
              </w:rPr>
              <w:t>建设</w:t>
            </w:r>
            <w:r>
              <w:rPr>
                <w:rFonts w:hint="eastAsia" w:ascii="仿宋_GB2312" w:hAnsi="宋体" w:eastAsia="仿宋_GB2312" w:cs="宋体"/>
                <w:kern w:val="2"/>
                <w:sz w:val="21"/>
                <w:szCs w:val="21"/>
                <w:lang w:val="en-US" w:eastAsia="zh-CN"/>
              </w:rPr>
              <w:t>，正在进行内部装修；</w:t>
            </w:r>
            <w:r>
              <w:rPr>
                <w:rFonts w:hint="default" w:ascii="仿宋_GB2312" w:hAnsi="宋体" w:eastAsia="仿宋_GB2312" w:cs="宋体"/>
                <w:kern w:val="2"/>
                <w:sz w:val="21"/>
                <w:szCs w:val="21"/>
                <w:lang w:val="en-US" w:eastAsia="zh-CN"/>
              </w:rPr>
              <w:t>湖南宏盛嘉环保科技有限公司生物质燃料生产线建设项目，投资3000万元，已建设2栋厂房</w:t>
            </w:r>
            <w:r>
              <w:rPr>
                <w:rFonts w:hint="eastAsia" w:ascii="仿宋_GB2312" w:hAnsi="宋体" w:eastAsia="仿宋_GB2312" w:cs="宋体"/>
                <w:kern w:val="2"/>
                <w:sz w:val="21"/>
                <w:szCs w:val="21"/>
                <w:lang w:val="en-US" w:eastAsia="zh-CN"/>
              </w:rPr>
              <w:t>，并投入生产</w:t>
            </w:r>
            <w:r>
              <w:rPr>
                <w:rFonts w:hint="default" w:ascii="仿宋_GB2312" w:hAnsi="宋体" w:eastAsia="仿宋_GB2312" w:cs="宋体"/>
                <w:kern w:val="2"/>
                <w:sz w:val="21"/>
                <w:szCs w:val="21"/>
                <w:lang w:val="en-US" w:eastAsia="zh-CN"/>
              </w:rPr>
              <w:t>。</w:t>
            </w:r>
          </w:p>
          <w:p>
            <w:pPr>
              <w:pStyle w:val="10"/>
              <w:shd w:val="clear" w:color="auto" w:fill="FFFFFF"/>
              <w:spacing w:before="0" w:beforeAutospacing="0" w:after="0" w:afterAutospacing="0" w:line="400" w:lineRule="exact"/>
              <w:ind w:firstLine="420" w:firstLineChars="200"/>
              <w:jc w:val="both"/>
              <w:rPr>
                <w:rFonts w:hint="default" w:ascii="仿宋_GB2312" w:hAnsi="宋体" w:eastAsia="仿宋_GB2312" w:cs="宋体"/>
                <w:kern w:val="2"/>
                <w:sz w:val="21"/>
                <w:szCs w:val="21"/>
                <w:lang w:val="en-US" w:eastAsia="zh-CN"/>
              </w:rPr>
            </w:pPr>
            <w:r>
              <w:rPr>
                <w:rFonts w:hint="eastAsia" w:ascii="仿宋_GB2312" w:eastAsia="仿宋_GB2312"/>
                <w:kern w:val="2"/>
                <w:sz w:val="21"/>
                <w:szCs w:val="21"/>
                <w:lang w:eastAsia="zh-CN"/>
              </w:rPr>
              <w:t>第四，乡村振兴</w:t>
            </w:r>
            <w:r>
              <w:rPr>
                <w:rFonts w:hint="eastAsia" w:ascii="仿宋_GB2312" w:hAnsi="宋体" w:eastAsia="仿宋_GB2312" w:cs="宋体"/>
                <w:kern w:val="2"/>
                <w:sz w:val="21"/>
                <w:szCs w:val="21"/>
                <w:lang w:val="en-US" w:eastAsia="zh-CN"/>
              </w:rPr>
              <w:t>有效衔接。</w:t>
            </w:r>
            <w:r>
              <w:rPr>
                <w:rFonts w:hint="default" w:ascii="仿宋_GB2312" w:hAnsi="宋体" w:eastAsia="仿宋_GB2312" w:cs="宋体"/>
                <w:kern w:val="2"/>
                <w:sz w:val="21"/>
                <w:szCs w:val="21"/>
                <w:lang w:val="en-US" w:eastAsia="zh-CN"/>
              </w:rPr>
              <w:t>对全镇11669户农户进行全覆盖防返贫监测排查走访，对41户监测户</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一对一</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结对帮扶，</w:t>
            </w:r>
            <w:r>
              <w:rPr>
                <w:rFonts w:hint="eastAsia" w:ascii="仿宋_GB2312" w:hAnsi="宋体" w:eastAsia="仿宋_GB2312" w:cs="宋体"/>
                <w:kern w:val="2"/>
                <w:sz w:val="21"/>
                <w:szCs w:val="21"/>
                <w:lang w:val="en-US" w:eastAsia="zh-CN"/>
              </w:rPr>
              <w:t>对1295户脱贫户进行结对联系，</w:t>
            </w:r>
            <w:r>
              <w:rPr>
                <w:rFonts w:hint="default" w:ascii="仿宋_GB2312" w:hAnsi="宋体" w:eastAsia="仿宋_GB2312" w:cs="宋体"/>
                <w:kern w:val="2"/>
                <w:sz w:val="21"/>
                <w:szCs w:val="21"/>
                <w:lang w:val="en-US" w:eastAsia="zh-CN"/>
              </w:rPr>
              <w:t>牢牢守住</w:t>
            </w:r>
            <w:r>
              <w:rPr>
                <w:rFonts w:hint="eastAsia" w:ascii="仿宋_GB2312" w:hAnsi="宋体" w:eastAsia="仿宋_GB2312" w:cs="宋体"/>
                <w:kern w:val="2"/>
                <w:sz w:val="21"/>
                <w:szCs w:val="21"/>
                <w:lang w:val="en-US" w:eastAsia="zh-CN"/>
              </w:rPr>
              <w:t>了</w:t>
            </w:r>
            <w:r>
              <w:rPr>
                <w:rFonts w:hint="default" w:ascii="仿宋_GB2312" w:hAnsi="宋体" w:eastAsia="仿宋_GB2312" w:cs="宋体"/>
                <w:kern w:val="2"/>
                <w:sz w:val="21"/>
                <w:szCs w:val="21"/>
                <w:lang w:val="en-US" w:eastAsia="zh-CN"/>
              </w:rPr>
              <w:t>不发生规模性返贫底线。提供</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311</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就业服务，全年新增52人上岗</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帮扶412户</w:t>
            </w:r>
            <w:r>
              <w:rPr>
                <w:rFonts w:hint="eastAsia" w:ascii="仿宋_GB2312" w:hAnsi="宋体" w:eastAsia="仿宋_GB2312" w:cs="宋体"/>
                <w:kern w:val="2"/>
                <w:sz w:val="21"/>
                <w:szCs w:val="21"/>
                <w:lang w:val="en-US" w:eastAsia="zh-CN"/>
              </w:rPr>
              <w:t>农户发展</w:t>
            </w:r>
            <w:r>
              <w:rPr>
                <w:rFonts w:hint="default" w:ascii="仿宋_GB2312" w:hAnsi="宋体" w:eastAsia="仿宋_GB2312" w:cs="宋体"/>
                <w:kern w:val="2"/>
                <w:sz w:val="21"/>
                <w:szCs w:val="21"/>
                <w:lang w:val="en-US" w:eastAsia="zh-CN"/>
              </w:rPr>
              <w:t>养鸡产业，</w:t>
            </w:r>
            <w:r>
              <w:rPr>
                <w:rFonts w:hint="eastAsia" w:ascii="仿宋_GB2312" w:hAnsi="宋体" w:eastAsia="仿宋_GB2312" w:cs="宋体"/>
                <w:kern w:val="2"/>
                <w:sz w:val="21"/>
                <w:szCs w:val="21"/>
                <w:lang w:val="en-US" w:eastAsia="zh-CN"/>
              </w:rPr>
              <w:t>共</w:t>
            </w:r>
            <w:r>
              <w:rPr>
                <w:rFonts w:hint="default" w:ascii="仿宋_GB2312" w:hAnsi="宋体" w:eastAsia="仿宋_GB2312" w:cs="宋体"/>
                <w:kern w:val="2"/>
                <w:sz w:val="21"/>
                <w:szCs w:val="21"/>
                <w:lang w:val="en-US" w:eastAsia="zh-CN"/>
              </w:rPr>
              <w:t>发</w:t>
            </w:r>
            <w:r>
              <w:rPr>
                <w:rFonts w:hint="eastAsia" w:ascii="仿宋_GB2312" w:hAnsi="宋体" w:eastAsia="仿宋_GB2312" w:cs="宋体"/>
                <w:kern w:val="2"/>
                <w:sz w:val="21"/>
                <w:szCs w:val="21"/>
                <w:lang w:val="en-US" w:eastAsia="zh-CN"/>
              </w:rPr>
              <w:t>放</w:t>
            </w:r>
            <w:r>
              <w:rPr>
                <w:rFonts w:hint="default" w:ascii="仿宋_GB2312" w:hAnsi="宋体" w:eastAsia="仿宋_GB2312" w:cs="宋体"/>
                <w:kern w:val="2"/>
                <w:sz w:val="21"/>
                <w:szCs w:val="21"/>
                <w:lang w:val="en-US" w:eastAsia="zh-CN"/>
              </w:rPr>
              <w:t>鸡苗等物资45.2万元；完成182户脱贫户小额信贷续贷工作；</w:t>
            </w:r>
            <w:r>
              <w:rPr>
                <w:rFonts w:hint="eastAsia" w:ascii="仿宋_GB2312" w:hAnsi="宋体" w:eastAsia="仿宋_GB2312" w:cs="宋体"/>
                <w:kern w:val="2"/>
                <w:sz w:val="21"/>
                <w:szCs w:val="21"/>
                <w:lang w:val="en-US" w:eastAsia="zh-CN"/>
              </w:rPr>
              <w:t>成功申报</w:t>
            </w:r>
            <w:r>
              <w:rPr>
                <w:rFonts w:hint="default" w:ascii="仿宋_GB2312" w:hAnsi="宋体" w:eastAsia="仿宋_GB2312" w:cs="宋体"/>
                <w:kern w:val="2"/>
                <w:sz w:val="21"/>
                <w:szCs w:val="21"/>
                <w:lang w:val="en-US" w:eastAsia="zh-CN"/>
              </w:rPr>
              <w:t>高质量发展庭院经济奖补76户，</w:t>
            </w:r>
            <w:r>
              <w:rPr>
                <w:rFonts w:hint="eastAsia" w:ascii="仿宋_GB2312" w:hAnsi="宋体" w:eastAsia="仿宋_GB2312" w:cs="宋体"/>
                <w:kern w:val="2"/>
                <w:sz w:val="21"/>
                <w:szCs w:val="21"/>
                <w:lang w:val="en-US" w:eastAsia="zh-CN"/>
              </w:rPr>
              <w:t>争取</w:t>
            </w:r>
            <w:r>
              <w:rPr>
                <w:rFonts w:hint="default" w:ascii="仿宋_GB2312" w:hAnsi="宋体" w:eastAsia="仿宋_GB2312" w:cs="宋体"/>
                <w:kern w:val="2"/>
                <w:sz w:val="21"/>
                <w:szCs w:val="21"/>
                <w:lang w:val="en-US" w:eastAsia="zh-CN"/>
              </w:rPr>
              <w:t>奖补资金7.6万元。</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第五，安全生产严守底线。抓实各行业领域安全生产工作，抓好消防、“下店上宅”“前店后宅”的排查整治，推动安全风险“大排查、大管控、大整治”三大行动实施。</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第六，积极推动民生保障。推动社会保障全覆盖，完善基本养老保险制度，推动城乡居民养老保险法定人群全覆盖，深入推进“莲乡颐老”养老服务体系建设。完善社会救助，落实“应保尽保、应退尽退”，建立好乡、村两级联动救助网络。</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第七，全面加强政府自身建设。为适应新发展阶段、贯彻新发展理念、融入新发展格局，对政府自身建设提出了新要求。我们要牢记根本宗旨，忠诚履职，务实担当，以为民的实举、发展的实绩、廉洁的实效，做到为人民服务、对人民负责、受人民监督、让人民满意。</w:t>
            </w:r>
          </w:p>
          <w:p>
            <w:pPr>
              <w:pStyle w:val="10"/>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1428" w:type="dxa"/>
            <w:vMerge w:val="restart"/>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存在的问题分析及改进措施</w:t>
            </w:r>
          </w:p>
        </w:tc>
        <w:tc>
          <w:tcPr>
            <w:tcW w:w="2048" w:type="dxa"/>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存在的问题</w:t>
            </w:r>
          </w:p>
        </w:tc>
        <w:tc>
          <w:tcPr>
            <w:tcW w:w="5851" w:type="dxa"/>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1、镇财政支出绩效评价对象涉及站办所多，项目差异性大，在设计能体现项目效果的个性指标和标准上存在难度，导致评价内容不够全面，难以满足不同层面和不同性质的绩效评价需求，针对性、实际操作性还有待进一步提高。</w:t>
            </w:r>
          </w:p>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2、资金使用进度和资金使用率没有达到最佳效果。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1428" w:type="dxa"/>
            <w:vMerge w:val="continue"/>
          </w:tcPr>
          <w:p>
            <w:pPr>
              <w:adjustRightInd w:val="0"/>
              <w:snapToGrid w:val="0"/>
              <w:spacing w:line="560" w:lineRule="exact"/>
              <w:ind w:firstLine="660" w:firstLineChars="300"/>
              <w:rPr>
                <w:rFonts w:ascii="仿宋_GB2312" w:hAnsi="宋体" w:eastAsia="仿宋_GB2312" w:cs="宋体"/>
                <w:szCs w:val="21"/>
              </w:rPr>
            </w:pPr>
          </w:p>
        </w:tc>
        <w:tc>
          <w:tcPr>
            <w:tcW w:w="2048" w:type="dxa"/>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改进措施</w:t>
            </w:r>
          </w:p>
        </w:tc>
        <w:tc>
          <w:tcPr>
            <w:tcW w:w="5851" w:type="dxa"/>
            <w:vAlign w:val="center"/>
          </w:tcPr>
          <w:p>
            <w:pPr>
              <w:autoSpaceDE w:val="0"/>
              <w:spacing w:line="560" w:lineRule="exact"/>
              <w:rPr>
                <w:rFonts w:ascii="仿宋_GB2312" w:hAnsi="宋体" w:eastAsia="仿宋_GB2312" w:cs="宋体"/>
                <w:szCs w:val="21"/>
              </w:rPr>
            </w:pPr>
            <w:r>
              <w:rPr>
                <w:rFonts w:hint="eastAsia" w:ascii="仿宋_GB2312" w:hAnsi="宋体" w:eastAsia="仿宋_GB2312" w:cs="宋体"/>
                <w:kern w:val="2"/>
                <w:sz w:val="21"/>
                <w:szCs w:val="21"/>
                <w:lang w:eastAsia="zh-CN"/>
              </w:rPr>
              <w:t>在加快资金支付进度方面，乡镇应根据工作计划，做好预算执行的前期准备，特别是重大项目的准备工作。应根据年度预算安排和项目实施进度等情况，认真编制分月用款计划，及时提出支付申请，力争做到资金一旦下达，及时分配使用。</w:t>
            </w:r>
          </w:p>
          <w:p>
            <w:pPr>
              <w:tabs>
                <w:tab w:val="left" w:pos="207"/>
              </w:tabs>
              <w:autoSpaceDE w:val="0"/>
              <w:spacing w:line="560" w:lineRule="exact"/>
              <w:rPr>
                <w:rFonts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1428" w:type="dxa"/>
            <w:vMerge w:val="continue"/>
          </w:tcPr>
          <w:p>
            <w:pPr>
              <w:autoSpaceDE w:val="0"/>
              <w:spacing w:line="560" w:lineRule="exact"/>
              <w:ind w:firstLine="440" w:firstLineChars="200"/>
              <w:rPr>
                <w:rFonts w:ascii="宋体" w:hAnsi="宋体" w:eastAsia="方正仿宋_GBK" w:cs="宋体"/>
                <w:szCs w:val="21"/>
              </w:rPr>
            </w:pPr>
          </w:p>
        </w:tc>
        <w:tc>
          <w:tcPr>
            <w:tcW w:w="2048" w:type="dxa"/>
            <w:vAlign w:val="center"/>
          </w:tcPr>
          <w:p>
            <w:pPr>
              <w:autoSpaceDE w:val="0"/>
              <w:spacing w:line="560" w:lineRule="exact"/>
              <w:ind w:firstLine="420" w:firstLineChars="200"/>
              <w:rPr>
                <w:rFonts w:ascii="宋体" w:hAnsi="宋体" w:eastAsia="方正仿宋_GBK" w:cs="宋体"/>
                <w:szCs w:val="21"/>
              </w:rPr>
            </w:pPr>
            <w:r>
              <w:rPr>
                <w:rFonts w:hint="eastAsia" w:ascii="宋体" w:hAnsi="宋体" w:eastAsia="方正仿宋_GBK" w:cs="宋体"/>
                <w:sz w:val="21"/>
                <w:szCs w:val="21"/>
                <w:lang w:eastAsia="zh-CN"/>
              </w:rPr>
              <w:t>其他需要说明问题</w:t>
            </w:r>
          </w:p>
        </w:tc>
        <w:tc>
          <w:tcPr>
            <w:tcW w:w="5851" w:type="dxa"/>
            <w:vAlign w:val="center"/>
          </w:tcPr>
          <w:p>
            <w:pPr>
              <w:autoSpaceDE w:val="0"/>
              <w:spacing w:line="560" w:lineRule="exact"/>
              <w:ind w:firstLine="2310" w:firstLineChars="1100"/>
              <w:rPr>
                <w:rFonts w:ascii="宋体" w:hAnsi="宋体" w:eastAsia="方正仿宋_GBK" w:cs="宋体"/>
                <w:szCs w:val="21"/>
              </w:rPr>
            </w:pPr>
            <w:r>
              <w:rPr>
                <w:rFonts w:hint="eastAsia" w:ascii="宋体" w:hAnsi="宋体" w:eastAsia="方正仿宋_GBK" w:cs="宋体"/>
                <w:sz w:val="21"/>
                <w:szCs w:val="21"/>
                <w:lang w:eastAsia="zh-CN"/>
              </w:rPr>
              <w:t>无</w:t>
            </w:r>
          </w:p>
        </w:tc>
      </w:tr>
    </w:tbl>
    <w:p>
      <w:pPr>
        <w:autoSpaceDE w:val="0"/>
        <w:spacing w:line="560" w:lineRule="exact"/>
        <w:ind w:firstLine="440" w:firstLineChars="200"/>
        <w:rPr>
          <w:rFonts w:ascii="宋体" w:hAnsi="宋体" w:eastAsia="方正仿宋_GBK" w:cs="宋体"/>
          <w:szCs w:val="21"/>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Chars="96"/>
        <w:rPr>
          <w:rFonts w:eastAsiaTheme="minorEastAsia"/>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rFonts w:eastAsiaTheme="minorEastAsia"/>
          <w:color w:val="000007"/>
          <w:w w:val="95"/>
          <w:lang w:eastAsia="zh-CN"/>
        </w:rPr>
      </w:pPr>
    </w:p>
    <w:p>
      <w:pPr>
        <w:pStyle w:val="2"/>
        <w:spacing w:line="300" w:lineRule="auto"/>
        <w:ind w:firstLine="416"/>
        <w:rPr>
          <w:color w:val="000007"/>
          <w:w w:val="95"/>
          <w:lang w:eastAsia="zh-CN"/>
        </w:rPr>
      </w:pPr>
    </w:p>
    <w:p>
      <w:pPr>
        <w:pStyle w:val="2"/>
        <w:spacing w:line="300" w:lineRule="auto"/>
        <w:ind w:firstLine="416"/>
        <w:rPr>
          <w:color w:val="000007"/>
          <w:w w:val="95"/>
          <w:lang w:eastAsia="zh-CN"/>
        </w:rPr>
      </w:pPr>
    </w:p>
    <w:p>
      <w:pPr>
        <w:tabs>
          <w:tab w:val="left" w:pos="6480"/>
        </w:tabs>
        <w:spacing w:line="300" w:lineRule="auto"/>
        <w:jc w:val="center"/>
        <w:rPr>
          <w:rFonts w:ascii="宋体" w:hAnsi="宋体" w:cs="方正小标宋_GBK" w:eastAsiaTheme="minorEastAsia"/>
          <w:b/>
          <w:sz w:val="36"/>
          <w:szCs w:val="36"/>
          <w:lang w:eastAsia="zh-CN"/>
        </w:rPr>
      </w:pPr>
    </w:p>
    <w:p>
      <w:pPr>
        <w:tabs>
          <w:tab w:val="left" w:pos="6480"/>
        </w:tabs>
        <w:spacing w:line="300" w:lineRule="auto"/>
        <w:jc w:val="center"/>
        <w:rPr>
          <w:rFonts w:ascii="宋体" w:hAnsi="宋体" w:cs="方正小标宋_GBK" w:eastAsiaTheme="minorEastAsia"/>
          <w:b/>
          <w:sz w:val="36"/>
          <w:szCs w:val="36"/>
          <w:lang w:eastAsia="zh-CN"/>
        </w:rPr>
      </w:pPr>
    </w:p>
    <w:p>
      <w:pPr>
        <w:tabs>
          <w:tab w:val="left" w:pos="6480"/>
        </w:tabs>
        <w:spacing w:line="300" w:lineRule="auto"/>
        <w:jc w:val="center"/>
        <w:rPr>
          <w:rFonts w:ascii="宋体" w:hAnsi="宋体" w:cs="方正小标宋_GBK" w:eastAsiaTheme="minorEastAsia"/>
          <w:b/>
          <w:sz w:val="36"/>
          <w:szCs w:val="36"/>
          <w:lang w:eastAsia="zh-CN"/>
        </w:rPr>
      </w:pPr>
    </w:p>
    <w:p>
      <w:pPr>
        <w:tabs>
          <w:tab w:val="left" w:pos="6480"/>
        </w:tabs>
        <w:spacing w:line="300" w:lineRule="auto"/>
        <w:jc w:val="center"/>
        <w:rPr>
          <w:rFonts w:ascii="宋体" w:hAnsi="宋体" w:cs="方正小标宋_GBK" w:eastAsiaTheme="minorEastAsia"/>
          <w:b/>
          <w:sz w:val="36"/>
          <w:szCs w:val="36"/>
          <w:lang w:eastAsia="zh-CN"/>
        </w:rPr>
      </w:pPr>
    </w:p>
    <w:p>
      <w:pPr>
        <w:tabs>
          <w:tab w:val="left" w:pos="6480"/>
        </w:tabs>
        <w:spacing w:line="300" w:lineRule="auto"/>
        <w:jc w:val="center"/>
        <w:rPr>
          <w:rFonts w:ascii="宋体" w:hAnsi="宋体" w:cs="方正小标宋_GBK" w:eastAsiaTheme="minorEastAsia"/>
          <w:b/>
          <w:sz w:val="36"/>
          <w:szCs w:val="36"/>
          <w:lang w:eastAsia="zh-CN"/>
        </w:rPr>
      </w:pPr>
    </w:p>
    <w:p>
      <w:pPr>
        <w:tabs>
          <w:tab w:val="left" w:pos="6480"/>
        </w:tabs>
        <w:spacing w:line="300" w:lineRule="auto"/>
        <w:jc w:val="center"/>
        <w:rPr>
          <w:rFonts w:ascii="宋体" w:hAnsi="宋体" w:cs="方正小标宋_GBK" w:eastAsiaTheme="minorEastAsia"/>
          <w:b/>
          <w:sz w:val="36"/>
          <w:szCs w:val="36"/>
          <w:lang w:eastAsia="zh-CN"/>
        </w:rPr>
      </w:pPr>
    </w:p>
    <w:p>
      <w:pPr>
        <w:tabs>
          <w:tab w:val="left" w:pos="6480"/>
        </w:tabs>
        <w:spacing w:line="300" w:lineRule="auto"/>
        <w:jc w:val="center"/>
        <w:rPr>
          <w:rFonts w:ascii="宋体" w:hAnsi="宋体" w:cs="方正小标宋_GBK" w:eastAsiaTheme="minorEastAsia"/>
          <w:b/>
          <w:sz w:val="36"/>
          <w:szCs w:val="36"/>
          <w:lang w:eastAsia="zh-CN"/>
        </w:rPr>
      </w:pPr>
    </w:p>
    <w:p>
      <w:pPr>
        <w:tabs>
          <w:tab w:val="left" w:pos="6480"/>
        </w:tabs>
        <w:spacing w:line="300" w:lineRule="auto"/>
        <w:jc w:val="center"/>
        <w:rPr>
          <w:rFonts w:ascii="宋体" w:hAnsi="宋体" w:cs="方正小标宋_GBK" w:eastAsiaTheme="minorEastAsia"/>
          <w:b/>
          <w:sz w:val="36"/>
          <w:szCs w:val="36"/>
          <w:lang w:eastAsia="zh-CN"/>
        </w:rPr>
      </w:pPr>
    </w:p>
    <w:p>
      <w:pPr>
        <w:pStyle w:val="2"/>
        <w:spacing w:line="300" w:lineRule="auto"/>
        <w:ind w:firstLine="440"/>
        <w:rPr>
          <w:rFonts w:eastAsiaTheme="minorEastAsia"/>
          <w:lang w:eastAsia="zh-CN"/>
        </w:rPr>
      </w:pPr>
    </w:p>
    <w:p>
      <w:pPr>
        <w:autoSpaceDE w:val="0"/>
        <w:spacing w:line="300" w:lineRule="auto"/>
        <w:ind w:firstLine="440" w:firstLineChars="200"/>
        <w:rPr>
          <w:rFonts w:ascii="宋体" w:hAnsi="宋体" w:eastAsia="方正仿宋_GBK" w:cs="宋体"/>
          <w:szCs w:val="21"/>
        </w:rPr>
      </w:pPr>
    </w:p>
    <w:p>
      <w:pPr>
        <w:spacing w:line="300" w:lineRule="auto"/>
        <w:rPr>
          <w:rFonts w:ascii="宋体" w:hAnsi="宋体" w:cs="宋体" w:eastAsiaTheme="minorEastAsia"/>
          <w:lang w:eastAsia="zh-CN"/>
        </w:rPr>
      </w:pPr>
    </w:p>
    <w:p>
      <w:pPr>
        <w:pStyle w:val="2"/>
        <w:spacing w:line="300" w:lineRule="auto"/>
        <w:ind w:firstLine="440"/>
        <w:rPr>
          <w:rFonts w:eastAsiaTheme="minorEastAsia"/>
          <w:lang w:eastAsia="zh-CN"/>
        </w:rPr>
      </w:pPr>
    </w:p>
    <w:p>
      <w:pPr>
        <w:pStyle w:val="2"/>
        <w:spacing w:line="300" w:lineRule="auto"/>
        <w:ind w:firstLine="440"/>
        <w:rPr>
          <w:rFonts w:eastAsiaTheme="minorEastAsia"/>
          <w:lang w:eastAsia="zh-CN"/>
        </w:rPr>
        <w:sectPr>
          <w:footerReference r:id="rId8" w:type="default"/>
          <w:pgSz w:w="11910" w:h="16840"/>
          <w:pgMar w:top="1440" w:right="1080" w:bottom="1440" w:left="1080" w:header="0" w:footer="958" w:gutter="0"/>
          <w:cols w:space="720" w:num="1"/>
        </w:sectPr>
      </w:pPr>
    </w:p>
    <w:p>
      <w:pPr>
        <w:pStyle w:val="2"/>
        <w:spacing w:line="300" w:lineRule="auto"/>
        <w:ind w:firstLine="0" w:firstLineChars="0"/>
        <w:rPr>
          <w:lang w:eastAsia="zh-CN"/>
        </w:rPr>
      </w:pPr>
    </w:p>
    <w:sectPr>
      <w:footerReference r:id="rId9" w:type="default"/>
      <w:pgSz w:w="11910" w:h="16840"/>
      <w:pgMar w:top="1440" w:right="1080" w:bottom="1440" w:left="1080" w:header="0" w:footer="95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PMingLiU">
    <w:altName w:val="Droid Sans Fallback"/>
    <w:panose1 w:val="02020500000000000000"/>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Microsoft JhengHei">
    <w:altName w:val="方正书宋_GBK"/>
    <w:panose1 w:val="020B0604030504040204"/>
    <w:charset w:val="88"/>
    <w:family w:val="swiss"/>
    <w:pitch w:val="default"/>
    <w:sig w:usb0="00000000" w:usb1="00000000" w:usb2="00000016" w:usb3="00000000" w:csb0="00100009"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3723640</wp:posOffset>
              </wp:positionH>
              <wp:positionV relativeFrom="page">
                <wp:posOffset>9931400</wp:posOffset>
              </wp:positionV>
              <wp:extent cx="114935" cy="139700"/>
              <wp:effectExtent l="0" t="0" r="0" b="0"/>
              <wp:wrapNone/>
              <wp:docPr id="67" name="文本框 1"/>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27</w:t>
                          </w:r>
                          <w:r>
                            <w:fldChar w:fldCharType="end"/>
                          </w:r>
                        </w:p>
                      </w:txbxContent>
                    </wps:txbx>
                    <wps:bodyPr lIns="0" tIns="0" rIns="0" bIns="0" upright="1"/>
                  </wps:wsp>
                </a:graphicData>
              </a:graphic>
            </wp:anchor>
          </w:drawing>
        </mc:Choice>
        <mc:Fallback>
          <w:pict>
            <v:shape id="文本框 1" o:spid="_x0000_s1026" o:spt="202" type="#_x0000_t202" style="position:absolute;left:0pt;margin-left:293.2pt;margin-top:782pt;height:11pt;width:9.05pt;mso-position-horizontal-relative:page;mso-position-vertical-relative:page;z-index:-251657216;mso-width-relative:page;mso-height-relative:page;" filled="f" stroked="f" coordsize="21600,21600" o:gfxdata="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BNn/P+2QAAAA0BAAAPAAAAAAAAAAEA&#10;IAAAADgAAABkcnMvZG93bnJldi54bWxQSwECFAAUAAAACACHTuJAeaPlbL8BAACAAwAADgAAAAAA&#10;AAABACAAAAA+AQAAZHJzL2Uyb0RvYy54bWxQSwUGAAAAAAYABgBZAQAAbwU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0288" behindDoc="1" locked="0" layoutInCell="1" allowOverlap="1">
              <wp:simplePos x="0" y="0"/>
              <wp:positionH relativeFrom="page">
                <wp:posOffset>5288280</wp:posOffset>
              </wp:positionH>
              <wp:positionV relativeFrom="page">
                <wp:posOffset>6799580</wp:posOffset>
              </wp:positionV>
              <wp:extent cx="114935" cy="139700"/>
              <wp:effectExtent l="0" t="0" r="0" b="0"/>
              <wp:wrapNone/>
              <wp:docPr id="68" name="文本框 2"/>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8</w:t>
                          </w:r>
                          <w:r>
                            <w:fldChar w:fldCharType="end"/>
                          </w:r>
                        </w:p>
                      </w:txbxContent>
                    </wps:txbx>
                    <wps:bodyPr lIns="0" tIns="0" rIns="0" bIns="0" upright="1"/>
                  </wps:wsp>
                </a:graphicData>
              </a:graphic>
            </wp:anchor>
          </w:drawing>
        </mc:Choice>
        <mc:Fallback>
          <w:pict>
            <v:shape id="文本框 2" o:spid="_x0000_s1026" o:spt="202" type="#_x0000_t202" style="position:absolute;left:0pt;margin-left:416.4pt;margin-top:535.4pt;height:11pt;width:9.05pt;mso-position-horizontal-relative:page;mso-position-vertical-relative:page;z-index:-251656192;mso-width-relative:page;mso-height-relative:page;" filled="f" stroked="f" coordsize="21600,21600" o:gfxdata="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HPhBnPaAAAADQEAAA8AAAAAAAAA&#10;AQAgAAAAOAAAAGRycy9kb3ducmV2LnhtbFBLAQIUABQAAAAIAIdO4kCQcDoXwAEAAIADAAAOAAAA&#10;AAAAAAEAIAAAAD8BAABkcnMvZTJvRG9jLnhtbFBLBQYAAAAABgAGAFkBAABxBQ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1312"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5168;mso-width-relative:page;mso-height-relative:page;" filled="f" stroked="f" coordsize="21600,21600" o:gfxdata="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DYOf+XaAAAADQEAAA8AAAAAAAAA&#10;AQAgAAAAOAAAAGRycy9kb3ducmV2LnhtbFBLAQIUABQAAAAIAIdO4kARalfIwAEAAIADAAAOAAAA&#10;AAAAAAEAIAAAAD8BAABkcnMvZTJvRG9jLnhtbFBLBQYAAAAABgAGAFkBAABxBQ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18"/>
        <w:szCs w:val="18"/>
      </w:rPr>
    </w:pPr>
    <w:r>
      <mc:AlternateContent>
        <mc:Choice Requires="wps">
          <w:drawing>
            <wp:anchor distT="0" distB="0" distL="114300" distR="114300" simplePos="0" relativeHeight="251662336"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1" name="文本框 5"/>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23</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0.65pt;margin-top:782pt;height:11pt;width:14.05pt;mso-position-horizontal-relative:page;mso-position-vertical-relative:page;z-index:-251654144;mso-width-relative:page;mso-height-relative:page;" filled="f" stroked="f" coordsize="21600,21600" o:gfxdata="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K9wHsLaAAAADQEAAA8AAAAAAAAA&#10;AQAgAAAAOAAAAGRycy9kb3ducmV2LnhtbFBLAQIUABQAAAAIAIdO4kAEBBQPwAEAAIADAAAOAAAA&#10;AAAAAAEAIAAAAD8BAABkcnMvZTJvRG9jLnhtbFBLBQYAAAAABgAGAFkBAABxBQ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438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3"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31</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2096;mso-width-relative:page;mso-height-relative:page;" filled="f" stroked="f" coordsize="21600,21600" o:gfxdata="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K9wHsLaAAAADQEAAA8AAAAAAAAA&#10;AQAgAAAAOAAAAGRycy9kb3ducmV2LnhtbFBLAQIUABQAAAAIAIdO4kCYIr6KwAEAAIADAAAOAAAA&#10;AAAAAAEAIAAAAD8BAABkcnMvZTJvRG9jLnhtbFBLBQYAAAAABgAGAFkBAABxBQ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31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3360"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2"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40</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3120;mso-width-relative:page;mso-height-relative:page;" filled="f" stroked="f" coordsize="21600,21600" o:gfxdata="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K9wHsLaAAAADQEAAA8AAAAAAAAA&#10;AQAgAAAAOAAAAGRycy9kb3ducmV2LnhtbFBLAQIUABQAAAAIAIdO4kBBkrScwAEAAIADAAAOAAAA&#10;AAAAAAEAIAAAAD8BAABkcnMvZTJvRG9jLnhtbFBLBQYAAAAABgAGAFkBAABxBQ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eastAsiaTheme="minorEastAsia"/>
        <w:lang w:eastAsia="zh-CN"/>
      </w:rP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A0B033"/>
    <w:multiLevelType w:val="singleLevel"/>
    <w:tmpl w:val="DDA0B033"/>
    <w:lvl w:ilvl="0" w:tentative="0">
      <w:start w:val="9"/>
      <w:numFmt w:val="decimal"/>
      <w:suff w:val="nothing"/>
      <w:lvlText w:val="%1、"/>
      <w:lvlJc w:val="left"/>
    </w:lvl>
  </w:abstractNum>
  <w:abstractNum w:abstractNumId="1">
    <w:nsid w:val="309AF60F"/>
    <w:multiLevelType w:val="singleLevel"/>
    <w:tmpl w:val="309AF60F"/>
    <w:lvl w:ilvl="0" w:tentative="0">
      <w:start w:val="27"/>
      <w:numFmt w:val="decimal"/>
      <w:suff w:val="nothing"/>
      <w:lvlText w:val="%1、"/>
      <w:lvlJc w:val="left"/>
    </w:lvl>
  </w:abstractNum>
  <w:abstractNum w:abstractNumId="2">
    <w:nsid w:val="66A6CD6A"/>
    <w:multiLevelType w:val="singleLevel"/>
    <w:tmpl w:val="66A6CD6A"/>
    <w:lvl w:ilvl="0" w:tentative="0">
      <w:start w:val="24"/>
      <w:numFmt w:val="decimal"/>
      <w:suff w:val="nothing"/>
      <w:lvlText w:val="%1、"/>
      <w:lvlJc w:val="left"/>
    </w:lvl>
  </w:abstractNum>
  <w:abstractNum w:abstractNumId="3">
    <w:nsid w:val="7DFF756C"/>
    <w:multiLevelType w:val="singleLevel"/>
    <w:tmpl w:val="7DFF756C"/>
    <w:lvl w:ilvl="0" w:tentative="0">
      <w:start w:val="18"/>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kZGU2MjczYzBmNjVmY2Q5OWViNWRlM2IwMmFlM2EifQ=="/>
  </w:docVars>
  <w:rsids>
    <w:rsidRoot w:val="00291CB1"/>
    <w:rsid w:val="00005849"/>
    <w:rsid w:val="00034262"/>
    <w:rsid w:val="00047894"/>
    <w:rsid w:val="00051751"/>
    <w:rsid w:val="0005766C"/>
    <w:rsid w:val="00061B7A"/>
    <w:rsid w:val="000863DF"/>
    <w:rsid w:val="00092534"/>
    <w:rsid w:val="000A55BF"/>
    <w:rsid w:val="000B67F9"/>
    <w:rsid w:val="000C7272"/>
    <w:rsid w:val="000F1680"/>
    <w:rsid w:val="000F4D95"/>
    <w:rsid w:val="000F51CD"/>
    <w:rsid w:val="00112124"/>
    <w:rsid w:val="00134132"/>
    <w:rsid w:val="00136195"/>
    <w:rsid w:val="00145C8A"/>
    <w:rsid w:val="00153519"/>
    <w:rsid w:val="00161712"/>
    <w:rsid w:val="00161C72"/>
    <w:rsid w:val="001646B2"/>
    <w:rsid w:val="00184FB5"/>
    <w:rsid w:val="0019273E"/>
    <w:rsid w:val="001964E0"/>
    <w:rsid w:val="001E1854"/>
    <w:rsid w:val="0021713B"/>
    <w:rsid w:val="00223D27"/>
    <w:rsid w:val="00247CC2"/>
    <w:rsid w:val="0026020F"/>
    <w:rsid w:val="00260F23"/>
    <w:rsid w:val="002911BC"/>
    <w:rsid w:val="00291CB1"/>
    <w:rsid w:val="00292954"/>
    <w:rsid w:val="002C4FF2"/>
    <w:rsid w:val="002D7612"/>
    <w:rsid w:val="00300686"/>
    <w:rsid w:val="00325EE4"/>
    <w:rsid w:val="00332607"/>
    <w:rsid w:val="003456AD"/>
    <w:rsid w:val="00364AC7"/>
    <w:rsid w:val="0037743F"/>
    <w:rsid w:val="00392F76"/>
    <w:rsid w:val="003B2633"/>
    <w:rsid w:val="00414D9A"/>
    <w:rsid w:val="0043068D"/>
    <w:rsid w:val="00441D84"/>
    <w:rsid w:val="004739BB"/>
    <w:rsid w:val="00481819"/>
    <w:rsid w:val="00487ADE"/>
    <w:rsid w:val="004A6451"/>
    <w:rsid w:val="004A6A69"/>
    <w:rsid w:val="004C139F"/>
    <w:rsid w:val="004D354B"/>
    <w:rsid w:val="004E1318"/>
    <w:rsid w:val="004E2AA8"/>
    <w:rsid w:val="004E70B2"/>
    <w:rsid w:val="004F2CF9"/>
    <w:rsid w:val="00522B67"/>
    <w:rsid w:val="00561776"/>
    <w:rsid w:val="005627EE"/>
    <w:rsid w:val="005670E2"/>
    <w:rsid w:val="00587F96"/>
    <w:rsid w:val="00591FD9"/>
    <w:rsid w:val="00596371"/>
    <w:rsid w:val="005A0B2E"/>
    <w:rsid w:val="005A5244"/>
    <w:rsid w:val="005B3495"/>
    <w:rsid w:val="005B367A"/>
    <w:rsid w:val="005C1267"/>
    <w:rsid w:val="005C13DC"/>
    <w:rsid w:val="005D017E"/>
    <w:rsid w:val="00602C06"/>
    <w:rsid w:val="00614A96"/>
    <w:rsid w:val="00665CAA"/>
    <w:rsid w:val="0068740B"/>
    <w:rsid w:val="0069471A"/>
    <w:rsid w:val="006B17E5"/>
    <w:rsid w:val="006B4C3D"/>
    <w:rsid w:val="00700945"/>
    <w:rsid w:val="007112BF"/>
    <w:rsid w:val="0071476A"/>
    <w:rsid w:val="00740FEB"/>
    <w:rsid w:val="0074290E"/>
    <w:rsid w:val="0074609F"/>
    <w:rsid w:val="00762A22"/>
    <w:rsid w:val="007773F5"/>
    <w:rsid w:val="007831A8"/>
    <w:rsid w:val="00784F4E"/>
    <w:rsid w:val="007E343B"/>
    <w:rsid w:val="007F3FFF"/>
    <w:rsid w:val="00802BA2"/>
    <w:rsid w:val="008207AF"/>
    <w:rsid w:val="00822B7B"/>
    <w:rsid w:val="0084477F"/>
    <w:rsid w:val="008643D8"/>
    <w:rsid w:val="008647FA"/>
    <w:rsid w:val="008701D8"/>
    <w:rsid w:val="00884EE8"/>
    <w:rsid w:val="008853E6"/>
    <w:rsid w:val="00885E95"/>
    <w:rsid w:val="008D0790"/>
    <w:rsid w:val="00925F1F"/>
    <w:rsid w:val="00927891"/>
    <w:rsid w:val="00934F28"/>
    <w:rsid w:val="009550DC"/>
    <w:rsid w:val="00961FA8"/>
    <w:rsid w:val="00974050"/>
    <w:rsid w:val="009955C2"/>
    <w:rsid w:val="009A0C03"/>
    <w:rsid w:val="009A202E"/>
    <w:rsid w:val="009A77FC"/>
    <w:rsid w:val="009B52AB"/>
    <w:rsid w:val="009C362A"/>
    <w:rsid w:val="009C5B24"/>
    <w:rsid w:val="009E2251"/>
    <w:rsid w:val="00A1283A"/>
    <w:rsid w:val="00AA3C6B"/>
    <w:rsid w:val="00AD4DD4"/>
    <w:rsid w:val="00AE057C"/>
    <w:rsid w:val="00AE3F94"/>
    <w:rsid w:val="00AE538D"/>
    <w:rsid w:val="00AE6789"/>
    <w:rsid w:val="00AF5FCB"/>
    <w:rsid w:val="00B00F48"/>
    <w:rsid w:val="00B10320"/>
    <w:rsid w:val="00B12E14"/>
    <w:rsid w:val="00B3587A"/>
    <w:rsid w:val="00B36232"/>
    <w:rsid w:val="00B47614"/>
    <w:rsid w:val="00B51A42"/>
    <w:rsid w:val="00B5604B"/>
    <w:rsid w:val="00B85B1D"/>
    <w:rsid w:val="00B863D7"/>
    <w:rsid w:val="00B93C5E"/>
    <w:rsid w:val="00B97581"/>
    <w:rsid w:val="00BB3BA8"/>
    <w:rsid w:val="00BC5C2E"/>
    <w:rsid w:val="00BD16C0"/>
    <w:rsid w:val="00C16B01"/>
    <w:rsid w:val="00C67F13"/>
    <w:rsid w:val="00C74762"/>
    <w:rsid w:val="00C76644"/>
    <w:rsid w:val="00C84ACE"/>
    <w:rsid w:val="00CA3B19"/>
    <w:rsid w:val="00CB341E"/>
    <w:rsid w:val="00CB3D81"/>
    <w:rsid w:val="00CC420F"/>
    <w:rsid w:val="00CD34ED"/>
    <w:rsid w:val="00CE1D3C"/>
    <w:rsid w:val="00D61AF5"/>
    <w:rsid w:val="00D65426"/>
    <w:rsid w:val="00D70561"/>
    <w:rsid w:val="00D71000"/>
    <w:rsid w:val="00D86C05"/>
    <w:rsid w:val="00D86E71"/>
    <w:rsid w:val="00D976CE"/>
    <w:rsid w:val="00D97D44"/>
    <w:rsid w:val="00DA3621"/>
    <w:rsid w:val="00DA516F"/>
    <w:rsid w:val="00DF3DCC"/>
    <w:rsid w:val="00E02190"/>
    <w:rsid w:val="00E27B70"/>
    <w:rsid w:val="00E4187F"/>
    <w:rsid w:val="00E47B45"/>
    <w:rsid w:val="00E5602D"/>
    <w:rsid w:val="00E7111A"/>
    <w:rsid w:val="00E81656"/>
    <w:rsid w:val="00EA6572"/>
    <w:rsid w:val="00EB6BC1"/>
    <w:rsid w:val="00F04EAC"/>
    <w:rsid w:val="00F10BB8"/>
    <w:rsid w:val="00F119D2"/>
    <w:rsid w:val="00F14D7E"/>
    <w:rsid w:val="00F3141D"/>
    <w:rsid w:val="00F6734E"/>
    <w:rsid w:val="00F84DC5"/>
    <w:rsid w:val="00FA3B8A"/>
    <w:rsid w:val="00FA75CD"/>
    <w:rsid w:val="00FF210C"/>
    <w:rsid w:val="01260640"/>
    <w:rsid w:val="04F40E73"/>
    <w:rsid w:val="0500183B"/>
    <w:rsid w:val="050D3FB3"/>
    <w:rsid w:val="0642728D"/>
    <w:rsid w:val="085E6AD7"/>
    <w:rsid w:val="09570789"/>
    <w:rsid w:val="0BE9642D"/>
    <w:rsid w:val="0CAC0A4F"/>
    <w:rsid w:val="0CD47014"/>
    <w:rsid w:val="0D437FC2"/>
    <w:rsid w:val="0DFA0AC1"/>
    <w:rsid w:val="0E4D034E"/>
    <w:rsid w:val="101042FD"/>
    <w:rsid w:val="10A04A91"/>
    <w:rsid w:val="12FE2B17"/>
    <w:rsid w:val="152D339F"/>
    <w:rsid w:val="18116229"/>
    <w:rsid w:val="1A8E31E7"/>
    <w:rsid w:val="1AA66E7A"/>
    <w:rsid w:val="1C844F99"/>
    <w:rsid w:val="1CC15500"/>
    <w:rsid w:val="1D275FCD"/>
    <w:rsid w:val="1D7F7A78"/>
    <w:rsid w:val="1ED938B7"/>
    <w:rsid w:val="1F85399B"/>
    <w:rsid w:val="1FC82409"/>
    <w:rsid w:val="1FCF0C21"/>
    <w:rsid w:val="20832B03"/>
    <w:rsid w:val="23C75EFF"/>
    <w:rsid w:val="24D46921"/>
    <w:rsid w:val="270F023C"/>
    <w:rsid w:val="27302EFB"/>
    <w:rsid w:val="28ED1AFD"/>
    <w:rsid w:val="2907673E"/>
    <w:rsid w:val="2B0A1F44"/>
    <w:rsid w:val="2B4324C3"/>
    <w:rsid w:val="2C0D2345"/>
    <w:rsid w:val="2C38579A"/>
    <w:rsid w:val="2CDE24A4"/>
    <w:rsid w:val="2CF952C6"/>
    <w:rsid w:val="2E6E56AE"/>
    <w:rsid w:val="2EEB4B02"/>
    <w:rsid w:val="2FBE3A35"/>
    <w:rsid w:val="304A64FD"/>
    <w:rsid w:val="31624A09"/>
    <w:rsid w:val="318B28F0"/>
    <w:rsid w:val="31F5D2FE"/>
    <w:rsid w:val="32F47848"/>
    <w:rsid w:val="33160C7D"/>
    <w:rsid w:val="339F17B8"/>
    <w:rsid w:val="348A21CF"/>
    <w:rsid w:val="36C73FA8"/>
    <w:rsid w:val="3A6B34CD"/>
    <w:rsid w:val="3B4C2A55"/>
    <w:rsid w:val="3C08753D"/>
    <w:rsid w:val="3C226DA6"/>
    <w:rsid w:val="3EBD480C"/>
    <w:rsid w:val="3FAF5114"/>
    <w:rsid w:val="3FBA6DA0"/>
    <w:rsid w:val="40CF3AB1"/>
    <w:rsid w:val="41890F9D"/>
    <w:rsid w:val="43E4263E"/>
    <w:rsid w:val="446B5414"/>
    <w:rsid w:val="452B0163"/>
    <w:rsid w:val="488236F8"/>
    <w:rsid w:val="499967B0"/>
    <w:rsid w:val="4DF20231"/>
    <w:rsid w:val="4E604FB7"/>
    <w:rsid w:val="4EBA7B01"/>
    <w:rsid w:val="4EE47996"/>
    <w:rsid w:val="4F3C56B5"/>
    <w:rsid w:val="4F90380D"/>
    <w:rsid w:val="517843C5"/>
    <w:rsid w:val="51984577"/>
    <w:rsid w:val="51E968F4"/>
    <w:rsid w:val="538E0EF5"/>
    <w:rsid w:val="5426554F"/>
    <w:rsid w:val="54CD3C6B"/>
    <w:rsid w:val="56651456"/>
    <w:rsid w:val="56701D9E"/>
    <w:rsid w:val="571045EA"/>
    <w:rsid w:val="581F6DA1"/>
    <w:rsid w:val="58A81585"/>
    <w:rsid w:val="58BE62E1"/>
    <w:rsid w:val="5C3F73AA"/>
    <w:rsid w:val="5C685984"/>
    <w:rsid w:val="5E010830"/>
    <w:rsid w:val="6177015E"/>
    <w:rsid w:val="63D80731"/>
    <w:rsid w:val="656A18BE"/>
    <w:rsid w:val="663F07AC"/>
    <w:rsid w:val="665F79C0"/>
    <w:rsid w:val="66BF407D"/>
    <w:rsid w:val="68204298"/>
    <w:rsid w:val="68AB5E9B"/>
    <w:rsid w:val="69463704"/>
    <w:rsid w:val="695648D7"/>
    <w:rsid w:val="6961698F"/>
    <w:rsid w:val="6A0C7310"/>
    <w:rsid w:val="6A6C63A9"/>
    <w:rsid w:val="6B50681F"/>
    <w:rsid w:val="6C176B48"/>
    <w:rsid w:val="6E2633B4"/>
    <w:rsid w:val="6EA72EDA"/>
    <w:rsid w:val="6F1514DF"/>
    <w:rsid w:val="6F4216A6"/>
    <w:rsid w:val="71B614C6"/>
    <w:rsid w:val="72857319"/>
    <w:rsid w:val="73D53FD6"/>
    <w:rsid w:val="75A5083B"/>
    <w:rsid w:val="76522662"/>
    <w:rsid w:val="780E2509"/>
    <w:rsid w:val="787D198D"/>
    <w:rsid w:val="796B468C"/>
    <w:rsid w:val="7C586311"/>
    <w:rsid w:val="7D017254"/>
    <w:rsid w:val="7DA003AA"/>
    <w:rsid w:val="7DE62314"/>
    <w:rsid w:val="EFFCF1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HAnsi" w:cstheme="minorBidi"/>
      <w:sz w:val="22"/>
      <w:szCs w:val="22"/>
      <w:lang w:val="en-US" w:eastAsia="en-US" w:bidi="ar-SA"/>
    </w:rPr>
  </w:style>
  <w:style w:type="paragraph" w:styleId="3">
    <w:name w:val="heading 1"/>
    <w:basedOn w:val="1"/>
    <w:next w:val="1"/>
    <w:qFormat/>
    <w:uiPriority w:val="1"/>
    <w:pPr>
      <w:ind w:left="672"/>
      <w:outlineLvl w:val="0"/>
    </w:pPr>
    <w:rPr>
      <w:rFonts w:ascii="PMingLiU" w:hAnsi="PMingLiU" w:eastAsia="PMingLiU"/>
      <w:sz w:val="72"/>
      <w:szCs w:val="72"/>
    </w:rPr>
  </w:style>
  <w:style w:type="paragraph" w:styleId="4">
    <w:name w:val="heading 2"/>
    <w:basedOn w:val="1"/>
    <w:next w:val="1"/>
    <w:qFormat/>
    <w:uiPriority w:val="1"/>
    <w:pPr>
      <w:ind w:left="338"/>
      <w:outlineLvl w:val="1"/>
    </w:pPr>
    <w:rPr>
      <w:rFonts w:ascii="Microsoft JhengHei" w:hAnsi="Microsoft JhengHei" w:eastAsia="Microsoft JhengHei"/>
      <w:b/>
      <w:bCs/>
      <w:sz w:val="36"/>
      <w:szCs w:val="36"/>
    </w:rPr>
  </w:style>
  <w:style w:type="paragraph" w:styleId="5">
    <w:name w:val="heading 3"/>
    <w:basedOn w:val="1"/>
    <w:next w:val="1"/>
    <w:qFormat/>
    <w:uiPriority w:val="1"/>
    <w:pPr>
      <w:ind w:left="740"/>
      <w:outlineLvl w:val="2"/>
    </w:pPr>
    <w:rPr>
      <w:rFonts w:ascii="Microsoft JhengHei" w:hAnsi="Microsoft JhengHei" w:eastAsia="Microsoft JhengHei"/>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6">
    <w:name w:val="Body Text"/>
    <w:basedOn w:val="1"/>
    <w:qFormat/>
    <w:uiPriority w:val="1"/>
    <w:pPr>
      <w:spacing w:before="48"/>
      <w:ind w:left="100"/>
    </w:pPr>
    <w:rPr>
      <w:rFonts w:ascii="PMingLiU" w:hAnsi="PMingLiU" w:eastAsia="PMingLiU"/>
      <w:sz w:val="32"/>
      <w:szCs w:val="32"/>
    </w:rPr>
  </w:style>
  <w:style w:type="paragraph" w:styleId="7">
    <w:name w:val="Balloon Text"/>
    <w:basedOn w:val="1"/>
    <w:link w:val="17"/>
    <w:qFormat/>
    <w:uiPriority w:val="0"/>
    <w:rPr>
      <w:sz w:val="18"/>
      <w:szCs w:val="18"/>
    </w:rPr>
  </w:style>
  <w:style w:type="paragraph" w:styleId="8">
    <w:name w:val="footer"/>
    <w:basedOn w:val="1"/>
    <w:qFormat/>
    <w:uiPriority w:val="0"/>
    <w:pPr>
      <w:tabs>
        <w:tab w:val="center" w:pos="4153"/>
        <w:tab w:val="right" w:pos="8306"/>
      </w:tabs>
      <w:snapToGrid w:val="0"/>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0">
    <w:name w:val="Normal (Web)"/>
    <w:basedOn w:val="1"/>
    <w:unhideWhenUsed/>
    <w:qFormat/>
    <w:uiPriority w:val="99"/>
    <w:pPr>
      <w:widowControl/>
      <w:spacing w:before="100" w:beforeAutospacing="1" w:after="100" w:afterAutospacing="1"/>
    </w:pPr>
    <w:rPr>
      <w:rFonts w:ascii="宋体" w:hAnsi="宋体" w:cs="宋体"/>
      <w:sz w:val="24"/>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style>
  <w:style w:type="paragraph" w:customStyle="1" w:styleId="15">
    <w:name w:val="Table Paragraph"/>
    <w:basedOn w:val="1"/>
    <w:qFormat/>
    <w:uiPriority w:val="1"/>
  </w:style>
  <w:style w:type="paragraph" w:customStyle="1" w:styleId="16">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7">
    <w:name w:val="批注框文本 Char"/>
    <w:basedOn w:val="12"/>
    <w:link w:val="7"/>
    <w:qFormat/>
    <w:uiPriority w:val="0"/>
    <w:rPr>
      <w:rFonts w:asciiTheme="minorHAnsi" w:hAnsiTheme="minorHAnsi" w:eastAsiaTheme="minorHAnsi" w:cstheme="minorBidi"/>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425</Words>
  <Characters>434</Characters>
  <Lines>176</Lines>
  <Paragraphs>49</Paragraphs>
  <TotalTime>10</TotalTime>
  <ScaleCrop>false</ScaleCrop>
  <LinksUpToDate>false</LinksUpToDate>
  <CharactersWithSpaces>440</CharactersWithSpaces>
  <Application>WPS Office_11.8.2.1128_F1E327BC-269C-435d-A152-05C5408002CA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2023-07-24T09:48:00Z</dcterms:created>
  <dc:creator>Administrator</dc:creator>
  <cp:lastModifiedBy>dzb</cp:lastModifiedBy>
  <cp:lastPrinted>2022-08-02T17:02:00Z</cp:lastPrinted>
  <dcterms:modified xsi:type="dcterms:W3CDTF">2025-09-28T09:30:40Z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2052-11.8.2.1128</vt:lpwstr>
  </property>
  <property fmtid="{D5CDD505-2E9C-101B-9397-08002B2CF9AE}" pid="6" name="ICV">
    <vt:lpwstr>58A5E812237D7929C08FD8689D53394B</vt:lpwstr>
  </property>
  <property fmtid="{D5CDD505-2E9C-101B-9397-08002B2CF9AE}" pid="7" name="KSOTemplateDocerSaveRecord">
    <vt:lpwstr>eyJoZGlkIjoiODRmYThiZTFhN2EzMmYyNmM2OTU3N2RhZWMwMTIyNDAiLCJ1c2VySWQiOiI2MDgxMDQ3MDUifQ==</vt:lpwstr>
  </property>
</Properties>
</file>