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6F0470">
      <w:pPr>
        <w:pStyle w:val="16"/>
        <w:jc w:val="center"/>
        <w:rPr>
          <w:sz w:val="56"/>
          <w:szCs w:val="56"/>
        </w:rPr>
      </w:pPr>
    </w:p>
    <w:p w14:paraId="5E453C11">
      <w:pPr>
        <w:pStyle w:val="16"/>
        <w:jc w:val="center"/>
        <w:rPr>
          <w:sz w:val="56"/>
          <w:szCs w:val="56"/>
        </w:rPr>
      </w:pPr>
    </w:p>
    <w:p w14:paraId="69AD0683">
      <w:pPr>
        <w:pStyle w:val="16"/>
        <w:jc w:val="center"/>
        <w:rPr>
          <w:sz w:val="84"/>
          <w:szCs w:val="84"/>
        </w:rPr>
      </w:pPr>
    </w:p>
    <w:p w14:paraId="658606A0">
      <w:pPr>
        <w:pStyle w:val="16"/>
        <w:jc w:val="center"/>
        <w:rPr>
          <w:sz w:val="84"/>
          <w:szCs w:val="84"/>
        </w:rPr>
      </w:pPr>
    </w:p>
    <w:p w14:paraId="7FE07D4E">
      <w:pPr>
        <w:pStyle w:val="16"/>
        <w:jc w:val="center"/>
        <w:rPr>
          <w:rFonts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202</w:t>
      </w:r>
      <w:r>
        <w:rPr>
          <w:rFonts w:hint="eastAsia" w:ascii="方正小标宋_GBK" w:hAnsi="方正小标宋_GBK" w:eastAsia="方正小标宋_GBK" w:cs="方正小标宋_GBK"/>
          <w:kern w:val="0"/>
          <w:sz w:val="84"/>
          <w:szCs w:val="84"/>
          <w:lang w:val="en-US" w:eastAsia="zh-CN"/>
        </w:rPr>
        <w:t>4</w:t>
      </w:r>
      <w:r>
        <w:rPr>
          <w:rFonts w:hint="eastAsia" w:ascii="方正小标宋_GBK" w:hAnsi="方正小标宋_GBK" w:eastAsia="方正小标宋_GBK" w:cs="方正小标宋_GBK"/>
          <w:kern w:val="0"/>
          <w:sz w:val="84"/>
          <w:szCs w:val="84"/>
        </w:rPr>
        <w:t>年度</w:t>
      </w:r>
    </w:p>
    <w:p w14:paraId="437EF503">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湘潭县发展和改革局</w:t>
      </w:r>
    </w:p>
    <w:p w14:paraId="5CF85E6C">
      <w:pPr>
        <w:pStyle w:val="16"/>
        <w:jc w:val="center"/>
        <w:rPr>
          <w:rFonts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部门决算</w:t>
      </w:r>
    </w:p>
    <w:p w14:paraId="0A9723F3">
      <w:pPr>
        <w:pStyle w:val="16"/>
        <w:jc w:val="center"/>
        <w:rPr>
          <w:sz w:val="56"/>
          <w:szCs w:val="56"/>
        </w:rPr>
      </w:pPr>
    </w:p>
    <w:p w14:paraId="72395DFB">
      <w:pPr>
        <w:pStyle w:val="16"/>
        <w:jc w:val="center"/>
        <w:rPr>
          <w:sz w:val="56"/>
          <w:szCs w:val="56"/>
        </w:rPr>
      </w:pPr>
    </w:p>
    <w:p w14:paraId="678E3C68">
      <w:pPr>
        <w:pStyle w:val="16"/>
        <w:jc w:val="center"/>
        <w:rPr>
          <w:sz w:val="56"/>
          <w:szCs w:val="56"/>
        </w:rPr>
      </w:pPr>
    </w:p>
    <w:p w14:paraId="540DC0FE">
      <w:pPr>
        <w:pStyle w:val="16"/>
        <w:jc w:val="center"/>
        <w:rPr>
          <w:sz w:val="56"/>
          <w:szCs w:val="56"/>
        </w:rPr>
      </w:pPr>
    </w:p>
    <w:p w14:paraId="0527A464">
      <w:pPr>
        <w:pStyle w:val="16"/>
        <w:jc w:val="center"/>
        <w:rPr>
          <w:sz w:val="32"/>
          <w:szCs w:val="32"/>
        </w:rPr>
      </w:pPr>
    </w:p>
    <w:p w14:paraId="4E2530F4">
      <w:pPr>
        <w:pStyle w:val="16"/>
        <w:jc w:val="center"/>
        <w:rPr>
          <w:sz w:val="32"/>
          <w:szCs w:val="32"/>
        </w:rPr>
      </w:pPr>
    </w:p>
    <w:p w14:paraId="69DD7D1F">
      <w:pPr>
        <w:pStyle w:val="16"/>
        <w:spacing w:line="500" w:lineRule="exact"/>
        <w:jc w:val="center"/>
        <w:rPr>
          <w:rFonts w:hint="eastAsia"/>
          <w:b/>
          <w:sz w:val="36"/>
          <w:szCs w:val="28"/>
        </w:rPr>
      </w:pPr>
      <w:r>
        <w:rPr>
          <w:rFonts w:hint="eastAsia"/>
          <w:b/>
          <w:sz w:val="36"/>
          <w:szCs w:val="28"/>
        </w:rPr>
        <w:t>目</w:t>
      </w:r>
      <w:r>
        <w:rPr>
          <w:rFonts w:hint="eastAsia"/>
          <w:b/>
          <w:sz w:val="36"/>
          <w:szCs w:val="28"/>
          <w:lang w:val="en-US" w:eastAsia="zh-CN"/>
        </w:rPr>
        <w:t xml:space="preserve">  </w:t>
      </w:r>
      <w:r>
        <w:rPr>
          <w:rFonts w:hint="eastAsia"/>
          <w:b/>
          <w:sz w:val="36"/>
          <w:szCs w:val="28"/>
        </w:rPr>
        <w:t>录</w:t>
      </w:r>
    </w:p>
    <w:p w14:paraId="264A6B5A">
      <w:pPr>
        <w:pStyle w:val="16"/>
        <w:keepNext w:val="0"/>
        <w:keepLines w:val="0"/>
        <w:pageBreakBefore w:val="0"/>
        <w:widowControl w:val="0"/>
        <w:kinsoku/>
        <w:wordWrap/>
        <w:overflowPunct/>
        <w:topLinePunct w:val="0"/>
        <w:autoSpaceDE w:val="0"/>
        <w:autoSpaceDN w:val="0"/>
        <w:bidi w:val="0"/>
        <w:adjustRightInd w:val="0"/>
        <w:snapToGrid/>
        <w:spacing w:line="240" w:lineRule="exact"/>
        <w:jc w:val="center"/>
        <w:textAlignment w:val="auto"/>
        <w:rPr>
          <w:rFonts w:hint="eastAsia"/>
          <w:b/>
          <w:sz w:val="36"/>
          <w:szCs w:val="28"/>
        </w:rPr>
      </w:pPr>
    </w:p>
    <w:p w14:paraId="1F057E7B">
      <w:pPr>
        <w:pStyle w:val="16"/>
        <w:spacing w:line="500" w:lineRule="exact"/>
        <w:ind w:firstLine="560" w:firstLineChars="200"/>
        <w:rPr>
          <w:rFonts w:hAnsi="黑体"/>
          <w:kern w:val="0"/>
          <w:sz w:val="28"/>
          <w:szCs w:val="28"/>
        </w:rPr>
      </w:pPr>
      <w:r>
        <w:rPr>
          <w:rFonts w:hint="eastAsia" w:hAnsi="黑体"/>
          <w:kern w:val="0"/>
          <w:sz w:val="28"/>
          <w:szCs w:val="28"/>
        </w:rPr>
        <w:t>第一部分</w:t>
      </w:r>
      <w:r>
        <w:rPr>
          <w:rFonts w:hint="eastAsia" w:hAnsi="黑体"/>
          <w:kern w:val="0"/>
          <w:sz w:val="28"/>
          <w:szCs w:val="28"/>
          <w:lang w:val="en-US" w:eastAsia="zh-CN"/>
        </w:rPr>
        <w:t xml:space="preserve"> </w:t>
      </w:r>
      <w:r>
        <w:rPr>
          <w:rFonts w:hint="eastAsia" w:hAnsi="黑体"/>
          <w:kern w:val="0"/>
          <w:sz w:val="28"/>
          <w:szCs w:val="28"/>
        </w:rPr>
        <w:t>湘潭县发展和改革局概况</w:t>
      </w:r>
    </w:p>
    <w:p w14:paraId="360A1059">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一、部门职责</w:t>
      </w:r>
    </w:p>
    <w:p w14:paraId="7A5565A8">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二、机构设置及决算单位构成</w:t>
      </w:r>
    </w:p>
    <w:p w14:paraId="43E0BE84">
      <w:pPr>
        <w:pStyle w:val="16"/>
        <w:spacing w:line="500" w:lineRule="exact"/>
        <w:ind w:firstLine="560" w:firstLineChars="200"/>
        <w:rPr>
          <w:rFonts w:hint="eastAsia" w:hAnsi="黑体"/>
          <w:kern w:val="0"/>
          <w:sz w:val="28"/>
          <w:szCs w:val="28"/>
        </w:rPr>
      </w:pPr>
      <w:r>
        <w:rPr>
          <w:rFonts w:hint="eastAsia" w:hAnsi="黑体"/>
          <w:kern w:val="0"/>
          <w:sz w:val="28"/>
          <w:szCs w:val="28"/>
        </w:rPr>
        <w:t>第二部分</w:t>
      </w:r>
      <w:r>
        <w:rPr>
          <w:rFonts w:hint="eastAsia" w:hAnsi="黑体"/>
          <w:kern w:val="0"/>
          <w:sz w:val="28"/>
          <w:szCs w:val="28"/>
          <w:lang w:val="en-US" w:eastAsia="zh-CN"/>
        </w:rPr>
        <w:t xml:space="preserve"> </w:t>
      </w:r>
      <w:r>
        <w:rPr>
          <w:rFonts w:hint="eastAsia" w:hAnsi="黑体"/>
          <w:kern w:val="0"/>
          <w:sz w:val="28"/>
          <w:szCs w:val="28"/>
        </w:rPr>
        <w:t>部门决算表</w:t>
      </w:r>
    </w:p>
    <w:p w14:paraId="3AF828F6">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一、收入支出决算总表</w:t>
      </w:r>
    </w:p>
    <w:p w14:paraId="6F75BE2E">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二、收入决算表</w:t>
      </w:r>
    </w:p>
    <w:p w14:paraId="6757CB12">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三、支出决算表</w:t>
      </w:r>
    </w:p>
    <w:p w14:paraId="1A8DD99A">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四、财政拨款收入支出决算总表</w:t>
      </w:r>
    </w:p>
    <w:p w14:paraId="2CE7158F">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五、一般公共预算财政拨款支出决算表</w:t>
      </w:r>
    </w:p>
    <w:p w14:paraId="0BAE46C1">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六、一般公共预算财政拨款基本支出决算明细表</w:t>
      </w:r>
    </w:p>
    <w:p w14:paraId="7AE575C4">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七、政府性基金预算财政拨款收入支出决算表</w:t>
      </w:r>
    </w:p>
    <w:p w14:paraId="40164957">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八、国有资本经营预算财政拨款支出决算表</w:t>
      </w:r>
    </w:p>
    <w:p w14:paraId="04A9B6F0">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九、财政拨款“三公”经费支出决算表</w:t>
      </w:r>
    </w:p>
    <w:p w14:paraId="7BE89784">
      <w:pPr>
        <w:pStyle w:val="16"/>
        <w:spacing w:line="500" w:lineRule="exact"/>
        <w:ind w:firstLine="560" w:firstLineChars="200"/>
        <w:rPr>
          <w:rFonts w:hint="eastAsia" w:hAnsi="黑体"/>
          <w:kern w:val="0"/>
          <w:sz w:val="28"/>
          <w:szCs w:val="28"/>
        </w:rPr>
      </w:pPr>
      <w:r>
        <w:rPr>
          <w:rFonts w:hint="eastAsia" w:hAnsi="黑体"/>
          <w:kern w:val="0"/>
          <w:sz w:val="28"/>
          <w:szCs w:val="28"/>
        </w:rPr>
        <w:t>第三部分</w:t>
      </w:r>
      <w:r>
        <w:rPr>
          <w:rFonts w:hint="eastAsia" w:hAnsi="黑体"/>
          <w:kern w:val="0"/>
          <w:sz w:val="28"/>
          <w:szCs w:val="28"/>
          <w:lang w:val="en-US" w:eastAsia="zh-CN"/>
        </w:rPr>
        <w:t xml:space="preserve"> </w:t>
      </w:r>
      <w:r>
        <w:rPr>
          <w:rFonts w:hint="eastAsia" w:hAnsi="黑体"/>
          <w:kern w:val="0"/>
          <w:sz w:val="28"/>
          <w:szCs w:val="28"/>
        </w:rPr>
        <w:t>部门决算情况说明</w:t>
      </w:r>
    </w:p>
    <w:p w14:paraId="5F921FD1">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一、收入支出决算总体情况说明</w:t>
      </w:r>
    </w:p>
    <w:p w14:paraId="1063DF4B">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二、收入决算情况说明</w:t>
      </w:r>
    </w:p>
    <w:p w14:paraId="762FEF1E">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三、支出决算情况说明</w:t>
      </w:r>
    </w:p>
    <w:p w14:paraId="20B3767D">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四、财政拨款收入支出决算总体情况说明</w:t>
      </w:r>
    </w:p>
    <w:p w14:paraId="03104214">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五、一般公共预算财政拨款支出决算情况说明</w:t>
      </w:r>
    </w:p>
    <w:p w14:paraId="39B3ECC8">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六、一般公共预算财政拨款基本支出决算情况说明</w:t>
      </w:r>
    </w:p>
    <w:p w14:paraId="19D63ACB">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七、财政拨款三公经费支出决算情况说明</w:t>
      </w:r>
    </w:p>
    <w:p w14:paraId="033CC3D7">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八、政府性基金预算收入支出决算情况</w:t>
      </w:r>
    </w:p>
    <w:p w14:paraId="1C60FF30">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九、国有资本经营预算财政拨款支出决算情况</w:t>
      </w:r>
    </w:p>
    <w:p w14:paraId="5FEEEE23">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十、关于机关运行经费支出说明</w:t>
      </w:r>
    </w:p>
    <w:p w14:paraId="11CDD581">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十一、一般性支出情况说明</w:t>
      </w:r>
    </w:p>
    <w:p w14:paraId="323BBE7C">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十二、关于政府采购支出说明</w:t>
      </w:r>
    </w:p>
    <w:p w14:paraId="425F48ED">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十三、关于国有资产占用情况说明</w:t>
      </w:r>
    </w:p>
    <w:p w14:paraId="2BC01955">
      <w:pPr>
        <w:pStyle w:val="16"/>
        <w:spacing w:line="500" w:lineRule="exact"/>
        <w:ind w:firstLine="700" w:firstLineChars="25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十四、关于20</w:t>
      </w:r>
      <w:r>
        <w:rPr>
          <w:rFonts w:hint="eastAsia" w:ascii="仿宋_GB2312" w:hAnsi="仿宋_GB2312" w:eastAsia="仿宋_GB2312" w:cs="仿宋_GB2312"/>
          <w:kern w:val="0"/>
          <w:sz w:val="28"/>
          <w:szCs w:val="28"/>
          <w:lang w:val="en-US" w:eastAsia="zh-CN"/>
        </w:rPr>
        <w:t>24</w:t>
      </w:r>
      <w:r>
        <w:rPr>
          <w:rFonts w:hint="eastAsia" w:ascii="仿宋_GB2312" w:hAnsi="仿宋_GB2312" w:eastAsia="仿宋_GB2312" w:cs="仿宋_GB2312"/>
          <w:kern w:val="0"/>
          <w:sz w:val="28"/>
          <w:szCs w:val="28"/>
        </w:rPr>
        <w:t>年度预算绩效情况的说明</w:t>
      </w:r>
    </w:p>
    <w:p w14:paraId="1F0549EF">
      <w:pPr>
        <w:pStyle w:val="16"/>
        <w:spacing w:line="500" w:lineRule="exact"/>
        <w:ind w:firstLine="560" w:firstLineChars="200"/>
        <w:rPr>
          <w:rFonts w:hint="eastAsia" w:hAnsi="黑体"/>
          <w:kern w:val="0"/>
          <w:sz w:val="28"/>
          <w:szCs w:val="28"/>
        </w:rPr>
      </w:pPr>
      <w:r>
        <w:rPr>
          <w:rFonts w:hint="eastAsia" w:hAnsi="黑体"/>
          <w:kern w:val="0"/>
          <w:sz w:val="28"/>
          <w:szCs w:val="28"/>
        </w:rPr>
        <w:t>第四部分</w:t>
      </w:r>
      <w:r>
        <w:rPr>
          <w:rFonts w:hint="eastAsia" w:hAnsi="黑体"/>
          <w:kern w:val="0"/>
          <w:sz w:val="28"/>
          <w:szCs w:val="28"/>
          <w:lang w:val="en-US" w:eastAsia="zh-CN"/>
        </w:rPr>
        <w:t xml:space="preserve"> </w:t>
      </w:r>
      <w:r>
        <w:rPr>
          <w:rFonts w:hint="eastAsia" w:hAnsi="黑体"/>
          <w:kern w:val="0"/>
          <w:sz w:val="28"/>
          <w:szCs w:val="28"/>
        </w:rPr>
        <w:t>名词解释</w:t>
      </w:r>
    </w:p>
    <w:p w14:paraId="69A1AC47">
      <w:pPr>
        <w:pStyle w:val="16"/>
        <w:spacing w:line="500" w:lineRule="exact"/>
        <w:ind w:firstLine="560" w:firstLineChars="200"/>
        <w:rPr>
          <w:rFonts w:hint="eastAsia" w:hAnsi="黑体"/>
          <w:kern w:val="0"/>
          <w:sz w:val="28"/>
          <w:szCs w:val="28"/>
        </w:rPr>
      </w:pPr>
      <w:r>
        <w:rPr>
          <w:rFonts w:hint="eastAsia" w:hAnsi="黑体"/>
          <w:kern w:val="0"/>
          <w:sz w:val="28"/>
          <w:szCs w:val="28"/>
        </w:rPr>
        <w:t>第五部分</w:t>
      </w:r>
      <w:r>
        <w:rPr>
          <w:rFonts w:hint="eastAsia" w:hAnsi="黑体"/>
          <w:kern w:val="0"/>
          <w:sz w:val="28"/>
          <w:szCs w:val="28"/>
          <w:lang w:val="en-US" w:eastAsia="zh-CN"/>
        </w:rPr>
        <w:t xml:space="preserve"> </w:t>
      </w:r>
      <w:r>
        <w:rPr>
          <w:rFonts w:hint="eastAsia" w:hAnsi="黑体"/>
          <w:kern w:val="0"/>
          <w:sz w:val="28"/>
          <w:szCs w:val="28"/>
        </w:rPr>
        <w:t>附件</w:t>
      </w:r>
    </w:p>
    <w:p w14:paraId="0B92BB81">
      <w:pPr>
        <w:jc w:val="center"/>
        <w:rPr>
          <w:sz w:val="72"/>
          <w:szCs w:val="72"/>
        </w:rPr>
      </w:pPr>
    </w:p>
    <w:p w14:paraId="006AFA0A">
      <w:pPr>
        <w:jc w:val="center"/>
        <w:rPr>
          <w:sz w:val="72"/>
          <w:szCs w:val="72"/>
        </w:rPr>
      </w:pPr>
    </w:p>
    <w:p w14:paraId="4F06BCD1">
      <w:pPr>
        <w:jc w:val="center"/>
        <w:rPr>
          <w:sz w:val="72"/>
          <w:szCs w:val="72"/>
        </w:rPr>
      </w:pPr>
    </w:p>
    <w:p w14:paraId="12BA958E">
      <w:pPr>
        <w:jc w:val="center"/>
        <w:rPr>
          <w:sz w:val="72"/>
          <w:szCs w:val="72"/>
        </w:rPr>
      </w:pPr>
    </w:p>
    <w:p w14:paraId="7ABF8A9D">
      <w:pPr>
        <w:jc w:val="center"/>
        <w:rPr>
          <w:sz w:val="72"/>
          <w:szCs w:val="72"/>
        </w:rPr>
      </w:pPr>
    </w:p>
    <w:p w14:paraId="070238FF">
      <w:pPr>
        <w:jc w:val="center"/>
        <w:rPr>
          <w:sz w:val="72"/>
          <w:szCs w:val="72"/>
        </w:rPr>
      </w:pPr>
    </w:p>
    <w:p w14:paraId="2E29336C">
      <w:pPr>
        <w:jc w:val="center"/>
        <w:rPr>
          <w:sz w:val="72"/>
          <w:szCs w:val="72"/>
        </w:rPr>
      </w:pPr>
    </w:p>
    <w:p w14:paraId="4EE34FCD">
      <w:pPr>
        <w:jc w:val="center"/>
        <w:rPr>
          <w:sz w:val="72"/>
          <w:szCs w:val="72"/>
        </w:rPr>
      </w:pPr>
    </w:p>
    <w:p w14:paraId="5003B7FC">
      <w:pPr>
        <w:jc w:val="center"/>
        <w:rPr>
          <w:sz w:val="72"/>
          <w:szCs w:val="72"/>
        </w:rPr>
      </w:pPr>
    </w:p>
    <w:p w14:paraId="2CA3AC68">
      <w:pPr>
        <w:jc w:val="center"/>
        <w:rPr>
          <w:sz w:val="72"/>
          <w:szCs w:val="72"/>
        </w:rPr>
      </w:pPr>
    </w:p>
    <w:p w14:paraId="2824D02E">
      <w:pPr>
        <w:jc w:val="center"/>
        <w:rPr>
          <w:sz w:val="72"/>
          <w:szCs w:val="72"/>
        </w:rPr>
      </w:pPr>
    </w:p>
    <w:p w14:paraId="3A12CB2D">
      <w:pPr>
        <w:jc w:val="center"/>
        <w:rPr>
          <w:sz w:val="72"/>
          <w:szCs w:val="72"/>
        </w:rPr>
      </w:pPr>
    </w:p>
    <w:p w14:paraId="383DC84D">
      <w:pPr>
        <w:jc w:val="center"/>
        <w:rPr>
          <w:sz w:val="72"/>
          <w:szCs w:val="72"/>
        </w:rPr>
      </w:pPr>
    </w:p>
    <w:p w14:paraId="729F99F0">
      <w:pPr>
        <w:jc w:val="center"/>
        <w:rPr>
          <w:sz w:val="72"/>
          <w:szCs w:val="72"/>
        </w:rPr>
      </w:pPr>
    </w:p>
    <w:p w14:paraId="4E6A62F5">
      <w:pPr>
        <w:rPr>
          <w:sz w:val="72"/>
          <w:szCs w:val="72"/>
        </w:rPr>
      </w:pPr>
    </w:p>
    <w:p w14:paraId="1531F4DB">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第一部分</w:t>
      </w:r>
    </w:p>
    <w:p w14:paraId="442FD48B">
      <w:pPr>
        <w:pStyle w:val="16"/>
        <w:jc w:val="center"/>
        <w:rPr>
          <w:rFonts w:hint="eastAsia" w:ascii="方正小标宋_GBK" w:hAnsi="方正小标宋_GBK" w:eastAsia="方正小标宋_GBK" w:cs="方正小标宋_GBK"/>
          <w:kern w:val="0"/>
          <w:sz w:val="84"/>
          <w:szCs w:val="84"/>
        </w:rPr>
      </w:pPr>
    </w:p>
    <w:p w14:paraId="1D1F2AB5">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湘潭县发展和改革局</w:t>
      </w:r>
    </w:p>
    <w:p w14:paraId="37E6B5D8">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概况</w:t>
      </w:r>
    </w:p>
    <w:p w14:paraId="5F97D722">
      <w:pPr>
        <w:jc w:val="center"/>
        <w:rPr>
          <w:sz w:val="72"/>
          <w:szCs w:val="72"/>
        </w:rPr>
      </w:pPr>
    </w:p>
    <w:p w14:paraId="2B5F39E1">
      <w:pPr>
        <w:jc w:val="center"/>
        <w:rPr>
          <w:sz w:val="72"/>
          <w:szCs w:val="72"/>
        </w:rPr>
      </w:pPr>
    </w:p>
    <w:p w14:paraId="1FF7E328">
      <w:pPr>
        <w:jc w:val="center"/>
        <w:rPr>
          <w:sz w:val="72"/>
          <w:szCs w:val="72"/>
        </w:rPr>
      </w:pPr>
    </w:p>
    <w:p w14:paraId="0B2F2205">
      <w:pPr>
        <w:jc w:val="center"/>
        <w:rPr>
          <w:sz w:val="72"/>
          <w:szCs w:val="72"/>
        </w:rPr>
      </w:pPr>
    </w:p>
    <w:p w14:paraId="0F853DAA">
      <w:pPr>
        <w:jc w:val="center"/>
        <w:rPr>
          <w:sz w:val="72"/>
          <w:szCs w:val="72"/>
        </w:rPr>
      </w:pPr>
    </w:p>
    <w:p w14:paraId="08A17BE9">
      <w:pPr>
        <w:pStyle w:val="17"/>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部门职责</w:t>
      </w:r>
    </w:p>
    <w:p w14:paraId="1016E8A9">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14:paraId="4D765AEB">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（二）统筹协调经济社会发展。研究分析国内外、县内外经济形势和社会发展情况，监测预测预警全县宏观经济和社会发展态势，提出宏观调控措施和建议，协调解决宏观经济运行中的重大问题。</w:t>
      </w:r>
    </w:p>
    <w:p w14:paraId="1EBE2A8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（三）参与拟订财政政策、金融政策、土地政策等，汇总、分析政策的执行情况。负责企业债券发行的审查和申报，监督发行企业债券募集资金的使用。</w:t>
      </w:r>
    </w:p>
    <w:p w14:paraId="385CCCF8">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14:paraId="31FF8640">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14:paraId="2719C9F7">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14:paraId="50996633">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14:paraId="0527E200">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14:paraId="3FD8F4B5">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14:paraId="7186B5AA">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14:paraId="6FEB05C2">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14:paraId="25FB5D6E">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14:paraId="2CEEEC7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14:paraId="69254434">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（十四）组织编制全县国民经济建设和国防建设协调发展的规划、计划，组织实施国民经济动员和装备动员有关工作。</w:t>
      </w:r>
    </w:p>
    <w:p w14:paraId="0ABD94A7">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14:paraId="770DFB2C">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14:paraId="2EB927C3">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14:paraId="52D5330B">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14:paraId="66D2EF8B">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（十九）统筹推进信用体系建设工作。</w:t>
      </w:r>
    </w:p>
    <w:p w14:paraId="5EA7A3FC">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（二十）完成县委、县政府交办的其他任务。</w:t>
      </w:r>
    </w:p>
    <w:p w14:paraId="5BF9444F">
      <w:pPr>
        <w:widowControl/>
        <w:spacing w:line="600" w:lineRule="exact"/>
        <w:ind w:firstLine="640" w:firstLineChars="200"/>
        <w:outlineLvl w:val="0"/>
        <w:rPr>
          <w:rFonts w:ascii="黑体" w:hAnsi="黑体" w:eastAsia="黑体"/>
          <w:bCs/>
          <w:kern w:val="0"/>
          <w:sz w:val="32"/>
          <w:szCs w:val="32"/>
        </w:rPr>
      </w:pPr>
      <w:r>
        <w:rPr>
          <w:rFonts w:hint="eastAsia" w:ascii="黑体" w:hAnsi="黑体" w:eastAsia="黑体"/>
          <w:bCs/>
          <w:kern w:val="0"/>
          <w:sz w:val="32"/>
          <w:szCs w:val="32"/>
        </w:rPr>
        <w:t>二、机构设置及决算单位构成</w:t>
      </w:r>
    </w:p>
    <w:p w14:paraId="65770E7E">
      <w:pPr>
        <w:ind w:firstLine="800" w:firstLineChars="250"/>
        <w:jc w:val="lef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一）内设机构设置。湘潭县发展和改革局（湘潭县国防动员办公室、湘潭县粮食和物资储备局）内设股室为：综合办公室﹙经济体制综合改革股﹚、政策法规股（审批服务股）、农村经济股、工业交通能源环资股、第三产业办公室﹙社会事业发展股、商务流通股﹚、价格管理和成本调查股、粮食和物资储备股（粮食产业发展和粮食安全监管股）、财务审计股、离退休人员管理服务股（人事股）、党的建设工作办公室（党建办）、工程管理与军事设施保护股、指挥与信息化股 、综合协调与规划督导股。下属二级事业机构为：县重点建设项目事务中心、县政府投资项目评审中心、县重点项目开发前期服务中心、县价格认证和监测中心、长株潭一体化发展事务中心</w:t>
      </w:r>
      <w:r>
        <w:rPr>
          <w:rFonts w:hint="eastAsia" w:ascii="Times New Roman" w:hAnsi="Times New Roman" w:eastAsia="仿宋_GB2312" w:cs="仿宋_GB2312"/>
          <w:sz w:val="32"/>
          <w:szCs w:val="32"/>
          <w:lang w:eastAsia="zh-CN"/>
        </w:rPr>
        <w:t>。</w:t>
      </w:r>
      <w:bookmarkStart w:id="0" w:name="_GoBack"/>
      <w:bookmarkEnd w:id="0"/>
    </w:p>
    <w:p w14:paraId="3B4C5EE9">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年本部门核定编制数</w:t>
      </w:r>
      <w:r>
        <w:rPr>
          <w:rFonts w:hint="eastAsia" w:ascii="Times New Roman" w:hAnsi="Times New Roman" w:eastAsia="仿宋_GB2312" w:cs="仿宋_GB2312"/>
          <w:sz w:val="32"/>
          <w:szCs w:val="32"/>
          <w:lang w:val="en-US" w:eastAsia="zh-CN"/>
        </w:rPr>
        <w:t>56个</w:t>
      </w:r>
      <w:r>
        <w:rPr>
          <w:rFonts w:hint="eastAsia" w:ascii="Times New Roman" w:hAnsi="Times New Roman" w:eastAsia="仿宋_GB2312" w:cs="仿宋_GB2312"/>
          <w:sz w:val="32"/>
          <w:szCs w:val="32"/>
        </w:rPr>
        <w:t>，其中行政编制</w:t>
      </w:r>
      <w:r>
        <w:rPr>
          <w:rFonts w:hint="eastAsia" w:ascii="Times New Roman" w:hAnsi="Times New Roman" w:eastAsia="仿宋_GB2312" w:cs="仿宋_GB2312"/>
          <w:sz w:val="32"/>
          <w:szCs w:val="32"/>
          <w:lang w:val="en-US" w:eastAsia="zh-CN"/>
        </w:rPr>
        <w:t>22</w:t>
      </w:r>
      <w:r>
        <w:rPr>
          <w:rFonts w:hint="eastAsia" w:ascii="Times New Roman" w:hAnsi="Times New Roman" w:eastAsia="仿宋_GB2312" w:cs="仿宋_GB2312"/>
          <w:sz w:val="32"/>
          <w:szCs w:val="32"/>
          <w:lang w:eastAsia="zh-CN"/>
        </w:rPr>
        <w:t>个</w:t>
      </w:r>
      <w:r>
        <w:rPr>
          <w:rFonts w:hint="eastAsia" w:ascii="Times New Roman" w:hAnsi="Times New Roman" w:eastAsia="仿宋_GB2312" w:cs="仿宋_GB2312"/>
          <w:sz w:val="32"/>
          <w:szCs w:val="32"/>
        </w:rPr>
        <w:t>，事业编制</w:t>
      </w:r>
      <w:r>
        <w:rPr>
          <w:rFonts w:hint="eastAsia" w:ascii="Times New Roman" w:hAnsi="Times New Roman" w:eastAsia="仿宋_GB2312" w:cs="仿宋_GB2312"/>
          <w:sz w:val="32"/>
          <w:szCs w:val="32"/>
          <w:lang w:val="en-US" w:eastAsia="zh-CN"/>
        </w:rPr>
        <w:t>28</w:t>
      </w:r>
      <w:r>
        <w:rPr>
          <w:rFonts w:hint="eastAsia" w:ascii="Times New Roman" w:hAnsi="Times New Roman" w:eastAsia="仿宋_GB2312" w:cs="仿宋_GB2312"/>
          <w:sz w:val="32"/>
          <w:szCs w:val="32"/>
          <w:lang w:eastAsia="zh-CN"/>
        </w:rPr>
        <w:t>个</w:t>
      </w:r>
      <w:r>
        <w:rPr>
          <w:rFonts w:hint="eastAsia" w:ascii="Times New Roman" w:hAnsi="Times New Roman" w:eastAsia="仿宋_GB2312" w:cs="仿宋_GB2312"/>
          <w:sz w:val="32"/>
          <w:szCs w:val="32"/>
        </w:rPr>
        <w:t>，后勤编制</w:t>
      </w:r>
      <w:r>
        <w:rPr>
          <w:rFonts w:hint="eastAsia" w:ascii="Times New Roman" w:hAnsi="Times New Roman" w:eastAsia="仿宋_GB2312" w:cs="仿宋_GB2312"/>
          <w:sz w:val="32"/>
          <w:szCs w:val="32"/>
          <w:lang w:val="en-US" w:eastAsia="zh-CN"/>
        </w:rPr>
        <w:t>6个</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年末</w:t>
      </w:r>
      <w:r>
        <w:rPr>
          <w:rFonts w:hint="eastAsia" w:ascii="Times New Roman" w:hAnsi="Times New Roman" w:eastAsia="仿宋_GB2312" w:cs="仿宋_GB2312"/>
          <w:sz w:val="32"/>
          <w:szCs w:val="32"/>
        </w:rPr>
        <w:t>实有在职人员</w:t>
      </w:r>
      <w:r>
        <w:rPr>
          <w:rFonts w:hint="eastAsia" w:ascii="Times New Roman" w:hAnsi="Times New Roman" w:eastAsia="仿宋_GB2312" w:cs="仿宋_GB2312"/>
          <w:sz w:val="32"/>
          <w:szCs w:val="32"/>
          <w:lang w:val="en-US" w:eastAsia="zh-CN"/>
        </w:rPr>
        <w:t>55</w:t>
      </w:r>
      <w:r>
        <w:rPr>
          <w:rFonts w:hint="eastAsia" w:ascii="Times New Roman" w:hAnsi="Times New Roman" w:eastAsia="仿宋_GB2312" w:cs="仿宋_GB2312"/>
          <w:sz w:val="32"/>
          <w:szCs w:val="32"/>
        </w:rPr>
        <w:t>人。现有退休人员74人，遗属人员6人。</w:t>
      </w:r>
    </w:p>
    <w:p w14:paraId="697A5937">
      <w:pPr>
        <w:ind w:firstLine="640" w:firstLineChars="20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（二）决算单位构成。湘潭县发展和改革局202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年部门决算汇总公开单位构成包括：湘潭县发展和改革局单位本级，没有其他单位，因此本部门决算仅含本级决算。</w:t>
      </w:r>
    </w:p>
    <w:p w14:paraId="4C638511">
      <w:pPr>
        <w:widowControl/>
        <w:spacing w:line="600" w:lineRule="exact"/>
        <w:ind w:firstLine="320" w:firstLineChars="100"/>
        <w:rPr>
          <w:rFonts w:ascii="仿宋" w:hAnsi="仿宋" w:eastAsia="仿宋" w:cs="仿宋"/>
          <w:bCs/>
          <w:kern w:val="0"/>
          <w:sz w:val="32"/>
          <w:szCs w:val="32"/>
        </w:rPr>
      </w:pPr>
    </w:p>
    <w:p w14:paraId="2A4141F0">
      <w:pPr>
        <w:widowControl/>
        <w:spacing w:line="600" w:lineRule="exact"/>
        <w:ind w:firstLine="320" w:firstLineChars="100"/>
        <w:rPr>
          <w:rFonts w:ascii="仿宋" w:hAnsi="仿宋" w:eastAsia="仿宋" w:cs="仿宋"/>
          <w:bCs/>
          <w:kern w:val="0"/>
          <w:sz w:val="32"/>
          <w:szCs w:val="32"/>
        </w:rPr>
      </w:pPr>
    </w:p>
    <w:p w14:paraId="19469AA3">
      <w:pPr>
        <w:jc w:val="center"/>
        <w:rPr>
          <w:rFonts w:ascii="黑体" w:hAnsi="黑体" w:eastAsia="黑体"/>
          <w:sz w:val="28"/>
          <w:szCs w:val="28"/>
        </w:rPr>
      </w:pPr>
    </w:p>
    <w:p w14:paraId="0C42AB8F">
      <w:pPr>
        <w:jc w:val="center"/>
        <w:rPr>
          <w:rFonts w:ascii="黑体" w:hAnsi="黑体" w:eastAsia="黑体"/>
          <w:sz w:val="28"/>
          <w:szCs w:val="28"/>
        </w:rPr>
      </w:pPr>
    </w:p>
    <w:p w14:paraId="41F45E28">
      <w:pPr>
        <w:jc w:val="center"/>
        <w:rPr>
          <w:rFonts w:ascii="黑体" w:hAnsi="黑体" w:eastAsia="黑体"/>
          <w:sz w:val="28"/>
          <w:szCs w:val="28"/>
        </w:rPr>
      </w:pPr>
    </w:p>
    <w:p w14:paraId="7AA96275">
      <w:pPr>
        <w:jc w:val="center"/>
        <w:rPr>
          <w:rFonts w:ascii="黑体" w:hAnsi="黑体" w:eastAsia="黑体"/>
          <w:sz w:val="28"/>
          <w:szCs w:val="28"/>
        </w:rPr>
      </w:pPr>
    </w:p>
    <w:p w14:paraId="0AE34817">
      <w:pPr>
        <w:jc w:val="center"/>
        <w:rPr>
          <w:rFonts w:ascii="黑体" w:hAnsi="黑体" w:eastAsia="黑体"/>
          <w:sz w:val="28"/>
          <w:szCs w:val="28"/>
        </w:rPr>
      </w:pPr>
    </w:p>
    <w:p w14:paraId="14012CEB">
      <w:pPr>
        <w:jc w:val="center"/>
        <w:rPr>
          <w:rFonts w:ascii="黑体" w:hAnsi="黑体" w:eastAsia="黑体"/>
          <w:sz w:val="28"/>
          <w:szCs w:val="28"/>
        </w:rPr>
      </w:pPr>
    </w:p>
    <w:p w14:paraId="07B6FD40">
      <w:pPr>
        <w:jc w:val="center"/>
        <w:rPr>
          <w:rFonts w:ascii="黑体" w:hAnsi="黑体" w:eastAsia="黑体"/>
          <w:sz w:val="28"/>
          <w:szCs w:val="28"/>
        </w:rPr>
      </w:pPr>
    </w:p>
    <w:p w14:paraId="255FB39C">
      <w:pPr>
        <w:jc w:val="center"/>
        <w:rPr>
          <w:rFonts w:ascii="黑体" w:hAnsi="黑体" w:eastAsia="黑体"/>
          <w:sz w:val="28"/>
          <w:szCs w:val="28"/>
        </w:rPr>
      </w:pPr>
    </w:p>
    <w:p w14:paraId="7A55A761">
      <w:pPr>
        <w:jc w:val="center"/>
        <w:rPr>
          <w:rFonts w:ascii="黑体" w:hAnsi="黑体" w:eastAsia="黑体"/>
          <w:sz w:val="28"/>
          <w:szCs w:val="28"/>
        </w:rPr>
      </w:pPr>
    </w:p>
    <w:p w14:paraId="64568602">
      <w:pPr>
        <w:jc w:val="center"/>
        <w:rPr>
          <w:rFonts w:ascii="黑体" w:hAnsi="黑体" w:eastAsia="黑体"/>
          <w:sz w:val="28"/>
          <w:szCs w:val="28"/>
        </w:rPr>
      </w:pPr>
    </w:p>
    <w:p w14:paraId="58AA80BA">
      <w:pPr>
        <w:jc w:val="center"/>
        <w:rPr>
          <w:sz w:val="72"/>
          <w:szCs w:val="72"/>
        </w:rPr>
      </w:pPr>
    </w:p>
    <w:p w14:paraId="01ED8E96">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第二部分</w:t>
      </w:r>
    </w:p>
    <w:p w14:paraId="3B9424D9">
      <w:pPr>
        <w:pStyle w:val="16"/>
        <w:jc w:val="center"/>
        <w:rPr>
          <w:rFonts w:hint="eastAsia" w:ascii="方正小标宋_GBK" w:hAnsi="方正小标宋_GBK" w:eastAsia="方正小标宋_GBK" w:cs="方正小标宋_GBK"/>
          <w:kern w:val="0"/>
          <w:sz w:val="84"/>
          <w:szCs w:val="84"/>
        </w:rPr>
      </w:pPr>
    </w:p>
    <w:p w14:paraId="109C9B43">
      <w:pPr>
        <w:pStyle w:val="16"/>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rPr>
        <w:t>部门决算表</w:t>
      </w:r>
    </w:p>
    <w:p w14:paraId="01F46ED1">
      <w:pPr>
        <w:pStyle w:val="16"/>
        <w:jc w:val="center"/>
        <w:rPr>
          <w:rFonts w:hint="eastAsia" w:ascii="方正小标宋_GBK" w:hAnsi="方正小标宋_GBK" w:eastAsia="方正小标宋_GBK" w:cs="方正小标宋_GBK"/>
          <w:kern w:val="0"/>
          <w:sz w:val="84"/>
          <w:szCs w:val="84"/>
        </w:rPr>
      </w:pPr>
    </w:p>
    <w:p w14:paraId="346A3767">
      <w:pPr>
        <w:jc w:val="center"/>
        <w:rPr>
          <w:sz w:val="72"/>
          <w:szCs w:val="72"/>
        </w:rPr>
      </w:pPr>
    </w:p>
    <w:p w14:paraId="29E7BE83">
      <w:pPr>
        <w:jc w:val="center"/>
        <w:rPr>
          <w:sz w:val="72"/>
          <w:szCs w:val="72"/>
        </w:rPr>
      </w:pPr>
    </w:p>
    <w:p w14:paraId="50A5B5ED">
      <w:pPr>
        <w:pStyle w:val="8"/>
        <w:rPr>
          <w:sz w:val="72"/>
          <w:szCs w:val="72"/>
        </w:rPr>
        <w:sectPr>
          <w:pgSz w:w="11906" w:h="16838"/>
          <w:pgMar w:top="1417" w:right="1587" w:bottom="1417" w:left="1587" w:header="851" w:footer="992" w:gutter="0"/>
          <w:pgBorders>
            <w:top w:val="none" w:sz="0" w:space="0"/>
            <w:left w:val="none" w:sz="0" w:space="0"/>
            <w:bottom w:val="none" w:sz="0" w:space="0"/>
            <w:right w:val="none" w:sz="0" w:space="0"/>
          </w:pgBorders>
          <w:cols w:space="425" w:num="1"/>
          <w:docGrid w:type="lines" w:linePitch="312" w:charSpace="0"/>
        </w:sectPr>
      </w:pPr>
    </w:p>
    <w:tbl>
      <w:tblPr>
        <w:tblStyle w:val="10"/>
        <w:tblW w:w="1389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15"/>
        <w:gridCol w:w="825"/>
        <w:gridCol w:w="2058"/>
        <w:gridCol w:w="3450"/>
        <w:gridCol w:w="883"/>
        <w:gridCol w:w="2067"/>
      </w:tblGrid>
      <w:tr w14:paraId="73247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3898" w:type="dxa"/>
            <w:gridSpan w:val="6"/>
            <w:tcBorders>
              <w:top w:val="nil"/>
              <w:left w:val="nil"/>
              <w:bottom w:val="nil"/>
              <w:right w:val="nil"/>
            </w:tcBorders>
            <w:shd w:val="clear" w:color="auto" w:fill="auto"/>
            <w:noWrap/>
            <w:vAlign w:val="center"/>
          </w:tcPr>
          <w:p w14:paraId="0260F0B7">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5D402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898" w:type="dxa"/>
            <w:gridSpan w:val="6"/>
            <w:tcBorders>
              <w:top w:val="nil"/>
              <w:left w:val="nil"/>
              <w:bottom w:val="nil"/>
              <w:right w:val="nil"/>
            </w:tcBorders>
            <w:shd w:val="clear" w:color="auto" w:fill="auto"/>
            <w:noWrap/>
            <w:vAlign w:val="bottom"/>
          </w:tcPr>
          <w:p w14:paraId="50989CA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0B420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898" w:type="dxa"/>
            <w:gridSpan w:val="6"/>
            <w:tcBorders>
              <w:top w:val="nil"/>
              <w:left w:val="nil"/>
              <w:bottom w:val="nil"/>
              <w:right w:val="nil"/>
            </w:tcBorders>
            <w:shd w:val="clear" w:color="auto" w:fill="auto"/>
            <w:noWrap/>
            <w:vAlign w:val="bottom"/>
          </w:tcPr>
          <w:p w14:paraId="3AA1EC44">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                                                                                                   金额单位：万元</w:t>
            </w:r>
          </w:p>
        </w:tc>
      </w:tr>
      <w:tr w14:paraId="16060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49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EE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DC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1633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5B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59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120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5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67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A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6985F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D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AF0F">
            <w:pPr>
              <w:jc w:val="center"/>
              <w:rPr>
                <w:rFonts w:hint="eastAsia" w:ascii="宋体" w:hAnsi="宋体" w:eastAsia="宋体" w:cs="宋体"/>
                <w:i w:val="0"/>
                <w:iCs w:val="0"/>
                <w:color w:val="000000"/>
                <w:sz w:val="22"/>
                <w:szCs w:val="22"/>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00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C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EE49">
            <w:pPr>
              <w:jc w:val="center"/>
              <w:rPr>
                <w:rFonts w:hint="eastAsia" w:ascii="宋体" w:hAnsi="宋体" w:eastAsia="宋体" w:cs="宋体"/>
                <w:i w:val="0"/>
                <w:iCs w:val="0"/>
                <w:color w:val="000000"/>
                <w:sz w:val="22"/>
                <w:szCs w:val="22"/>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3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56D5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BD0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2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A3F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08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1C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035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1,314.51</w:t>
            </w:r>
          </w:p>
        </w:tc>
      </w:tr>
      <w:tr w14:paraId="17ACA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43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F3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B7F21">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27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59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25D91">
            <w:pPr>
              <w:jc w:val="right"/>
              <w:rPr>
                <w:rFonts w:hint="eastAsia" w:ascii="宋体" w:hAnsi="宋体" w:eastAsia="宋体" w:cs="宋体"/>
                <w:i w:val="0"/>
                <w:iCs w:val="0"/>
                <w:color w:val="000000"/>
                <w:sz w:val="22"/>
                <w:szCs w:val="22"/>
                <w:u w:val="none"/>
              </w:rPr>
            </w:pPr>
          </w:p>
        </w:tc>
      </w:tr>
      <w:tr w14:paraId="1EE1F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41F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5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19CB">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8E7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9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69FD7">
            <w:pPr>
              <w:jc w:val="right"/>
              <w:rPr>
                <w:rFonts w:hint="eastAsia" w:ascii="宋体" w:hAnsi="宋体" w:eastAsia="宋体" w:cs="宋体"/>
                <w:i w:val="0"/>
                <w:iCs w:val="0"/>
                <w:color w:val="000000"/>
                <w:sz w:val="22"/>
                <w:szCs w:val="22"/>
                <w:u w:val="none"/>
              </w:rPr>
            </w:pPr>
          </w:p>
        </w:tc>
      </w:tr>
      <w:tr w14:paraId="05F8B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39B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D2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058B7">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22C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0B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9DA37">
            <w:pPr>
              <w:jc w:val="right"/>
              <w:rPr>
                <w:rFonts w:hint="eastAsia" w:ascii="宋体" w:hAnsi="宋体" w:eastAsia="宋体" w:cs="宋体"/>
                <w:i w:val="0"/>
                <w:iCs w:val="0"/>
                <w:color w:val="000000"/>
                <w:sz w:val="22"/>
                <w:szCs w:val="22"/>
                <w:u w:val="none"/>
              </w:rPr>
            </w:pPr>
          </w:p>
        </w:tc>
      </w:tr>
      <w:tr w14:paraId="6D63A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A88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67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7E1F">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FF7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2E0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87E0F">
            <w:pPr>
              <w:jc w:val="right"/>
              <w:rPr>
                <w:rFonts w:hint="eastAsia" w:ascii="宋体" w:hAnsi="宋体" w:eastAsia="宋体" w:cs="宋体"/>
                <w:i w:val="0"/>
                <w:iCs w:val="0"/>
                <w:color w:val="000000"/>
                <w:sz w:val="22"/>
                <w:szCs w:val="22"/>
                <w:u w:val="none"/>
              </w:rPr>
            </w:pPr>
          </w:p>
        </w:tc>
      </w:tr>
      <w:tr w14:paraId="52506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96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4A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466F5">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A47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D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568AA">
            <w:pPr>
              <w:jc w:val="right"/>
              <w:rPr>
                <w:rFonts w:hint="eastAsia" w:ascii="宋体" w:hAnsi="宋体" w:eastAsia="宋体" w:cs="宋体"/>
                <w:i w:val="0"/>
                <w:iCs w:val="0"/>
                <w:color w:val="000000"/>
                <w:sz w:val="22"/>
                <w:szCs w:val="22"/>
                <w:u w:val="none"/>
              </w:rPr>
            </w:pPr>
          </w:p>
        </w:tc>
      </w:tr>
      <w:tr w14:paraId="04CB1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736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617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7CE7E">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95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6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177B">
            <w:pPr>
              <w:jc w:val="right"/>
              <w:rPr>
                <w:rFonts w:hint="eastAsia" w:ascii="宋体" w:hAnsi="宋体" w:eastAsia="宋体" w:cs="宋体"/>
                <w:i w:val="0"/>
                <w:iCs w:val="0"/>
                <w:color w:val="000000"/>
                <w:sz w:val="22"/>
                <w:szCs w:val="22"/>
                <w:u w:val="none"/>
              </w:rPr>
            </w:pPr>
          </w:p>
        </w:tc>
      </w:tr>
      <w:tr w14:paraId="7A898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B0F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D4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DF6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214.72</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D36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FB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5C3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r>
      <w:tr w14:paraId="19925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568BF">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5C4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A1BF">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D5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9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B4B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r>
      <w:tr w14:paraId="409BE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78D64">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8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B0613">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2A8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44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D1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483.64</w:t>
            </w:r>
          </w:p>
        </w:tc>
      </w:tr>
      <w:tr w14:paraId="51DF1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4A865">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6C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AE19D">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48F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DA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77E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r>
      <w:tr w14:paraId="39E4C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F2E8F">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76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F2FB4">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EAC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8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DD96A">
            <w:pPr>
              <w:jc w:val="right"/>
              <w:rPr>
                <w:rFonts w:hint="eastAsia" w:ascii="宋体" w:hAnsi="宋体" w:eastAsia="宋体" w:cs="宋体"/>
                <w:i w:val="0"/>
                <w:iCs w:val="0"/>
                <w:color w:val="000000"/>
                <w:sz w:val="22"/>
                <w:szCs w:val="22"/>
                <w:u w:val="none"/>
              </w:rPr>
            </w:pPr>
          </w:p>
        </w:tc>
      </w:tr>
      <w:tr w14:paraId="798F6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CA60">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F4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F1A9">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C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D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F0E2C">
            <w:pPr>
              <w:jc w:val="right"/>
              <w:rPr>
                <w:rFonts w:hint="eastAsia" w:ascii="宋体" w:hAnsi="宋体" w:eastAsia="宋体" w:cs="宋体"/>
                <w:i w:val="0"/>
                <w:iCs w:val="0"/>
                <w:color w:val="000000"/>
                <w:sz w:val="22"/>
                <w:szCs w:val="22"/>
                <w:u w:val="none"/>
              </w:rPr>
            </w:pPr>
          </w:p>
        </w:tc>
      </w:tr>
      <w:tr w14:paraId="4738E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B4C2">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82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96CD">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69E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44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387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r>
      <w:tr w14:paraId="6C07C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F3B8">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95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5D64F">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E3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A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7E5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r>
      <w:tr w14:paraId="122C2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C2242">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F25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0728D">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1C4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2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9A071">
            <w:pPr>
              <w:jc w:val="right"/>
              <w:rPr>
                <w:rFonts w:hint="eastAsia" w:ascii="宋体" w:hAnsi="宋体" w:eastAsia="宋体" w:cs="宋体"/>
                <w:i w:val="0"/>
                <w:iCs w:val="0"/>
                <w:color w:val="000000"/>
                <w:sz w:val="22"/>
                <w:szCs w:val="22"/>
                <w:u w:val="none"/>
              </w:rPr>
            </w:pPr>
          </w:p>
        </w:tc>
      </w:tr>
      <w:tr w14:paraId="522A2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CC39">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0C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0EDF2">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4F5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33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1FED2">
            <w:pPr>
              <w:jc w:val="right"/>
              <w:rPr>
                <w:rFonts w:hint="eastAsia" w:ascii="宋体" w:hAnsi="宋体" w:eastAsia="宋体" w:cs="宋体"/>
                <w:i w:val="0"/>
                <w:iCs w:val="0"/>
                <w:color w:val="000000"/>
                <w:sz w:val="22"/>
                <w:szCs w:val="22"/>
                <w:u w:val="none"/>
              </w:rPr>
            </w:pPr>
          </w:p>
        </w:tc>
      </w:tr>
      <w:tr w14:paraId="0F23F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F7BC">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749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E4E38">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5AD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34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7E9D">
            <w:pPr>
              <w:jc w:val="right"/>
              <w:rPr>
                <w:rFonts w:hint="eastAsia" w:ascii="宋体" w:hAnsi="宋体" w:eastAsia="宋体" w:cs="宋体"/>
                <w:i w:val="0"/>
                <w:iCs w:val="0"/>
                <w:color w:val="000000"/>
                <w:sz w:val="22"/>
                <w:szCs w:val="22"/>
                <w:u w:val="none"/>
              </w:rPr>
            </w:pPr>
          </w:p>
        </w:tc>
      </w:tr>
      <w:tr w14:paraId="54046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58D0B">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3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E6E8F">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AEA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5D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B5C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r>
      <w:tr w14:paraId="36C83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4A7B2">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4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EE47B">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FAC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F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43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r>
      <w:tr w14:paraId="44705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9CA0B">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C08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9729">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138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EF6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2EE0F">
            <w:pPr>
              <w:jc w:val="right"/>
              <w:rPr>
                <w:rFonts w:hint="eastAsia" w:ascii="宋体" w:hAnsi="宋体" w:eastAsia="宋体" w:cs="宋体"/>
                <w:i w:val="0"/>
                <w:iCs w:val="0"/>
                <w:color w:val="000000"/>
                <w:sz w:val="22"/>
                <w:szCs w:val="22"/>
                <w:u w:val="none"/>
              </w:rPr>
            </w:pPr>
          </w:p>
        </w:tc>
      </w:tr>
      <w:tr w14:paraId="2ED34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FEB9B">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8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A311D">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004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53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DAB8">
            <w:pPr>
              <w:jc w:val="right"/>
              <w:rPr>
                <w:rFonts w:hint="eastAsia" w:ascii="宋体" w:hAnsi="宋体" w:eastAsia="宋体" w:cs="宋体"/>
                <w:i w:val="0"/>
                <w:iCs w:val="0"/>
                <w:color w:val="000000"/>
                <w:sz w:val="22"/>
                <w:szCs w:val="22"/>
                <w:u w:val="none"/>
              </w:rPr>
            </w:pPr>
          </w:p>
        </w:tc>
      </w:tr>
      <w:tr w14:paraId="73B23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A0843">
            <w:pPr>
              <w:jc w:val="left"/>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4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51457">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77A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B2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3E925">
            <w:pPr>
              <w:jc w:val="right"/>
              <w:rPr>
                <w:rFonts w:hint="eastAsia" w:ascii="宋体" w:hAnsi="宋体" w:eastAsia="宋体" w:cs="宋体"/>
                <w:i w:val="0"/>
                <w:iCs w:val="0"/>
                <w:color w:val="000000"/>
                <w:sz w:val="22"/>
                <w:szCs w:val="22"/>
                <w:u w:val="none"/>
              </w:rPr>
            </w:pPr>
          </w:p>
        </w:tc>
      </w:tr>
      <w:tr w14:paraId="42F28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D01FF">
            <w:pPr>
              <w:jc w:val="center"/>
              <w:rPr>
                <w:rFonts w:hint="eastAsia" w:ascii="宋体" w:hAnsi="宋体" w:eastAsia="宋体" w:cs="宋体"/>
                <w:b/>
                <w:bCs/>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7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AF40A">
            <w:pPr>
              <w:jc w:val="right"/>
              <w:rPr>
                <w:rFonts w:hint="eastAsia" w:ascii="宋体" w:hAnsi="宋体" w:eastAsia="宋体" w:cs="宋体"/>
                <w:i w:val="0"/>
                <w:iCs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93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64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76237">
            <w:pPr>
              <w:jc w:val="right"/>
              <w:rPr>
                <w:rFonts w:hint="eastAsia" w:ascii="宋体" w:hAnsi="宋体" w:eastAsia="宋体" w:cs="宋体"/>
                <w:i w:val="0"/>
                <w:iCs w:val="0"/>
                <w:color w:val="000000"/>
                <w:sz w:val="22"/>
                <w:szCs w:val="22"/>
                <w:u w:val="none"/>
              </w:rPr>
            </w:pPr>
          </w:p>
        </w:tc>
      </w:tr>
      <w:tr w14:paraId="1C170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8AA0">
            <w:pPr>
              <w:jc w:val="lef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D1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23A59">
            <w:pPr>
              <w:jc w:val="right"/>
              <w:rPr>
                <w:rFonts w:hint="eastAsia" w:ascii="宋体" w:hAnsi="宋体" w:eastAsia="宋体" w:cs="宋体"/>
                <w:i w:val="0"/>
                <w:iCs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773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4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B6F94">
            <w:pPr>
              <w:jc w:val="right"/>
              <w:rPr>
                <w:rFonts w:hint="eastAsia" w:ascii="宋体" w:hAnsi="宋体" w:eastAsia="宋体" w:cs="宋体"/>
                <w:i w:val="0"/>
                <w:iCs w:val="0"/>
                <w:color w:val="000000"/>
                <w:sz w:val="22"/>
                <w:szCs w:val="22"/>
                <w:u w:val="none"/>
              </w:rPr>
            </w:pPr>
          </w:p>
        </w:tc>
      </w:tr>
      <w:tr w14:paraId="27D51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62D8">
            <w:pPr>
              <w:jc w:val="lef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DB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47C3B">
            <w:pPr>
              <w:jc w:val="right"/>
              <w:rPr>
                <w:rFonts w:hint="eastAsia" w:ascii="宋体" w:hAnsi="宋体" w:eastAsia="宋体" w:cs="宋体"/>
                <w:i w:val="0"/>
                <w:iCs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6A9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D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D084">
            <w:pPr>
              <w:jc w:val="right"/>
              <w:rPr>
                <w:rFonts w:hint="eastAsia" w:ascii="宋体" w:hAnsi="宋体" w:eastAsia="宋体" w:cs="宋体"/>
                <w:i w:val="0"/>
                <w:iCs w:val="0"/>
                <w:color w:val="000000"/>
                <w:sz w:val="22"/>
                <w:szCs w:val="22"/>
                <w:u w:val="none"/>
              </w:rPr>
            </w:pPr>
          </w:p>
        </w:tc>
      </w:tr>
      <w:tr w14:paraId="60F3B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6F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48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1F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7,580.31</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08A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7A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82E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7,801.08</w:t>
            </w:r>
          </w:p>
        </w:tc>
      </w:tr>
      <w:tr w14:paraId="6927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879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9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8F622">
            <w:pPr>
              <w:jc w:val="right"/>
              <w:rPr>
                <w:rFonts w:hint="eastAsia" w:ascii="宋体" w:hAnsi="宋体" w:eastAsia="宋体" w:cs="宋体"/>
                <w:i w:val="0"/>
                <w:iCs w:val="0"/>
                <w:color w:val="000000"/>
                <w:sz w:val="22"/>
                <w:szCs w:val="22"/>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705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31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4B8A4">
            <w:pPr>
              <w:jc w:val="right"/>
              <w:rPr>
                <w:rFonts w:hint="eastAsia" w:ascii="宋体" w:hAnsi="宋体" w:eastAsia="宋体" w:cs="宋体"/>
                <w:i w:val="0"/>
                <w:iCs w:val="0"/>
                <w:color w:val="000000"/>
                <w:sz w:val="22"/>
                <w:szCs w:val="22"/>
                <w:u w:val="none"/>
              </w:rPr>
            </w:pPr>
          </w:p>
        </w:tc>
      </w:tr>
      <w:tr w14:paraId="2C269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62F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2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2C3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559.36</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575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B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0B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338.59</w:t>
            </w:r>
          </w:p>
        </w:tc>
      </w:tr>
      <w:tr w14:paraId="0A111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02A0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AF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38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8,139.68</w:t>
            </w:r>
          </w:p>
        </w:tc>
        <w:tc>
          <w:tcPr>
            <w:tcW w:w="3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80A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D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36B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8,139.68</w:t>
            </w:r>
          </w:p>
        </w:tc>
      </w:tr>
      <w:tr w14:paraId="2FC27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898" w:type="dxa"/>
            <w:gridSpan w:val="6"/>
            <w:tcBorders>
              <w:top w:val="nil"/>
              <w:left w:val="nil"/>
              <w:bottom w:val="nil"/>
              <w:right w:val="nil"/>
            </w:tcBorders>
            <w:shd w:val="clear" w:color="auto" w:fill="auto"/>
            <w:noWrap/>
            <w:vAlign w:val="center"/>
          </w:tcPr>
          <w:p w14:paraId="1C8285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01674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898" w:type="dxa"/>
            <w:gridSpan w:val="6"/>
            <w:tcBorders>
              <w:top w:val="nil"/>
              <w:left w:val="nil"/>
              <w:bottom w:val="nil"/>
              <w:right w:val="nil"/>
            </w:tcBorders>
            <w:shd w:val="clear" w:color="auto" w:fill="auto"/>
            <w:noWrap/>
            <w:vAlign w:val="center"/>
          </w:tcPr>
          <w:p w14:paraId="04FD28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6F73C7F3">
      <w:pPr>
        <w:pStyle w:val="4"/>
        <w:ind w:left="0" w:leftChars="0" w:firstLine="0" w:firstLineChars="0"/>
      </w:pPr>
    </w:p>
    <w:p w14:paraId="38E7A1B9">
      <w:pPr>
        <w:pStyle w:val="4"/>
        <w:rPr>
          <w:sz w:val="72"/>
          <w:szCs w:val="72"/>
        </w:rPr>
      </w:pPr>
    </w:p>
    <w:p w14:paraId="3F6650B2">
      <w:pPr>
        <w:rPr>
          <w:sz w:val="72"/>
          <w:szCs w:val="72"/>
        </w:rPr>
      </w:pPr>
    </w:p>
    <w:p w14:paraId="3501C31D">
      <w:pPr>
        <w:pStyle w:val="8"/>
        <w:rPr>
          <w:sz w:val="72"/>
          <w:szCs w:val="72"/>
        </w:rPr>
      </w:pPr>
    </w:p>
    <w:p w14:paraId="7C1AC3FE">
      <w:pPr>
        <w:pStyle w:val="4"/>
      </w:pPr>
    </w:p>
    <w:tbl>
      <w:tblPr>
        <w:tblStyle w:val="10"/>
        <w:tblW w:w="1419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9"/>
        <w:gridCol w:w="34"/>
        <w:gridCol w:w="1965"/>
        <w:gridCol w:w="493"/>
        <w:gridCol w:w="1327"/>
        <w:gridCol w:w="157"/>
        <w:gridCol w:w="1273"/>
        <w:gridCol w:w="215"/>
        <w:gridCol w:w="1058"/>
        <w:gridCol w:w="430"/>
        <w:gridCol w:w="373"/>
        <w:gridCol w:w="470"/>
        <w:gridCol w:w="23"/>
        <w:gridCol w:w="622"/>
        <w:gridCol w:w="600"/>
        <w:gridCol w:w="28"/>
        <w:gridCol w:w="860"/>
        <w:gridCol w:w="320"/>
        <w:gridCol w:w="14"/>
        <w:gridCol w:w="79"/>
        <w:gridCol w:w="364"/>
        <w:gridCol w:w="711"/>
        <w:gridCol w:w="67"/>
        <w:gridCol w:w="131"/>
        <w:gridCol w:w="1217"/>
        <w:gridCol w:w="60"/>
        <w:gridCol w:w="18"/>
      </w:tblGrid>
      <w:tr w14:paraId="79EB9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 w:type="dxa"/>
          <w:trHeight w:val="667" w:hRule="atLeast"/>
        </w:trPr>
        <w:tc>
          <w:tcPr>
            <w:tcW w:w="14180" w:type="dxa"/>
            <w:gridSpan w:val="26"/>
            <w:shd w:val="clear" w:color="auto" w:fill="auto"/>
            <w:noWrap/>
            <w:vAlign w:val="center"/>
          </w:tcPr>
          <w:p w14:paraId="6839D58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4B0E5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333" w:hRule="atLeast"/>
        </w:trPr>
        <w:tc>
          <w:tcPr>
            <w:tcW w:w="14180" w:type="dxa"/>
            <w:gridSpan w:val="26"/>
            <w:shd w:val="clear" w:color="auto" w:fill="auto"/>
            <w:noWrap/>
            <w:vAlign w:val="bottom"/>
          </w:tcPr>
          <w:p w14:paraId="7F393CD0">
            <w:pPr>
              <w:keepNext w:val="0"/>
              <w:keepLines w:val="0"/>
              <w:pageBreakBefore w:val="0"/>
              <w:widowControl/>
              <w:suppressLineNumbers w:val="0"/>
              <w:kinsoku/>
              <w:wordWrap/>
              <w:overflowPunct/>
              <w:topLinePunct w:val="0"/>
              <w:autoSpaceDE/>
              <w:autoSpaceDN/>
              <w:bidi w:val="0"/>
              <w:adjustRightInd/>
              <w:snapToGrid/>
              <w:spacing w:line="240" w:lineRule="auto"/>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070C4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336" w:hRule="atLeast"/>
        </w:trPr>
        <w:tc>
          <w:tcPr>
            <w:tcW w:w="14180" w:type="dxa"/>
            <w:gridSpan w:val="26"/>
            <w:tcBorders>
              <w:bottom w:val="single" w:color="auto" w:sz="4" w:space="0"/>
            </w:tcBorders>
            <w:shd w:val="clear" w:color="auto" w:fill="auto"/>
            <w:noWrap/>
            <w:vAlign w:val="bottom"/>
          </w:tcPr>
          <w:p w14:paraId="11950E43">
            <w:pPr>
              <w:keepNext w:val="0"/>
              <w:keepLines w:val="0"/>
              <w:pageBreakBefore w:val="0"/>
              <w:kinsoku/>
              <w:wordWrap/>
              <w:overflowPunct/>
              <w:topLinePunct w:val="0"/>
              <w:autoSpaceDE/>
              <w:autoSpaceDN/>
              <w:bidi w:val="0"/>
              <w:adjustRightInd/>
              <w:snapToGrid/>
              <w:spacing w:line="240" w:lineRule="auto"/>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                                                                                                      金额单位：万元</w:t>
            </w:r>
          </w:p>
        </w:tc>
      </w:tr>
      <w:tr w14:paraId="60C01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5265"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5E5CD8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3714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27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58CD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73"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71372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273"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A1981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273"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9E8C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273"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8960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27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82AB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8B2C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vAlign w:val="center"/>
          </w:tcPr>
          <w:p w14:paraId="47BF07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7F1C1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6C327D">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3A8752">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3"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5B8CAA">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3"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46FDAB">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3"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4145BB">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3"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2A1A29">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277"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2188E1">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25595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5265"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75FE5E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14:paraId="5D4902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4250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9644B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FC337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263B0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2E7B72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1E02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005F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5265"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08BCAB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54850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7,580.31</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9A4575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7,365.59</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AEC4C0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D3FF3D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313977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D35DA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EB1538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214.72</w:t>
            </w:r>
          </w:p>
        </w:tc>
      </w:tr>
      <w:tr w14:paraId="1E318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631E2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5A2453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2040D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1,244.38</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FF1285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1,212.66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802CAB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FE8A05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F2EBD6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D2A552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3569AC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31.72</w:t>
            </w:r>
          </w:p>
        </w:tc>
      </w:tr>
      <w:tr w14:paraId="7A447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CE72C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B41F4C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48183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506ED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052A96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587C4E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71CF57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F1EEE5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AFABEB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0CF86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3FE6D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6397A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F84D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EBD1C9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DC1163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D98F54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842B57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254C85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CDFC05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0A445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6315C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C9C234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B7E3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1,221.07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8D8416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1,210.35</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1E19A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A3D98A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467E1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6D756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5CD403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10.72</w:t>
            </w:r>
          </w:p>
        </w:tc>
      </w:tr>
      <w:tr w14:paraId="069E3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E931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C001B8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306C8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546.14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ECE7C2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536.46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01DE03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D66905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AB9E9C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A567C8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8CE7E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9.68</w:t>
            </w:r>
          </w:p>
        </w:tc>
      </w:tr>
      <w:tr w14:paraId="16F67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18E29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E4C29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2AAC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351.03</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3A005C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349.99</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C46613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547D80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D7A2C6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18F22C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DD49EF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14:paraId="7FEF4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7E0E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2010404</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71B46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战略规划与实施</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37D1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883686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FBE089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DAF3C1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0CB978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F2226A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A227E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B599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8320D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2010406</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ABD8E1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社会事业发展规划</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58257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284CE8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C08A8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BC2209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2C3AF5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316CC3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BCA823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03D7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B7A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2010408</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AB16F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物价管理</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3ABE6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657177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B64EBF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0C53FC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3BC49E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C7F0CD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A5D4C7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BE37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2524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71EC9C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17FD6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154.57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6A6187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154.57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D84ABF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72069F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6331F8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E74878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2EB790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54FD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E8008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5C791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档案事务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2A6A0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4ACA42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BF531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17602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354FB3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AB065A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C965CB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661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07EA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2012602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F6432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E6E9F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71F7D4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DE567E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672520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7A91BD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6F21CF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24092C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90B2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13CF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A1FF49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43A65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4A4E1B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91BA9A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26F405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621C3A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812641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05CD1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14:paraId="481D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8936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3DBC8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8E0CB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2831A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F2E7C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AFA553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7D034D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1D6B9C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E1A1E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14:paraId="57B5F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DAF7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514396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B93D9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59223B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9F642B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963C70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1CE5B4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888E8D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C6AE25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5FCA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E68B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146DA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D09D5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E02614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F0C0F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AF4D4C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EB283B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A8353E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EF1A02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09E1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516"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00C7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76C3B0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CAAF9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95336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D2120F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D72FB5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95E1D3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42EC35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39A8AD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36A0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7518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E4AB09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57F18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2DEECC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2EF2E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DC0EE8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13CAD9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4E64CD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466141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5BE2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09E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236E3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981CB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AB1AFF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49AEF8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BDA58D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4EAA34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81484A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965D43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A09B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9105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1F0BC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B40C5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66ED5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987D86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8DFDD8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3C3BF4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531DEA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6F6AE7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2A1E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01389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0666A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13346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4C9521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D8643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1EE17C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F375A2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830FD5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B44DB2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0229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07155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C7DF68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8F44F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4FBE03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179B2C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44E564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FCBBAF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B3A53D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E8812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CD99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C08A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CC298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6BE2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DB94CE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E59BA7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A01D17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9C1551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12CEAF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75DB5F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0D10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34D3B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D68B6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FD829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2088A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AF2C1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3643F4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8C0BAB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A332CE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46ACE0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183.00</w:t>
            </w:r>
          </w:p>
        </w:tc>
      </w:tr>
      <w:tr w14:paraId="06000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C6E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DB3C3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环境保护管理事务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A8A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E0C9BC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C1939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20F48A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470E3C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46C382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5A1A4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183.00</w:t>
            </w:r>
          </w:p>
        </w:tc>
      </w:tr>
      <w:tr w14:paraId="1146A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6AB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2110199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D2F37F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D006B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711965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D7F28A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991057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A19053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E8DDE6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01C506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183.00</w:t>
            </w:r>
          </w:p>
        </w:tc>
      </w:tr>
      <w:tr w14:paraId="51688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F94B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9329E3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52E9F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BB52C2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214FB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DA4BB4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D24C4C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A480EF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3FF5CE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2A2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A234C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4DA67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B4F67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D1E7B0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47E92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738105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6FF51D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0811C9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CB4B36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4C31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5DDC7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E6991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445F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D0777A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3BE914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E8894E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409055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DB34F2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995B2A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BC3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B77F0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73207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0DB7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0439BE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FA2354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AF0817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27EEF0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C329E3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195AE6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00CA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13EF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9207A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3C08F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3489A3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F8A768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7341E8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1316E5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1299F4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5E55D5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009C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2A24A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718AE1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DF669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FD956E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22E1F2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C93FD7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393334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1856FE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1E4F9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3B01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A4775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8D5B98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64E4B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A66D81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35E9A7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6B9C51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CE66B7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AAF5C6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1E20B6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9E7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A753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2150805</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6D8513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中小企业发展专项</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66553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2C1117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BFB12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8ECF23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DB01A5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7891DB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D253EC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A5D5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245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0627C5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57C4F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3C1800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4889F1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1E0AC1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4B5F6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BFD9E0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9D3E50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BAAB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B3D55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74312D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AED7A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98A0CA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7038F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54A544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646090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24A6D2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89B170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4753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D5A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1B9E9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商业服务业等支出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127D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E8D64D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9B5C28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7E32C2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8624F8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6BA64C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F60B6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494C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6DDC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AE7741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BA09A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888615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EC54D0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D65BC8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9EE8E3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0CE63C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06A442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9709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DC096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A4696A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2DBAD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7E8F6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C8BB29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FD5BE5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65034D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619469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556A50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BFF7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1876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24371F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1C6DD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07CCE4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5109A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E65B15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C7D0DC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A407E7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8BA3A0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5067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6A96D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39F3E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87E1F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9D62FC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A15923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FD6F8A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3EE8E6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C8955C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F8DC72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5D28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66F1D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D2B7D9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177B2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79A900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7B020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9D12DF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06D6A2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7DE609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E2001C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F19B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F53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25CF5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粮油物资储备支出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A78E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13F7FC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8FF25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E32514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32073B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65D2F9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128F96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BB6D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862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CFB010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粮油物资事务</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30AC9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B5E543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8F3F57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D26516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AAFCC36">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74AEB7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19ABF8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5975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B58D4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2220115</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79D59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粮食风险基金</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9FF0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83C39D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AB24CF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9FDC2A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3C05B0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1DAF95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514A18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7FD0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6CF57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9AE76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F6157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D9AA8D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977F9C">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232B4A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4E1150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0064493">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D3628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C591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36C8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9CF55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粮油储备</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5EF68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77370F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3F863A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DA2BD7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AC2CD4B">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03A4392">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248232F">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CE7A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D9F43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2220401</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5DDFA9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储备粮油补贴</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8609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A6AEDF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6EE619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99293B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D0FB145">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D8F248E">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6C7A35D">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619A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5C12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2220402</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9AF06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储备粮油差价补贴</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3797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226273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DCBF9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349BFF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A17DE38">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69B81D7">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94FAC14">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59DF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2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9F2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2220499</w:t>
            </w:r>
          </w:p>
        </w:tc>
        <w:tc>
          <w:tcPr>
            <w:tcW w:w="397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DCFB3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其他粮油储备支出</w:t>
            </w:r>
          </w:p>
        </w:tc>
        <w:tc>
          <w:tcPr>
            <w:tcW w:w="12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40E91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c>
          <w:tcPr>
            <w:tcW w:w="12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E4062E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c>
          <w:tcPr>
            <w:tcW w:w="12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4AACB31">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D0B24FA">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E6D22F9">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1001E2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2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74C6D90">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02B7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272" w:hRule="atLeast"/>
        </w:trPr>
        <w:tc>
          <w:tcPr>
            <w:tcW w:w="14180" w:type="dxa"/>
            <w:gridSpan w:val="26"/>
            <w:tcBorders>
              <w:top w:val="single" w:color="auto" w:sz="4" w:space="0"/>
            </w:tcBorders>
            <w:shd w:val="clear" w:color="auto" w:fill="auto"/>
            <w:noWrap/>
            <w:vAlign w:val="center"/>
          </w:tcPr>
          <w:p w14:paraId="21F732C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r w14:paraId="030DF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14198" w:type="dxa"/>
            <w:gridSpan w:val="27"/>
            <w:tcBorders>
              <w:top w:val="nil"/>
              <w:left w:val="nil"/>
              <w:bottom w:val="nil"/>
              <w:right w:val="nil"/>
            </w:tcBorders>
            <w:shd w:val="clear" w:color="auto" w:fill="auto"/>
            <w:noWrap/>
            <w:vAlign w:val="center"/>
          </w:tcPr>
          <w:p w14:paraId="10ABBD0E">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0C471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4198" w:type="dxa"/>
            <w:gridSpan w:val="27"/>
            <w:tcBorders>
              <w:top w:val="nil"/>
              <w:left w:val="nil"/>
              <w:bottom w:val="nil"/>
              <w:right w:val="nil"/>
            </w:tcBorders>
            <w:shd w:val="clear" w:color="auto" w:fill="auto"/>
            <w:noWrap/>
            <w:vAlign w:val="bottom"/>
          </w:tcPr>
          <w:p w14:paraId="3F9BB572">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177A9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1537" w:type="dxa"/>
            <w:gridSpan w:val="18"/>
            <w:tcBorders>
              <w:top w:val="nil"/>
              <w:left w:val="nil"/>
              <w:bottom w:val="nil"/>
              <w:right w:val="nil"/>
            </w:tcBorders>
            <w:shd w:val="clear" w:color="auto" w:fill="auto"/>
            <w:noWrap/>
            <w:vAlign w:val="bottom"/>
          </w:tcPr>
          <w:p w14:paraId="4C7BD9D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w:t>
            </w:r>
          </w:p>
        </w:tc>
        <w:tc>
          <w:tcPr>
            <w:tcW w:w="2661" w:type="dxa"/>
            <w:gridSpan w:val="9"/>
            <w:tcBorders>
              <w:top w:val="nil"/>
              <w:left w:val="nil"/>
              <w:bottom w:val="nil"/>
              <w:right w:val="nil"/>
            </w:tcBorders>
            <w:shd w:val="clear" w:color="auto" w:fill="auto"/>
            <w:noWrap/>
            <w:vAlign w:val="bottom"/>
          </w:tcPr>
          <w:p w14:paraId="1FA5F0F4">
            <w:pPr>
              <w:keepNext w:val="0"/>
              <w:keepLines w:val="0"/>
              <w:widowControl/>
              <w:suppressLineNumbers w:val="0"/>
              <w:ind w:firstLine="600" w:firstLineChars="30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874D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526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C0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4DB6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4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5DA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4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8205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4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727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88"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3E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493"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3B28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2B24B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D029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4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41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11D2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8B925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13A4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F195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6A7B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9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BF42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3E53A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0199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94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0C02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922E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2736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4535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8B74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FE2F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9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C50E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19E04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9503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94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F0A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69D6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6F82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EFBF5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AF07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8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749A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49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C79D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075D2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526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C5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D37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049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552D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1228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50F3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1446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0B06A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526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BDD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10F1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7,801.08</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43F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984.53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335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6,816.55</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11F9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EFA4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73DD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b/>
                <w:bCs/>
                <w:i w:val="0"/>
                <w:iCs w:val="0"/>
                <w:color w:val="000000"/>
                <w:sz w:val="22"/>
                <w:szCs w:val="22"/>
                <w:u w:val="none"/>
              </w:rPr>
            </w:pPr>
          </w:p>
        </w:tc>
      </w:tr>
      <w:tr w14:paraId="7F97C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16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2C48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7E5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1,314.51</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31D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732.83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487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581.68</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45C2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4A7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E8B6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08EE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756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7E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9C7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8C6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0412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C4B3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B08E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D2C2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1C35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88AB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A3D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6F0A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0964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C5C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313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88E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051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B5CC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45D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72E5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F049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1,276.20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38F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732.83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F71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543.37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48CF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E0F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1FEF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1DDC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4A8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6E2A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86EC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560.20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BDC7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560.20</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119D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CC47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2A2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9968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0569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4B2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CC5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6201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357.09</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FEA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0658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357.09</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BA51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B43F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7CFB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85A9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55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2010404</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C45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战略规划与实施</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B9D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96F1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781E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283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D05D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8E7F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FBF1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C46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2010406</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E6D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社会事业发展规划</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9A69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86A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ECE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8F6D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713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78B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D955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BF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2010408</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A7A0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物价管理</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7202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ABAF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0984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331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D43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750A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BA21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08C7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9F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072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189.58</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AA55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147.63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86BA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41.95</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69F3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B00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80CE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D636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72D8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513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档案事务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29F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F375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7C2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D32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681B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F76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12BC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9AC2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2012602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30B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45A1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58C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8910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EBE7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E810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318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9B83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68B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CBD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01CC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E84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8BCD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95C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6D5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0A60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527C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F011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4C8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8E5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F9E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A0C4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2B0C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CDC8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F536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179D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49AE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0C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7DE0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D94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0F2E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896F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F25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9B0B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2D3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DBAE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E479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ABC7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6F36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F8F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D541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802D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7565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32AE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8C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20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FE4F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0F3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87C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120D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B80C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3E2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A0FC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9D9D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91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ECEF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FC4A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A85D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0CD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0192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81D5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D90D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7F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F7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C6E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5350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0B06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908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824E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AC2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F304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33D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A6E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3EA9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BD1F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2E8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F4B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E729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72DE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DB5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8D8C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D4D3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3FC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8706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E15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58E3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FB3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7744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389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A4C8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34FF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B07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4B9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FCB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C60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B8C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3629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430E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9AC3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6264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677E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325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6C66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C5D7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D841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5F8F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65D7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CE8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4BA5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F70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483.64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8A5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3EE6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483.64</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4A7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4BD3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9151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C1CE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F5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F4A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环境保护管理事务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4A7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52D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2EF9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76.64</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D23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A27C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765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8407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3A88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2110199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0A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F94C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76.64</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DBF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C2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76.64</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28AC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AF00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2B80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BF76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2A1E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21104</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115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自然生态保护</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00F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CE7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6E5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1DA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63B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5924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4F86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291D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2110401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451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生态保护</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DC9E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069E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1209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E8F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9D1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A3E2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D13C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EF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EFF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707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D888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C3C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40C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9508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52AC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B20B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DC6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27B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8D4A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1A13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74FC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850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6910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F17C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1422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AC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61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DF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21AE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1FA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8D3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B0F5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E0B8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0D4F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A1D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E3F1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19C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3E4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135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6DE3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AA1D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025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B0DC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04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D57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902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5CD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A80F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FE5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604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48C5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C9A8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CBC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B2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72F1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C753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C686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D0E0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B7B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66AC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9A60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66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15EC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9949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3B8C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47D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03FA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063B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BF5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2DBD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CDC3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2150805</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530B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中小企业发展专项</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F92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5A4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94D3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6A42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FDC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B95B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382C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0D7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2FFE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B68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A86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5404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913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00984">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4749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77C9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39B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AA8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52C3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FE27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B8F9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2BCA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214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C58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5D25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1B6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C9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商业服务业等支出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6091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E3EF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4A3A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042E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1BB6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8B59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31DE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D98C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482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8C3C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D49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EA9D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A981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578B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B7D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9F71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E02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6BB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00E2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F52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1826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2E6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641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337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AC71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E54C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1B0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9B2C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7B4F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100F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F2DB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AF5E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86E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5770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139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43B1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1C93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2B72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8FE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EF9F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A931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D5E8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2EC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FD0C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87B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12F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9A05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FAB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45D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8BC5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02E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0CE7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78E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18EB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粮油物资储备支出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5706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E8D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BD0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9FA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2211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467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99F5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904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877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粮油物资事务</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83E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7AD3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CFEE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A0C3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7F95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B9DF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B966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B80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2220115</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A66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粮食风险基金</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91DE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CAEC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8B0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8D9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7FD2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C465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B9E8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6D8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041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1E75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F036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D380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15B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AF9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28A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C140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11F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5721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粮油储备</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3A7B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3F8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820E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E3CC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F598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D2F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D5CC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E9D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2220401</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D7B5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储备粮油补贴</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048A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065C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43E2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C2A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AA44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1112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08B51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C00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2220402</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82FC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储备粮油差价补贴</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149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86DF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3D3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E4CD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AAC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6EE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40F33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2BB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2220499</w:t>
            </w:r>
          </w:p>
        </w:tc>
        <w:tc>
          <w:tcPr>
            <w:tcW w:w="39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BDF0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其他粮油储备支出</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5A4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c>
          <w:tcPr>
            <w:tcW w:w="14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583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21C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2B5A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2B28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14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AE9A">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3322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14198" w:type="dxa"/>
            <w:gridSpan w:val="27"/>
            <w:tcBorders>
              <w:top w:val="nil"/>
              <w:left w:val="nil"/>
              <w:bottom w:val="nil"/>
              <w:right w:val="nil"/>
            </w:tcBorders>
            <w:shd w:val="clear" w:color="auto" w:fill="auto"/>
            <w:noWrap/>
            <w:vAlign w:val="center"/>
          </w:tcPr>
          <w:p w14:paraId="73DC965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r w14:paraId="7F940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651" w:hRule="atLeast"/>
        </w:trPr>
        <w:tc>
          <w:tcPr>
            <w:tcW w:w="14120" w:type="dxa"/>
            <w:gridSpan w:val="25"/>
            <w:tcBorders>
              <w:top w:val="nil"/>
              <w:left w:val="nil"/>
              <w:bottom w:val="nil"/>
              <w:right w:val="nil"/>
            </w:tcBorders>
            <w:shd w:val="clear" w:color="auto" w:fill="auto"/>
            <w:noWrap/>
            <w:vAlign w:val="center"/>
          </w:tcPr>
          <w:p w14:paraId="0335CA83">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7D215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25" w:hRule="atLeast"/>
        </w:trPr>
        <w:tc>
          <w:tcPr>
            <w:tcW w:w="14120" w:type="dxa"/>
            <w:gridSpan w:val="25"/>
            <w:tcBorders>
              <w:top w:val="nil"/>
              <w:left w:val="nil"/>
              <w:bottom w:val="nil"/>
              <w:right w:val="nil"/>
            </w:tcBorders>
            <w:shd w:val="clear" w:color="auto" w:fill="auto"/>
            <w:noWrap/>
            <w:vAlign w:val="bottom"/>
          </w:tcPr>
          <w:p w14:paraId="00EDB80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7BF7D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25" w:hRule="atLeast"/>
        </w:trPr>
        <w:tc>
          <w:tcPr>
            <w:tcW w:w="11994" w:type="dxa"/>
            <w:gridSpan w:val="21"/>
            <w:tcBorders>
              <w:top w:val="nil"/>
              <w:left w:val="nil"/>
              <w:bottom w:val="nil"/>
              <w:right w:val="nil"/>
            </w:tcBorders>
            <w:shd w:val="clear" w:color="auto" w:fill="auto"/>
            <w:noWrap/>
            <w:vAlign w:val="bottom"/>
          </w:tcPr>
          <w:p w14:paraId="22A348D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w:t>
            </w:r>
          </w:p>
        </w:tc>
        <w:tc>
          <w:tcPr>
            <w:tcW w:w="2126" w:type="dxa"/>
            <w:gridSpan w:val="4"/>
            <w:tcBorders>
              <w:top w:val="nil"/>
              <w:left w:val="nil"/>
              <w:bottom w:val="nil"/>
              <w:right w:val="nil"/>
            </w:tcBorders>
            <w:shd w:val="clear" w:color="auto" w:fill="auto"/>
            <w:noWrap/>
            <w:vAlign w:val="bottom"/>
          </w:tcPr>
          <w:p w14:paraId="31D6DA9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8E07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510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1EE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9012" w:type="dxa"/>
            <w:gridSpan w:val="2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6A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6AC81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12" w:hRule="atLeast"/>
        </w:trPr>
        <w:tc>
          <w:tcPr>
            <w:tcW w:w="32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1F9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81C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89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506"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CA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0CD0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C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2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EAE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221"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AA5F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3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991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43D32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690" w:hRule="atLeast"/>
        </w:trPr>
        <w:tc>
          <w:tcPr>
            <w:tcW w:w="32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FBC8B">
            <w:pPr>
              <w:jc w:val="center"/>
              <w:rPr>
                <w:rFonts w:hint="eastAsia" w:ascii="宋体" w:hAnsi="宋体" w:eastAsia="宋体" w:cs="宋体"/>
                <w:i w:val="0"/>
                <w:iCs w:val="0"/>
                <w:color w:val="000000"/>
                <w:sz w:val="22"/>
                <w:szCs w:val="22"/>
                <w:u w:val="none"/>
              </w:rPr>
            </w:pPr>
          </w:p>
        </w:tc>
        <w:tc>
          <w:tcPr>
            <w:tcW w:w="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62572">
            <w:pPr>
              <w:jc w:val="center"/>
              <w:rPr>
                <w:rFonts w:hint="eastAsia" w:ascii="宋体" w:hAnsi="宋体" w:eastAsia="宋体" w:cs="宋体"/>
                <w:i w:val="0"/>
                <w:iCs w:val="0"/>
                <w:color w:val="000000"/>
                <w:sz w:val="22"/>
                <w:szCs w:val="22"/>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B01F8">
            <w:pPr>
              <w:jc w:val="center"/>
              <w:rPr>
                <w:rFonts w:hint="eastAsia" w:ascii="宋体" w:hAnsi="宋体" w:eastAsia="宋体" w:cs="宋体"/>
                <w:i w:val="0"/>
                <w:iCs w:val="0"/>
                <w:color w:val="000000"/>
                <w:sz w:val="22"/>
                <w:szCs w:val="22"/>
                <w:u w:val="none"/>
              </w:rPr>
            </w:pPr>
          </w:p>
        </w:tc>
        <w:tc>
          <w:tcPr>
            <w:tcW w:w="3506"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3B0DC">
            <w:pPr>
              <w:jc w:val="center"/>
              <w:rPr>
                <w:rFonts w:hint="eastAsia" w:ascii="宋体" w:hAnsi="宋体" w:eastAsia="宋体" w:cs="宋体"/>
                <w:i w:val="0"/>
                <w:iCs w:val="0"/>
                <w:color w:val="000000"/>
                <w:sz w:val="22"/>
                <w:szCs w:val="22"/>
                <w:u w:val="none"/>
              </w:rPr>
            </w:pPr>
          </w:p>
        </w:tc>
        <w:tc>
          <w:tcPr>
            <w:tcW w:w="4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B802A">
            <w:pPr>
              <w:jc w:val="center"/>
              <w:rPr>
                <w:rFonts w:hint="eastAsia" w:ascii="宋体" w:hAnsi="宋体" w:eastAsia="宋体" w:cs="宋体"/>
                <w:i w:val="0"/>
                <w:iCs w:val="0"/>
                <w:color w:val="000000"/>
                <w:sz w:val="22"/>
                <w:szCs w:val="22"/>
                <w:u w:val="none"/>
              </w:rPr>
            </w:pPr>
          </w:p>
        </w:tc>
        <w:tc>
          <w:tcPr>
            <w:tcW w:w="12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7561F">
            <w:pPr>
              <w:jc w:val="center"/>
              <w:rPr>
                <w:rFonts w:hint="eastAsia" w:ascii="宋体" w:hAnsi="宋体" w:eastAsia="宋体" w:cs="宋体"/>
                <w:i w:val="0"/>
                <w:iCs w:val="0"/>
                <w:color w:val="000000"/>
                <w:sz w:val="22"/>
                <w:szCs w:val="22"/>
                <w:u w:val="none"/>
              </w:rPr>
            </w:pPr>
          </w:p>
        </w:tc>
        <w:tc>
          <w:tcPr>
            <w:tcW w:w="12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D1D7E">
            <w:pPr>
              <w:jc w:val="center"/>
              <w:rPr>
                <w:rFonts w:hint="eastAsia" w:ascii="宋体" w:hAnsi="宋体" w:eastAsia="宋体" w:cs="宋体"/>
                <w:i w:val="0"/>
                <w:iCs w:val="0"/>
                <w:color w:val="000000"/>
                <w:sz w:val="22"/>
                <w:szCs w:val="22"/>
                <w:u w:val="none"/>
              </w:rPr>
            </w:pPr>
          </w:p>
        </w:tc>
        <w:tc>
          <w:tcPr>
            <w:tcW w:w="1221"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7B712">
            <w:pPr>
              <w:jc w:val="center"/>
              <w:rPr>
                <w:rFonts w:hint="eastAsia" w:ascii="宋体" w:hAnsi="宋体" w:eastAsia="宋体" w:cs="宋体"/>
                <w:i w:val="0"/>
                <w:iCs w:val="0"/>
                <w:color w:val="000000"/>
                <w:sz w:val="22"/>
                <w:szCs w:val="22"/>
                <w:u w:val="none"/>
              </w:rPr>
            </w:pPr>
          </w:p>
        </w:tc>
        <w:tc>
          <w:tcPr>
            <w:tcW w:w="13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EA155">
            <w:pPr>
              <w:jc w:val="center"/>
              <w:rPr>
                <w:rFonts w:hint="eastAsia" w:ascii="宋体" w:hAnsi="宋体" w:eastAsia="宋体" w:cs="宋体"/>
                <w:i w:val="0"/>
                <w:iCs w:val="0"/>
                <w:color w:val="000000"/>
                <w:sz w:val="22"/>
                <w:szCs w:val="22"/>
                <w:u w:val="none"/>
              </w:rPr>
            </w:pPr>
          </w:p>
        </w:tc>
      </w:tr>
      <w:tr w14:paraId="60D0E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D0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7EC50">
            <w:pPr>
              <w:jc w:val="center"/>
              <w:rPr>
                <w:rFonts w:hint="eastAsia" w:ascii="宋体" w:hAnsi="宋体" w:eastAsia="宋体" w:cs="宋体"/>
                <w:i w:val="0"/>
                <w:iCs w:val="0"/>
                <w:color w:val="000000"/>
                <w:sz w:val="22"/>
                <w:szCs w:val="22"/>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78F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25F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2869">
            <w:pPr>
              <w:jc w:val="center"/>
              <w:rPr>
                <w:rFonts w:hint="eastAsia" w:ascii="宋体" w:hAnsi="宋体" w:eastAsia="宋体" w:cs="宋体"/>
                <w:i w:val="0"/>
                <w:iCs w:val="0"/>
                <w:color w:val="000000"/>
                <w:sz w:val="22"/>
                <w:szCs w:val="22"/>
                <w:u w:val="none"/>
              </w:rPr>
            </w:pP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10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218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F92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67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D419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DE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8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AA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A3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1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B1D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1,212.66</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376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1,212.66</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C43AD">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51D60">
            <w:pPr>
              <w:jc w:val="right"/>
              <w:rPr>
                <w:rFonts w:hint="eastAsia" w:ascii="宋体" w:hAnsi="宋体" w:eastAsia="宋体" w:cs="宋体"/>
                <w:i w:val="0"/>
                <w:iCs w:val="0"/>
                <w:color w:val="000000"/>
                <w:sz w:val="22"/>
                <w:szCs w:val="22"/>
                <w:u w:val="none"/>
              </w:rPr>
            </w:pPr>
          </w:p>
        </w:tc>
      </w:tr>
      <w:tr w14:paraId="26C52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C9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35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F4291">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95F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8B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1BE79">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18497">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59E8">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9E84">
            <w:pPr>
              <w:jc w:val="right"/>
              <w:rPr>
                <w:rFonts w:hint="eastAsia" w:ascii="宋体" w:hAnsi="宋体" w:eastAsia="宋体" w:cs="宋体"/>
                <w:i w:val="0"/>
                <w:iCs w:val="0"/>
                <w:color w:val="000000"/>
                <w:sz w:val="22"/>
                <w:szCs w:val="22"/>
                <w:u w:val="none"/>
              </w:rPr>
            </w:pPr>
          </w:p>
        </w:tc>
      </w:tr>
      <w:tr w14:paraId="3709C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04B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1F8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4BFD9">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09C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3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81DA4">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AA6E0">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A392">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6FC31">
            <w:pPr>
              <w:jc w:val="right"/>
              <w:rPr>
                <w:rFonts w:hint="eastAsia" w:ascii="宋体" w:hAnsi="宋体" w:eastAsia="宋体" w:cs="宋体"/>
                <w:i w:val="0"/>
                <w:iCs w:val="0"/>
                <w:color w:val="000000"/>
                <w:sz w:val="22"/>
                <w:szCs w:val="22"/>
                <w:u w:val="none"/>
              </w:rPr>
            </w:pPr>
          </w:p>
        </w:tc>
      </w:tr>
      <w:tr w14:paraId="68C1D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5499A">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9F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700F">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00C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02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40CF2">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CB8A">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2F52">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667DF">
            <w:pPr>
              <w:jc w:val="right"/>
              <w:rPr>
                <w:rFonts w:hint="eastAsia" w:ascii="宋体" w:hAnsi="宋体" w:eastAsia="宋体" w:cs="宋体"/>
                <w:i w:val="0"/>
                <w:iCs w:val="0"/>
                <w:color w:val="000000"/>
                <w:sz w:val="22"/>
                <w:szCs w:val="22"/>
                <w:u w:val="none"/>
              </w:rPr>
            </w:pPr>
          </w:p>
        </w:tc>
      </w:tr>
      <w:tr w14:paraId="41BD7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155F">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3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CDDE4">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6EB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74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06A2">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B1F7F">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529ED">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6A9B">
            <w:pPr>
              <w:jc w:val="right"/>
              <w:rPr>
                <w:rFonts w:hint="eastAsia" w:ascii="宋体" w:hAnsi="宋体" w:eastAsia="宋体" w:cs="宋体"/>
                <w:i w:val="0"/>
                <w:iCs w:val="0"/>
                <w:color w:val="000000"/>
                <w:sz w:val="22"/>
                <w:szCs w:val="22"/>
                <w:u w:val="none"/>
              </w:rPr>
            </w:pPr>
          </w:p>
        </w:tc>
      </w:tr>
      <w:tr w14:paraId="0F8FD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E2464">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E1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67B6A">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21B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7A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67106">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1093">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EB3F">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C1812">
            <w:pPr>
              <w:jc w:val="right"/>
              <w:rPr>
                <w:rFonts w:hint="eastAsia" w:ascii="宋体" w:hAnsi="宋体" w:eastAsia="宋体" w:cs="宋体"/>
                <w:i w:val="0"/>
                <w:iCs w:val="0"/>
                <w:color w:val="000000"/>
                <w:sz w:val="22"/>
                <w:szCs w:val="22"/>
                <w:u w:val="none"/>
              </w:rPr>
            </w:pPr>
          </w:p>
        </w:tc>
      </w:tr>
      <w:tr w14:paraId="241D4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FBD25">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09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FCF4A">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107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2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DB5B9">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B941F">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BAB91">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F6A9">
            <w:pPr>
              <w:jc w:val="right"/>
              <w:rPr>
                <w:rFonts w:hint="eastAsia" w:ascii="宋体" w:hAnsi="宋体" w:eastAsia="宋体" w:cs="宋体"/>
                <w:i w:val="0"/>
                <w:iCs w:val="0"/>
                <w:color w:val="000000"/>
                <w:sz w:val="22"/>
                <w:szCs w:val="22"/>
                <w:u w:val="none"/>
              </w:rPr>
            </w:pPr>
          </w:p>
        </w:tc>
      </w:tr>
      <w:tr w14:paraId="1EF2D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84F77">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6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9F20">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1FC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A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0F1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EF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F3B52">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8E8D0">
            <w:pPr>
              <w:jc w:val="right"/>
              <w:rPr>
                <w:rFonts w:hint="eastAsia" w:ascii="宋体" w:hAnsi="宋体" w:eastAsia="宋体" w:cs="宋体"/>
                <w:i w:val="0"/>
                <w:iCs w:val="0"/>
                <w:color w:val="000000"/>
                <w:sz w:val="22"/>
                <w:szCs w:val="22"/>
                <w:u w:val="none"/>
              </w:rPr>
            </w:pPr>
          </w:p>
        </w:tc>
      </w:tr>
      <w:tr w14:paraId="6412B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E1EE8">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94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89D4">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C1B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041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19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C29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A8BB4">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626CA">
            <w:pPr>
              <w:jc w:val="right"/>
              <w:rPr>
                <w:rFonts w:hint="eastAsia" w:ascii="宋体" w:hAnsi="宋体" w:eastAsia="宋体" w:cs="宋体"/>
                <w:i w:val="0"/>
                <w:iCs w:val="0"/>
                <w:color w:val="000000"/>
                <w:sz w:val="22"/>
                <w:szCs w:val="22"/>
                <w:u w:val="none"/>
              </w:rPr>
            </w:pPr>
          </w:p>
        </w:tc>
      </w:tr>
      <w:tr w14:paraId="3A11F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5B05">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3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FD7B5">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75D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2F4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68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4BA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2C35">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129B">
            <w:pPr>
              <w:jc w:val="right"/>
              <w:rPr>
                <w:rFonts w:hint="eastAsia" w:ascii="宋体" w:hAnsi="宋体" w:eastAsia="宋体" w:cs="宋体"/>
                <w:i w:val="0"/>
                <w:iCs w:val="0"/>
                <w:color w:val="000000"/>
                <w:sz w:val="22"/>
                <w:szCs w:val="22"/>
                <w:u w:val="none"/>
              </w:rPr>
            </w:pPr>
          </w:p>
        </w:tc>
      </w:tr>
      <w:tr w14:paraId="2BAD5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258BB">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4B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5EBDC">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A8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5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0EE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90B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8CFAF">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93D4">
            <w:pPr>
              <w:jc w:val="right"/>
              <w:rPr>
                <w:rFonts w:hint="eastAsia" w:ascii="宋体" w:hAnsi="宋体" w:eastAsia="宋体" w:cs="宋体"/>
                <w:i w:val="0"/>
                <w:iCs w:val="0"/>
                <w:color w:val="000000"/>
                <w:sz w:val="22"/>
                <w:szCs w:val="22"/>
                <w:u w:val="none"/>
              </w:rPr>
            </w:pPr>
          </w:p>
        </w:tc>
      </w:tr>
      <w:tr w14:paraId="55F83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B1D5A">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2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E1CF">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4CE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12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823A">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F4F21">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D25B6">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3AE89">
            <w:pPr>
              <w:jc w:val="right"/>
              <w:rPr>
                <w:rFonts w:hint="eastAsia" w:ascii="宋体" w:hAnsi="宋体" w:eastAsia="宋体" w:cs="宋体"/>
                <w:i w:val="0"/>
                <w:iCs w:val="0"/>
                <w:color w:val="000000"/>
                <w:sz w:val="22"/>
                <w:szCs w:val="22"/>
                <w:u w:val="none"/>
              </w:rPr>
            </w:pPr>
          </w:p>
        </w:tc>
      </w:tr>
      <w:tr w14:paraId="11074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FA93">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6B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57DF4">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B83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D52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6366">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05533">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EF7C9">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B28E6">
            <w:pPr>
              <w:jc w:val="right"/>
              <w:rPr>
                <w:rFonts w:hint="eastAsia" w:ascii="宋体" w:hAnsi="宋体" w:eastAsia="宋体" w:cs="宋体"/>
                <w:i w:val="0"/>
                <w:iCs w:val="0"/>
                <w:color w:val="000000"/>
                <w:sz w:val="22"/>
                <w:szCs w:val="22"/>
                <w:u w:val="none"/>
              </w:rPr>
            </w:pPr>
          </w:p>
        </w:tc>
      </w:tr>
      <w:tr w14:paraId="1D9CE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6B386">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B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72640">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CD5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31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D6B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DAF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55EC">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DF09">
            <w:pPr>
              <w:jc w:val="right"/>
              <w:rPr>
                <w:rFonts w:hint="eastAsia" w:ascii="宋体" w:hAnsi="宋体" w:eastAsia="宋体" w:cs="宋体"/>
                <w:i w:val="0"/>
                <w:iCs w:val="0"/>
                <w:color w:val="000000"/>
                <w:sz w:val="22"/>
                <w:szCs w:val="22"/>
                <w:u w:val="none"/>
              </w:rPr>
            </w:pPr>
          </w:p>
        </w:tc>
      </w:tr>
      <w:tr w14:paraId="4D3FB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00BF9">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55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EC640">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44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05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74A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4CB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63B6">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33408">
            <w:pPr>
              <w:jc w:val="right"/>
              <w:rPr>
                <w:rFonts w:hint="eastAsia" w:ascii="宋体" w:hAnsi="宋体" w:eastAsia="宋体" w:cs="宋体"/>
                <w:i w:val="0"/>
                <w:iCs w:val="0"/>
                <w:color w:val="000000"/>
                <w:sz w:val="22"/>
                <w:szCs w:val="22"/>
                <w:u w:val="none"/>
              </w:rPr>
            </w:pPr>
          </w:p>
        </w:tc>
      </w:tr>
      <w:tr w14:paraId="0CA56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4FB50">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50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9A2F">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B3B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F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1699">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70F64">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4D431">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0CCBD">
            <w:pPr>
              <w:jc w:val="right"/>
              <w:rPr>
                <w:rFonts w:hint="eastAsia" w:ascii="宋体" w:hAnsi="宋体" w:eastAsia="宋体" w:cs="宋体"/>
                <w:i w:val="0"/>
                <w:iCs w:val="0"/>
                <w:color w:val="000000"/>
                <w:sz w:val="22"/>
                <w:szCs w:val="22"/>
                <w:u w:val="none"/>
              </w:rPr>
            </w:pPr>
          </w:p>
        </w:tc>
      </w:tr>
      <w:tr w14:paraId="4C91E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767D">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D1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BE465">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436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FB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4D2CE">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782A9">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C6103">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6265B">
            <w:pPr>
              <w:jc w:val="right"/>
              <w:rPr>
                <w:rFonts w:hint="eastAsia" w:ascii="宋体" w:hAnsi="宋体" w:eastAsia="宋体" w:cs="宋体"/>
                <w:i w:val="0"/>
                <w:iCs w:val="0"/>
                <w:color w:val="000000"/>
                <w:sz w:val="22"/>
                <w:szCs w:val="22"/>
                <w:u w:val="none"/>
              </w:rPr>
            </w:pPr>
          </w:p>
        </w:tc>
      </w:tr>
      <w:tr w14:paraId="4B780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AA8C">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FF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A2AEA">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64F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A3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F82E">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54CFD">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C718A">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C5EB8">
            <w:pPr>
              <w:jc w:val="right"/>
              <w:rPr>
                <w:rFonts w:hint="eastAsia" w:ascii="宋体" w:hAnsi="宋体" w:eastAsia="宋体" w:cs="宋体"/>
                <w:i w:val="0"/>
                <w:iCs w:val="0"/>
                <w:color w:val="000000"/>
                <w:sz w:val="22"/>
                <w:szCs w:val="22"/>
                <w:u w:val="none"/>
              </w:rPr>
            </w:pPr>
          </w:p>
        </w:tc>
      </w:tr>
      <w:tr w14:paraId="2A1F8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B5C5">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AE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339C9">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193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67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07A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6F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36EF7">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7D2AC">
            <w:pPr>
              <w:jc w:val="right"/>
              <w:rPr>
                <w:rFonts w:hint="eastAsia" w:ascii="宋体" w:hAnsi="宋体" w:eastAsia="宋体" w:cs="宋体"/>
                <w:i w:val="0"/>
                <w:iCs w:val="0"/>
                <w:color w:val="000000"/>
                <w:sz w:val="22"/>
                <w:szCs w:val="22"/>
                <w:u w:val="none"/>
              </w:rPr>
            </w:pPr>
          </w:p>
        </w:tc>
      </w:tr>
      <w:tr w14:paraId="6A3F1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A8D29">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F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41567">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415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26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13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5F9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75486">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8E1E6">
            <w:pPr>
              <w:jc w:val="right"/>
              <w:rPr>
                <w:rFonts w:hint="eastAsia" w:ascii="宋体" w:hAnsi="宋体" w:eastAsia="宋体" w:cs="宋体"/>
                <w:i w:val="0"/>
                <w:iCs w:val="0"/>
                <w:color w:val="000000"/>
                <w:sz w:val="22"/>
                <w:szCs w:val="22"/>
                <w:u w:val="none"/>
              </w:rPr>
            </w:pPr>
          </w:p>
        </w:tc>
      </w:tr>
      <w:tr w14:paraId="6DD61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B01CE">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0C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0091F">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0FC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9C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27ECF">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CE35E">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1EBD">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C32D0">
            <w:pPr>
              <w:jc w:val="right"/>
              <w:rPr>
                <w:rFonts w:hint="eastAsia" w:ascii="宋体" w:hAnsi="宋体" w:eastAsia="宋体" w:cs="宋体"/>
                <w:i w:val="0"/>
                <w:iCs w:val="0"/>
                <w:color w:val="000000"/>
                <w:sz w:val="22"/>
                <w:szCs w:val="22"/>
                <w:u w:val="none"/>
              </w:rPr>
            </w:pPr>
          </w:p>
        </w:tc>
      </w:tr>
      <w:tr w14:paraId="4B541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30AA">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12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00041">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E05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B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C6872">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4CFB0">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AE610">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AC18">
            <w:pPr>
              <w:jc w:val="right"/>
              <w:rPr>
                <w:rFonts w:hint="eastAsia" w:ascii="宋体" w:hAnsi="宋体" w:eastAsia="宋体" w:cs="宋体"/>
                <w:i w:val="0"/>
                <w:iCs w:val="0"/>
                <w:color w:val="000000"/>
                <w:sz w:val="22"/>
                <w:szCs w:val="22"/>
                <w:u w:val="none"/>
              </w:rPr>
            </w:pPr>
          </w:p>
        </w:tc>
      </w:tr>
      <w:tr w14:paraId="28C92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03D8A">
            <w:pPr>
              <w:jc w:val="left"/>
              <w:rPr>
                <w:rFonts w:hint="eastAsia" w:ascii="宋体" w:hAnsi="宋体" w:eastAsia="宋体" w:cs="宋体"/>
                <w:i w:val="0"/>
                <w:iCs w:val="0"/>
                <w:color w:val="000000"/>
                <w:sz w:val="22"/>
                <w:szCs w:val="22"/>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EF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4CE6">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BF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56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83FC8">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7458E">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A4306">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861F2">
            <w:pPr>
              <w:jc w:val="right"/>
              <w:rPr>
                <w:rFonts w:hint="eastAsia" w:ascii="宋体" w:hAnsi="宋体" w:eastAsia="宋体" w:cs="宋体"/>
                <w:i w:val="0"/>
                <w:iCs w:val="0"/>
                <w:color w:val="000000"/>
                <w:sz w:val="22"/>
                <w:szCs w:val="22"/>
                <w:u w:val="none"/>
              </w:rPr>
            </w:pPr>
          </w:p>
        </w:tc>
      </w:tr>
      <w:tr w14:paraId="0A7C3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EE58A">
            <w:pPr>
              <w:jc w:val="center"/>
              <w:rPr>
                <w:rFonts w:hint="eastAsia" w:ascii="宋体" w:hAnsi="宋体" w:eastAsia="宋体" w:cs="宋体"/>
                <w:b/>
                <w:bCs/>
                <w:i w:val="0"/>
                <w:iCs w:val="0"/>
                <w:color w:val="000000"/>
                <w:sz w:val="20"/>
                <w:szCs w:val="20"/>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0A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740F2">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A0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EF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78532">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0C2">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F4301">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41028">
            <w:pPr>
              <w:jc w:val="right"/>
              <w:rPr>
                <w:rFonts w:hint="eastAsia" w:ascii="宋体" w:hAnsi="宋体" w:eastAsia="宋体" w:cs="宋体"/>
                <w:i w:val="0"/>
                <w:iCs w:val="0"/>
                <w:color w:val="000000"/>
                <w:sz w:val="22"/>
                <w:szCs w:val="22"/>
                <w:u w:val="none"/>
              </w:rPr>
            </w:pPr>
          </w:p>
        </w:tc>
      </w:tr>
      <w:tr w14:paraId="265DC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93DCC">
            <w:pPr>
              <w:jc w:val="left"/>
              <w:rPr>
                <w:rFonts w:hint="eastAsia" w:ascii="宋体" w:hAnsi="宋体" w:eastAsia="宋体" w:cs="宋体"/>
                <w:i w:val="0"/>
                <w:iCs w:val="0"/>
                <w:color w:val="000000"/>
                <w:sz w:val="20"/>
                <w:szCs w:val="20"/>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9C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2B0C6">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C11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030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9D85">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32D6">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00F33">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CF4B7">
            <w:pPr>
              <w:jc w:val="right"/>
              <w:rPr>
                <w:rFonts w:hint="eastAsia" w:ascii="宋体" w:hAnsi="宋体" w:eastAsia="宋体" w:cs="宋体"/>
                <w:i w:val="0"/>
                <w:iCs w:val="0"/>
                <w:color w:val="000000"/>
                <w:sz w:val="22"/>
                <w:szCs w:val="22"/>
                <w:u w:val="none"/>
              </w:rPr>
            </w:pPr>
          </w:p>
        </w:tc>
      </w:tr>
      <w:tr w14:paraId="6D37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7263D">
            <w:pPr>
              <w:jc w:val="left"/>
              <w:rPr>
                <w:rFonts w:hint="eastAsia" w:ascii="宋体" w:hAnsi="宋体" w:eastAsia="宋体" w:cs="宋体"/>
                <w:i w:val="0"/>
                <w:iCs w:val="0"/>
                <w:color w:val="000000"/>
                <w:sz w:val="20"/>
                <w:szCs w:val="20"/>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85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7CD8">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07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560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1F88">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26A22">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666B3">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8D511">
            <w:pPr>
              <w:jc w:val="right"/>
              <w:rPr>
                <w:rFonts w:hint="eastAsia" w:ascii="宋体" w:hAnsi="宋体" w:eastAsia="宋体" w:cs="宋体"/>
                <w:i w:val="0"/>
                <w:iCs w:val="0"/>
                <w:color w:val="000000"/>
                <w:sz w:val="22"/>
                <w:szCs w:val="22"/>
                <w:u w:val="none"/>
              </w:rPr>
            </w:pPr>
          </w:p>
        </w:tc>
      </w:tr>
      <w:tr w14:paraId="6E663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6F8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D1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A1E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D45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DF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B4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B01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B78B9">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9A8ED">
            <w:pPr>
              <w:jc w:val="right"/>
              <w:rPr>
                <w:rFonts w:hint="eastAsia" w:ascii="宋体" w:hAnsi="宋体" w:eastAsia="宋体" w:cs="宋体"/>
                <w:i w:val="0"/>
                <w:iCs w:val="0"/>
                <w:color w:val="000000"/>
                <w:sz w:val="22"/>
                <w:szCs w:val="22"/>
                <w:u w:val="none"/>
              </w:rPr>
            </w:pPr>
          </w:p>
        </w:tc>
      </w:tr>
      <w:tr w14:paraId="1CC4C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23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98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9A4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F5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6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E901B">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509F3">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00542">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7472F">
            <w:pPr>
              <w:jc w:val="right"/>
              <w:rPr>
                <w:rFonts w:hint="eastAsia" w:ascii="宋体" w:hAnsi="宋体" w:eastAsia="宋体" w:cs="宋体"/>
                <w:i w:val="0"/>
                <w:iCs w:val="0"/>
                <w:color w:val="000000"/>
                <w:sz w:val="22"/>
                <w:szCs w:val="22"/>
                <w:u w:val="none"/>
              </w:rPr>
            </w:pPr>
          </w:p>
        </w:tc>
      </w:tr>
      <w:tr w14:paraId="1D196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4E4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2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2C0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D6AB">
            <w:pPr>
              <w:jc w:val="left"/>
              <w:rPr>
                <w:rFonts w:hint="eastAsia" w:ascii="宋体" w:hAnsi="宋体" w:eastAsia="宋体" w:cs="宋体"/>
                <w:i w:val="0"/>
                <w:iCs w:val="0"/>
                <w:color w:val="000000"/>
                <w:sz w:val="22"/>
                <w:szCs w:val="22"/>
                <w:u w:val="none"/>
              </w:rPr>
            </w:pP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A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2CDC6">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FC483">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44124">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4ABC1">
            <w:pPr>
              <w:jc w:val="right"/>
              <w:rPr>
                <w:rFonts w:hint="eastAsia" w:ascii="宋体" w:hAnsi="宋体" w:eastAsia="宋体" w:cs="宋体"/>
                <w:i w:val="0"/>
                <w:iCs w:val="0"/>
                <w:color w:val="000000"/>
                <w:sz w:val="22"/>
                <w:szCs w:val="22"/>
                <w:u w:val="none"/>
              </w:rPr>
            </w:pPr>
          </w:p>
        </w:tc>
      </w:tr>
      <w:tr w14:paraId="6FFC2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DE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1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D2069">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45B98">
            <w:pPr>
              <w:jc w:val="left"/>
              <w:rPr>
                <w:rFonts w:hint="eastAsia" w:ascii="宋体" w:hAnsi="宋体" w:eastAsia="宋体" w:cs="宋体"/>
                <w:i w:val="0"/>
                <w:iCs w:val="0"/>
                <w:color w:val="000000"/>
                <w:sz w:val="22"/>
                <w:szCs w:val="22"/>
                <w:u w:val="none"/>
              </w:rPr>
            </w:pP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A5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50035">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275E3">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0712C">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560AB">
            <w:pPr>
              <w:jc w:val="right"/>
              <w:rPr>
                <w:rFonts w:hint="eastAsia" w:ascii="宋体" w:hAnsi="宋体" w:eastAsia="宋体" w:cs="宋体"/>
                <w:i w:val="0"/>
                <w:iCs w:val="0"/>
                <w:color w:val="000000"/>
                <w:sz w:val="22"/>
                <w:szCs w:val="22"/>
                <w:u w:val="none"/>
              </w:rPr>
            </w:pPr>
          </w:p>
        </w:tc>
      </w:tr>
      <w:tr w14:paraId="3A7DC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331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9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D1E6">
            <w:pPr>
              <w:jc w:val="right"/>
              <w:rPr>
                <w:rFonts w:hint="eastAsia" w:ascii="宋体" w:hAnsi="宋体" w:eastAsia="宋体" w:cs="宋体"/>
                <w:i w:val="0"/>
                <w:iCs w:val="0"/>
                <w:color w:val="000000"/>
                <w:sz w:val="22"/>
                <w:szCs w:val="22"/>
                <w:u w:val="none"/>
              </w:rPr>
            </w:pP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710B6">
            <w:pPr>
              <w:jc w:val="left"/>
              <w:rPr>
                <w:rFonts w:hint="eastAsia" w:ascii="宋体" w:hAnsi="宋体" w:eastAsia="宋体" w:cs="宋体"/>
                <w:i w:val="0"/>
                <w:iCs w:val="0"/>
                <w:color w:val="000000"/>
                <w:sz w:val="22"/>
                <w:szCs w:val="22"/>
                <w:u w:val="none"/>
              </w:rPr>
            </w:pP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4A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5A32">
            <w:pPr>
              <w:jc w:val="right"/>
              <w:rPr>
                <w:rFonts w:hint="eastAsia" w:ascii="宋体" w:hAnsi="宋体" w:eastAsia="宋体" w:cs="宋体"/>
                <w:i w:val="0"/>
                <w:iCs w:val="0"/>
                <w:color w:val="000000"/>
                <w:sz w:val="22"/>
                <w:szCs w:val="22"/>
                <w:u w:val="none"/>
              </w:rPr>
            </w:pP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C6B3B">
            <w:pPr>
              <w:jc w:val="right"/>
              <w:rPr>
                <w:rFonts w:hint="eastAsia" w:ascii="宋体" w:hAnsi="宋体" w:eastAsia="宋体" w:cs="宋体"/>
                <w:i w:val="0"/>
                <w:iCs w:val="0"/>
                <w:color w:val="000000"/>
                <w:sz w:val="22"/>
                <w:szCs w:val="22"/>
                <w:u w:val="none"/>
              </w:rPr>
            </w:pP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75D7D">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36E3C">
            <w:pPr>
              <w:jc w:val="right"/>
              <w:rPr>
                <w:rFonts w:hint="eastAsia" w:ascii="宋体" w:hAnsi="宋体" w:eastAsia="宋体" w:cs="宋体"/>
                <w:i w:val="0"/>
                <w:iCs w:val="0"/>
                <w:color w:val="000000"/>
                <w:sz w:val="22"/>
                <w:szCs w:val="22"/>
                <w:u w:val="none"/>
              </w:rPr>
            </w:pPr>
          </w:p>
        </w:tc>
      </w:tr>
      <w:tr w14:paraId="3EF0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E48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41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D3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350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69B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D2D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2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038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12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8F3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7,365.59</w:t>
            </w:r>
          </w:p>
        </w:tc>
        <w:tc>
          <w:tcPr>
            <w:tcW w:w="1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0321">
            <w:pPr>
              <w:jc w:val="right"/>
              <w:rPr>
                <w:rFonts w:hint="eastAsia" w:ascii="宋体" w:hAnsi="宋体" w:eastAsia="宋体" w:cs="宋体"/>
                <w:i w:val="0"/>
                <w:iCs w:val="0"/>
                <w:color w:val="000000"/>
                <w:sz w:val="22"/>
                <w:szCs w:val="22"/>
                <w:u w:val="none"/>
              </w:rPr>
            </w:pP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3DC02">
            <w:pPr>
              <w:jc w:val="right"/>
              <w:rPr>
                <w:rFonts w:hint="eastAsia" w:ascii="宋体" w:hAnsi="宋体" w:eastAsia="宋体" w:cs="宋体"/>
                <w:i w:val="0"/>
                <w:iCs w:val="0"/>
                <w:color w:val="000000"/>
                <w:sz w:val="22"/>
                <w:szCs w:val="22"/>
                <w:u w:val="none"/>
              </w:rPr>
            </w:pPr>
          </w:p>
        </w:tc>
      </w:tr>
      <w:tr w14:paraId="63355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8" w:type="dxa"/>
          <w:trHeight w:val="335" w:hRule="atLeast"/>
        </w:trPr>
        <w:tc>
          <w:tcPr>
            <w:tcW w:w="14120" w:type="dxa"/>
            <w:gridSpan w:val="25"/>
            <w:tcBorders>
              <w:top w:val="nil"/>
              <w:left w:val="nil"/>
              <w:bottom w:val="nil"/>
              <w:right w:val="nil"/>
            </w:tcBorders>
            <w:shd w:val="clear" w:color="auto" w:fill="auto"/>
            <w:noWrap/>
            <w:vAlign w:val="center"/>
          </w:tcPr>
          <w:p w14:paraId="1F0631BF">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bl>
    <w:p w14:paraId="4AA05DF6"/>
    <w:p w14:paraId="2555F673">
      <w:pPr>
        <w:pStyle w:val="8"/>
      </w:pPr>
    </w:p>
    <w:p w14:paraId="4EA80520">
      <w:pPr>
        <w:pStyle w:val="4"/>
      </w:pPr>
    </w:p>
    <w:p w14:paraId="528770F4"/>
    <w:p w14:paraId="240CE904">
      <w:pPr>
        <w:pStyle w:val="8"/>
      </w:pPr>
    </w:p>
    <w:p w14:paraId="4C4C7B67">
      <w:pPr>
        <w:pStyle w:val="4"/>
      </w:pPr>
    </w:p>
    <w:tbl>
      <w:tblPr>
        <w:tblStyle w:val="10"/>
        <w:tblW w:w="1380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79"/>
        <w:gridCol w:w="4321"/>
        <w:gridCol w:w="2627"/>
        <w:gridCol w:w="2627"/>
        <w:gridCol w:w="2646"/>
      </w:tblGrid>
      <w:tr w14:paraId="2F486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13800" w:type="dxa"/>
            <w:gridSpan w:val="5"/>
            <w:tcBorders>
              <w:top w:val="nil"/>
              <w:left w:val="nil"/>
              <w:bottom w:val="nil"/>
              <w:right w:val="nil"/>
            </w:tcBorders>
            <w:shd w:val="clear" w:color="auto" w:fill="auto"/>
            <w:noWrap/>
            <w:vAlign w:val="center"/>
          </w:tcPr>
          <w:p w14:paraId="55ECD9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4D12D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 w:hRule="atLeast"/>
        </w:trPr>
        <w:tc>
          <w:tcPr>
            <w:tcW w:w="13800" w:type="dxa"/>
            <w:gridSpan w:val="5"/>
            <w:tcBorders>
              <w:top w:val="nil"/>
              <w:left w:val="nil"/>
              <w:bottom w:val="nil"/>
              <w:right w:val="nil"/>
            </w:tcBorders>
            <w:shd w:val="clear" w:color="auto" w:fill="auto"/>
            <w:noWrap/>
            <w:vAlign w:val="center"/>
          </w:tcPr>
          <w:p w14:paraId="72550DB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5340A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 w:hRule="atLeast"/>
        </w:trPr>
        <w:tc>
          <w:tcPr>
            <w:tcW w:w="13800" w:type="dxa"/>
            <w:gridSpan w:val="5"/>
            <w:tcBorders>
              <w:top w:val="nil"/>
              <w:left w:val="nil"/>
              <w:bottom w:val="nil"/>
              <w:right w:val="nil"/>
            </w:tcBorders>
            <w:shd w:val="clear" w:color="auto" w:fill="auto"/>
            <w:noWrap/>
            <w:vAlign w:val="bottom"/>
          </w:tcPr>
          <w:p w14:paraId="2C008AB0">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                                                                                                  金额单位：万元</w:t>
            </w:r>
          </w:p>
        </w:tc>
      </w:tr>
      <w:tr w14:paraId="4214F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59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A8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9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644F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5C4A5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1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E37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32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F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6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9D53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6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0EEB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66D5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B2A8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F237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432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39B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3326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3A7F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0649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103B6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7C2C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432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A8C5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FB16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A614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CE39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197A7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59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5EF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67E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B4B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BC6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00FFF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59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537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8A5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7,365.59</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ABDF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960.79</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06B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6,404.80</w:t>
            </w:r>
          </w:p>
        </w:tc>
      </w:tr>
      <w:tr w14:paraId="1B6F5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FF3B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E1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E511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1,212.66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2979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709.08</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5944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503.58</w:t>
            </w:r>
          </w:p>
        </w:tc>
      </w:tr>
      <w:tr w14:paraId="0DC82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5289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4BCB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FE6C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1,210.35</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344B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709.08</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73E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501.27</w:t>
            </w:r>
          </w:p>
        </w:tc>
      </w:tr>
      <w:tr w14:paraId="16711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C1AA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47B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7B87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536.46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A017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536.46</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068E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604D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A14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D9B1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4E0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349.99</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35ED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5C8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349.99</w:t>
            </w:r>
          </w:p>
        </w:tc>
      </w:tr>
      <w:tr w14:paraId="6F8B8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9B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2010404</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78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战略规划与实施</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C4ED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B17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56B2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152B0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06E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2010406</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C0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社会事业发展规划</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1D5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ED11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391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141.13</w:t>
            </w:r>
          </w:p>
        </w:tc>
      </w:tr>
      <w:tr w14:paraId="0377D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33D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2010408</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B760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物价管理</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D7AD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69F5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9F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r>
      <w:tr w14:paraId="22797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5D9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8903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DB0E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154.57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64D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147.62</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1A0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6.95</w:t>
            </w:r>
          </w:p>
        </w:tc>
      </w:tr>
      <w:tr w14:paraId="03A0F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E71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15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档案事务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8E3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E78D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24A4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r>
      <w:tr w14:paraId="64F9B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F15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2012602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697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06C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5BE4E">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DCB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r>
      <w:tr w14:paraId="0023B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A0F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1039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4C01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6E1F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161.07</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B8DD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2C8E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D1F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1F1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D606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9EF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85.54</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3E58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27DA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4ACB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DC7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EB2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4ED6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F58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A72F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0F2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0745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202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6896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23.04</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CC7C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615C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6A3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9546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D80D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D25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AAF9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26EDA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D6D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087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5984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9F5D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8DAF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34EA1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89C7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D05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BB3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054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A3BC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56AD6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634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0C2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3E92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D5D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B20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7DCD7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117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5C7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91F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1336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C783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r>
      <w:tr w14:paraId="614F8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33A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9AE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53C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F262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CBD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r>
      <w:tr w14:paraId="2C769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F7B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A7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9C45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91A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5E5A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r>
      <w:tr w14:paraId="4810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8AB9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2119999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7BD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其他节能环保支出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BB3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B958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DE7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r>
      <w:tr w14:paraId="2293D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23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97D8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4104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5CE42">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FBCE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r>
      <w:tr w14:paraId="04846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7F22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63E3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B7A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2DAE5">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2D5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r>
      <w:tr w14:paraId="7AA5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B727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6287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7841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5BF4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65E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1,225.00</w:t>
            </w:r>
          </w:p>
        </w:tc>
      </w:tr>
      <w:tr w14:paraId="4D86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4B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4FF1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320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E3AE3">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9B29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1,127.57</w:t>
            </w:r>
          </w:p>
        </w:tc>
      </w:tr>
      <w:tr w14:paraId="2162D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5895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0039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106F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536B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C12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r>
      <w:tr w14:paraId="77A0A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92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2150805</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EF51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中小企业发展专项</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2AAA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3433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7C89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r>
      <w:tr w14:paraId="52784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D3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CD3C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2A38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89827">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C18E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r>
      <w:tr w14:paraId="24403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602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2159999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E7C6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其他资源勘探工业信息等支出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B7E78">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D089">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7B76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1,057.57</w:t>
            </w:r>
          </w:p>
        </w:tc>
      </w:tr>
      <w:tr w14:paraId="4EC21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96D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E6A6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商业服务业等支出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E83D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FE9AC">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93D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r>
      <w:tr w14:paraId="66378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214F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C4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E73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11E46">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F542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r>
      <w:tr w14:paraId="0ABB7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4A7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29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BAB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9F3F0">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48C7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r>
      <w:tr w14:paraId="1C20F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2C5E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998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1C30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797D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FBC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r>
      <w:tr w14:paraId="6835D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B7F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4827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117E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29A5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1AEA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r>
      <w:tr w14:paraId="37B16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269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8494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8338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1A30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54.39</w:t>
            </w: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28B4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r>
      <w:tr w14:paraId="16BE9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C380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51F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粮油物资储备支出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BAB7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C7FF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DE51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3,037.89</w:t>
            </w:r>
          </w:p>
        </w:tc>
      </w:tr>
      <w:tr w14:paraId="47F67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CBC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70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粮油物资事务</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9C2D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93B4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523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2,310.37</w:t>
            </w:r>
          </w:p>
        </w:tc>
      </w:tr>
      <w:tr w14:paraId="7CBA4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EC24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2220115</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174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粮食风险基金</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E07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20448">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7366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914.38</w:t>
            </w:r>
          </w:p>
        </w:tc>
      </w:tr>
      <w:tr w14:paraId="09658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7EA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2220199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0F0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64C7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B891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B235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1,395.99</w:t>
            </w:r>
          </w:p>
        </w:tc>
      </w:tr>
      <w:tr w14:paraId="6406C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367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447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粮油储备</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5F6B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968F1">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FA42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727.52</w:t>
            </w:r>
          </w:p>
        </w:tc>
      </w:tr>
      <w:tr w14:paraId="2246F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98D1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2220401</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E9E2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储备粮油补贴</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D34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255D">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1A05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456.99</w:t>
            </w:r>
          </w:p>
        </w:tc>
      </w:tr>
      <w:tr w14:paraId="35B75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47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2220402</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DB0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储备粮油差价补贴</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87D0">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91AB">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94F4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183.26</w:t>
            </w:r>
          </w:p>
        </w:tc>
      </w:tr>
      <w:tr w14:paraId="388CD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2BFB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2220499</w:t>
            </w:r>
          </w:p>
        </w:tc>
        <w:tc>
          <w:tcPr>
            <w:tcW w:w="4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AA9F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其他粮油储备支出</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BF88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c>
          <w:tcPr>
            <w:tcW w:w="2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647BF">
            <w:pPr>
              <w:keepNext w:val="0"/>
              <w:keepLines w:val="0"/>
              <w:pageBreakBefore w:val="0"/>
              <w:widowControl/>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22"/>
                <w:szCs w:val="22"/>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9F3E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87.27</w:t>
            </w:r>
          </w:p>
        </w:tc>
      </w:tr>
      <w:tr w14:paraId="4A8CE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13800" w:type="dxa"/>
            <w:gridSpan w:val="5"/>
            <w:tcBorders>
              <w:top w:val="nil"/>
              <w:left w:val="nil"/>
              <w:bottom w:val="nil"/>
              <w:right w:val="nil"/>
            </w:tcBorders>
            <w:shd w:val="clear" w:color="auto" w:fill="auto"/>
            <w:noWrap/>
            <w:vAlign w:val="center"/>
          </w:tcPr>
          <w:p w14:paraId="45D8BF5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581ABFA9"/>
    <w:tbl>
      <w:tblPr>
        <w:tblStyle w:val="10"/>
        <w:tblW w:w="1412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0"/>
        <w:gridCol w:w="2841"/>
        <w:gridCol w:w="1171"/>
        <w:gridCol w:w="769"/>
        <w:gridCol w:w="2438"/>
        <w:gridCol w:w="1237"/>
        <w:gridCol w:w="1088"/>
        <w:gridCol w:w="2897"/>
        <w:gridCol w:w="879"/>
      </w:tblGrid>
      <w:tr w14:paraId="3780D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14120" w:type="dxa"/>
            <w:gridSpan w:val="9"/>
            <w:tcBorders>
              <w:top w:val="nil"/>
              <w:left w:val="nil"/>
              <w:bottom w:val="nil"/>
              <w:right w:val="nil"/>
            </w:tcBorders>
            <w:shd w:val="clear" w:color="auto" w:fill="auto"/>
            <w:noWrap/>
            <w:vAlign w:val="center"/>
          </w:tcPr>
          <w:p w14:paraId="3ADDB75B">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4DDC1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trPr>
        <w:tc>
          <w:tcPr>
            <w:tcW w:w="800" w:type="dxa"/>
            <w:tcBorders>
              <w:top w:val="nil"/>
              <w:left w:val="nil"/>
              <w:bottom w:val="nil"/>
              <w:right w:val="nil"/>
            </w:tcBorders>
            <w:shd w:val="clear" w:color="auto" w:fill="auto"/>
            <w:noWrap/>
            <w:vAlign w:val="center"/>
          </w:tcPr>
          <w:p w14:paraId="59025526">
            <w:pPr>
              <w:rPr>
                <w:rFonts w:hint="eastAsia" w:ascii="宋体" w:hAnsi="宋体" w:eastAsia="宋体" w:cs="宋体"/>
                <w:i w:val="0"/>
                <w:iCs w:val="0"/>
                <w:color w:val="000000"/>
                <w:sz w:val="22"/>
                <w:szCs w:val="22"/>
                <w:u w:val="none"/>
              </w:rPr>
            </w:pPr>
          </w:p>
        </w:tc>
        <w:tc>
          <w:tcPr>
            <w:tcW w:w="2841" w:type="dxa"/>
            <w:tcBorders>
              <w:top w:val="nil"/>
              <w:left w:val="nil"/>
              <w:bottom w:val="nil"/>
              <w:right w:val="nil"/>
            </w:tcBorders>
            <w:shd w:val="clear" w:color="auto" w:fill="auto"/>
            <w:noWrap/>
            <w:vAlign w:val="center"/>
          </w:tcPr>
          <w:p w14:paraId="08AB7D7D">
            <w:pPr>
              <w:rPr>
                <w:rFonts w:hint="eastAsia" w:ascii="宋体" w:hAnsi="宋体" w:eastAsia="宋体" w:cs="宋体"/>
                <w:i w:val="0"/>
                <w:iCs w:val="0"/>
                <w:color w:val="000000"/>
                <w:sz w:val="22"/>
                <w:szCs w:val="22"/>
                <w:u w:val="none"/>
              </w:rPr>
            </w:pPr>
          </w:p>
        </w:tc>
        <w:tc>
          <w:tcPr>
            <w:tcW w:w="1171" w:type="dxa"/>
            <w:tcBorders>
              <w:top w:val="nil"/>
              <w:left w:val="nil"/>
              <w:bottom w:val="nil"/>
              <w:right w:val="nil"/>
            </w:tcBorders>
            <w:shd w:val="clear" w:color="auto" w:fill="auto"/>
            <w:noWrap/>
            <w:vAlign w:val="center"/>
          </w:tcPr>
          <w:p w14:paraId="233798EE">
            <w:pPr>
              <w:rPr>
                <w:rFonts w:hint="eastAsia" w:ascii="宋体" w:hAnsi="宋体" w:eastAsia="宋体" w:cs="宋体"/>
                <w:i w:val="0"/>
                <w:iCs w:val="0"/>
                <w:color w:val="000000"/>
                <w:sz w:val="22"/>
                <w:szCs w:val="22"/>
                <w:u w:val="none"/>
              </w:rPr>
            </w:pPr>
          </w:p>
        </w:tc>
        <w:tc>
          <w:tcPr>
            <w:tcW w:w="769" w:type="dxa"/>
            <w:tcBorders>
              <w:top w:val="nil"/>
              <w:left w:val="nil"/>
              <w:bottom w:val="nil"/>
              <w:right w:val="nil"/>
            </w:tcBorders>
            <w:shd w:val="clear" w:color="auto" w:fill="auto"/>
            <w:noWrap/>
            <w:vAlign w:val="center"/>
          </w:tcPr>
          <w:p w14:paraId="02AF62BD">
            <w:pPr>
              <w:rPr>
                <w:rFonts w:hint="eastAsia" w:ascii="宋体" w:hAnsi="宋体" w:eastAsia="宋体" w:cs="宋体"/>
                <w:i w:val="0"/>
                <w:iCs w:val="0"/>
                <w:color w:val="000000"/>
                <w:sz w:val="22"/>
                <w:szCs w:val="22"/>
                <w:u w:val="none"/>
              </w:rPr>
            </w:pPr>
          </w:p>
        </w:tc>
        <w:tc>
          <w:tcPr>
            <w:tcW w:w="2438" w:type="dxa"/>
            <w:tcBorders>
              <w:top w:val="nil"/>
              <w:left w:val="nil"/>
              <w:bottom w:val="nil"/>
              <w:right w:val="nil"/>
            </w:tcBorders>
            <w:shd w:val="clear" w:color="auto" w:fill="auto"/>
            <w:noWrap/>
            <w:vAlign w:val="center"/>
          </w:tcPr>
          <w:p w14:paraId="5A109F8E">
            <w:pPr>
              <w:rPr>
                <w:rFonts w:hint="eastAsia" w:ascii="宋体" w:hAnsi="宋体" w:eastAsia="宋体" w:cs="宋体"/>
                <w:i w:val="0"/>
                <w:iCs w:val="0"/>
                <w:color w:val="000000"/>
                <w:sz w:val="22"/>
                <w:szCs w:val="22"/>
                <w:u w:val="none"/>
              </w:rPr>
            </w:pPr>
          </w:p>
        </w:tc>
        <w:tc>
          <w:tcPr>
            <w:tcW w:w="1237" w:type="dxa"/>
            <w:tcBorders>
              <w:top w:val="nil"/>
              <w:left w:val="nil"/>
              <w:bottom w:val="nil"/>
              <w:right w:val="nil"/>
            </w:tcBorders>
            <w:shd w:val="clear" w:color="auto" w:fill="auto"/>
            <w:noWrap/>
            <w:vAlign w:val="center"/>
          </w:tcPr>
          <w:p w14:paraId="7FAF4CFF">
            <w:pPr>
              <w:rPr>
                <w:rFonts w:hint="eastAsia" w:ascii="宋体" w:hAnsi="宋体" w:eastAsia="宋体" w:cs="宋体"/>
                <w:i w:val="0"/>
                <w:iCs w:val="0"/>
                <w:color w:val="000000"/>
                <w:sz w:val="22"/>
                <w:szCs w:val="22"/>
                <w:u w:val="none"/>
              </w:rPr>
            </w:pPr>
          </w:p>
        </w:tc>
        <w:tc>
          <w:tcPr>
            <w:tcW w:w="1088" w:type="dxa"/>
            <w:tcBorders>
              <w:top w:val="nil"/>
              <w:left w:val="nil"/>
              <w:bottom w:val="nil"/>
              <w:right w:val="nil"/>
            </w:tcBorders>
            <w:shd w:val="clear" w:color="auto" w:fill="auto"/>
            <w:noWrap/>
            <w:vAlign w:val="center"/>
          </w:tcPr>
          <w:p w14:paraId="159BD7BE">
            <w:pPr>
              <w:rPr>
                <w:rFonts w:hint="eastAsia" w:ascii="宋体" w:hAnsi="宋体" w:eastAsia="宋体" w:cs="宋体"/>
                <w:i w:val="0"/>
                <w:iCs w:val="0"/>
                <w:color w:val="000000"/>
                <w:sz w:val="22"/>
                <w:szCs w:val="22"/>
                <w:u w:val="none"/>
              </w:rPr>
            </w:pPr>
          </w:p>
        </w:tc>
        <w:tc>
          <w:tcPr>
            <w:tcW w:w="3776" w:type="dxa"/>
            <w:gridSpan w:val="2"/>
            <w:tcBorders>
              <w:top w:val="nil"/>
              <w:left w:val="nil"/>
              <w:bottom w:val="nil"/>
              <w:right w:val="nil"/>
            </w:tcBorders>
            <w:shd w:val="clear" w:color="auto" w:fill="auto"/>
            <w:noWrap/>
            <w:vAlign w:val="center"/>
          </w:tcPr>
          <w:p w14:paraId="2C96BE06">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602A4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trPr>
        <w:tc>
          <w:tcPr>
            <w:tcW w:w="14120" w:type="dxa"/>
            <w:gridSpan w:val="9"/>
            <w:tcBorders>
              <w:top w:val="nil"/>
              <w:left w:val="nil"/>
              <w:bottom w:val="nil"/>
              <w:right w:val="nil"/>
            </w:tcBorders>
            <w:shd w:val="clear" w:color="auto" w:fill="auto"/>
            <w:noWrap/>
            <w:vAlign w:val="bottom"/>
          </w:tcPr>
          <w:p w14:paraId="1FDC10BF">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部门：湘潭县发展和改革局                                                                                                                     金额单位：万元</w:t>
            </w:r>
          </w:p>
        </w:tc>
      </w:tr>
      <w:tr w14:paraId="525EE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481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2A7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30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13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65385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1CB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8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B94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A0E0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BD9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DA1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A6A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E01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8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76E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9AB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4B83D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8EF46">
            <w:pPr>
              <w:jc w:val="center"/>
              <w:rPr>
                <w:rFonts w:hint="eastAsia" w:ascii="宋体" w:hAnsi="宋体" w:eastAsia="宋体" w:cs="宋体"/>
                <w:i w:val="0"/>
                <w:iCs w:val="0"/>
                <w:color w:val="000000"/>
                <w:sz w:val="22"/>
                <w:szCs w:val="22"/>
                <w:u w:val="none"/>
              </w:rPr>
            </w:pPr>
          </w:p>
        </w:tc>
        <w:tc>
          <w:tcPr>
            <w:tcW w:w="2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F1AC18">
            <w:pPr>
              <w:jc w:val="center"/>
              <w:rPr>
                <w:rFonts w:hint="eastAsia" w:ascii="宋体" w:hAnsi="宋体" w:eastAsia="宋体" w:cs="宋体"/>
                <w:i w:val="0"/>
                <w:iCs w:val="0"/>
                <w:color w:val="000000"/>
                <w:sz w:val="22"/>
                <w:szCs w:val="22"/>
                <w:u w:val="none"/>
              </w:rPr>
            </w:pPr>
          </w:p>
        </w:tc>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C4FA7B">
            <w:pPr>
              <w:jc w:val="center"/>
              <w:rPr>
                <w:rFonts w:hint="eastAsia" w:ascii="宋体" w:hAnsi="宋体" w:eastAsia="宋体" w:cs="宋体"/>
                <w:i w:val="0"/>
                <w:iCs w:val="0"/>
                <w:color w:val="000000"/>
                <w:sz w:val="22"/>
                <w:szCs w:val="22"/>
                <w:u w:val="none"/>
              </w:rPr>
            </w:pPr>
          </w:p>
        </w:tc>
        <w:tc>
          <w:tcPr>
            <w:tcW w:w="7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0DE68">
            <w:pPr>
              <w:jc w:val="center"/>
              <w:rPr>
                <w:rFonts w:hint="eastAsia" w:ascii="宋体" w:hAnsi="宋体" w:eastAsia="宋体" w:cs="宋体"/>
                <w:i w:val="0"/>
                <w:iCs w:val="0"/>
                <w:color w:val="000000"/>
                <w:sz w:val="22"/>
                <w:szCs w:val="22"/>
                <w:u w:val="none"/>
              </w:rPr>
            </w:pPr>
          </w:p>
        </w:tc>
        <w:tc>
          <w:tcPr>
            <w:tcW w:w="2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E0818">
            <w:pPr>
              <w:jc w:val="center"/>
              <w:rPr>
                <w:rFonts w:hint="eastAsia" w:ascii="宋体" w:hAnsi="宋体" w:eastAsia="宋体" w:cs="宋体"/>
                <w:i w:val="0"/>
                <w:iCs w:val="0"/>
                <w:color w:val="000000"/>
                <w:sz w:val="22"/>
                <w:szCs w:val="22"/>
                <w:u w:val="none"/>
              </w:rPr>
            </w:pPr>
          </w:p>
        </w:tc>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73555">
            <w:pPr>
              <w:jc w:val="center"/>
              <w:rPr>
                <w:rFonts w:hint="eastAsia" w:ascii="宋体" w:hAnsi="宋体" w:eastAsia="宋体" w:cs="宋体"/>
                <w:i w:val="0"/>
                <w:iCs w:val="0"/>
                <w:color w:val="000000"/>
                <w:sz w:val="22"/>
                <w:szCs w:val="22"/>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0265E">
            <w:pPr>
              <w:jc w:val="center"/>
              <w:rPr>
                <w:rFonts w:hint="eastAsia" w:ascii="宋体" w:hAnsi="宋体" w:eastAsia="宋体" w:cs="宋体"/>
                <w:i w:val="0"/>
                <w:iCs w:val="0"/>
                <w:color w:val="000000"/>
                <w:sz w:val="22"/>
                <w:szCs w:val="22"/>
                <w:u w:val="none"/>
              </w:rPr>
            </w:pPr>
          </w:p>
        </w:tc>
        <w:tc>
          <w:tcPr>
            <w:tcW w:w="28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3AE18">
            <w:pPr>
              <w:jc w:val="center"/>
              <w:rPr>
                <w:rFonts w:hint="eastAsia" w:ascii="宋体" w:hAnsi="宋体" w:eastAsia="宋体" w:cs="宋体"/>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9040E">
            <w:pPr>
              <w:jc w:val="center"/>
              <w:rPr>
                <w:rFonts w:hint="eastAsia" w:ascii="宋体" w:hAnsi="宋体" w:eastAsia="宋体" w:cs="宋体"/>
                <w:i w:val="0"/>
                <w:iCs w:val="0"/>
                <w:color w:val="000000"/>
                <w:sz w:val="22"/>
                <w:szCs w:val="22"/>
                <w:u w:val="none"/>
              </w:rPr>
            </w:pPr>
          </w:p>
        </w:tc>
      </w:tr>
      <w:tr w14:paraId="6F07A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524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82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B9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658.73</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0C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80C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F8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170.45</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74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583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07109">
            <w:pPr>
              <w:jc w:val="right"/>
              <w:rPr>
                <w:rFonts w:hint="eastAsia" w:ascii="宋体" w:hAnsi="宋体" w:eastAsia="宋体" w:cs="宋体"/>
                <w:i w:val="0"/>
                <w:iCs w:val="0"/>
                <w:color w:val="000000"/>
                <w:sz w:val="22"/>
                <w:szCs w:val="22"/>
                <w:u w:val="none"/>
              </w:rPr>
            </w:pPr>
          </w:p>
        </w:tc>
      </w:tr>
      <w:tr w14:paraId="16D3C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FD1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960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54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185.70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68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2D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E3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23.91</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01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0F6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EB8E5">
            <w:pPr>
              <w:jc w:val="right"/>
              <w:rPr>
                <w:rFonts w:hint="eastAsia" w:ascii="宋体" w:hAnsi="宋体" w:eastAsia="宋体" w:cs="宋体"/>
                <w:i w:val="0"/>
                <w:iCs w:val="0"/>
                <w:color w:val="000000"/>
                <w:sz w:val="22"/>
                <w:szCs w:val="22"/>
                <w:u w:val="none"/>
              </w:rPr>
            </w:pPr>
          </w:p>
        </w:tc>
      </w:tr>
      <w:tr w14:paraId="468AF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6D8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F3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53F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0.85</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59B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1F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AF0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724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72C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6D358">
            <w:pPr>
              <w:jc w:val="right"/>
              <w:rPr>
                <w:rFonts w:hint="eastAsia" w:ascii="宋体" w:hAnsi="宋体" w:eastAsia="宋体" w:cs="宋体"/>
                <w:i w:val="0"/>
                <w:iCs w:val="0"/>
                <w:color w:val="000000"/>
                <w:sz w:val="22"/>
                <w:szCs w:val="22"/>
                <w:u w:val="none"/>
              </w:rPr>
            </w:pPr>
          </w:p>
        </w:tc>
      </w:tr>
      <w:tr w14:paraId="03B7D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395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80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C98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131.79</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034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A4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7D5D6">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837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309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CE0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w:t>
            </w:r>
          </w:p>
        </w:tc>
      </w:tr>
      <w:tr w14:paraId="1CE90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632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49E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4A9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161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748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4A8D">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670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28E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B1ED9">
            <w:pPr>
              <w:jc w:val="right"/>
              <w:rPr>
                <w:rFonts w:hint="eastAsia" w:ascii="宋体" w:hAnsi="宋体" w:eastAsia="宋体" w:cs="宋体"/>
                <w:i w:val="0"/>
                <w:iCs w:val="0"/>
                <w:color w:val="000000"/>
                <w:sz w:val="22"/>
                <w:szCs w:val="22"/>
                <w:u w:val="none"/>
              </w:rPr>
            </w:pPr>
          </w:p>
        </w:tc>
      </w:tr>
      <w:tr w14:paraId="19242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88A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8C5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7DE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118.90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4D1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590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CA5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0.68</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71B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46C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A4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w:t>
            </w:r>
          </w:p>
        </w:tc>
      </w:tr>
      <w:tr w14:paraId="03BE2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B6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9E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712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65.35</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90E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A32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056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12.24</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B22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3E2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B289">
            <w:pPr>
              <w:jc w:val="right"/>
              <w:rPr>
                <w:rFonts w:hint="eastAsia" w:ascii="宋体" w:hAnsi="宋体" w:eastAsia="宋体" w:cs="宋体"/>
                <w:i w:val="0"/>
                <w:iCs w:val="0"/>
                <w:color w:val="000000"/>
                <w:sz w:val="22"/>
                <w:szCs w:val="22"/>
                <w:u w:val="none"/>
              </w:rPr>
            </w:pPr>
          </w:p>
        </w:tc>
      </w:tr>
      <w:tr w14:paraId="74CBA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077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5DF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E7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23.47</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A8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41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B4C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FD4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0C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01D9">
            <w:pPr>
              <w:jc w:val="right"/>
              <w:rPr>
                <w:rFonts w:hint="eastAsia" w:ascii="宋体" w:hAnsi="宋体" w:eastAsia="宋体" w:cs="宋体"/>
                <w:i w:val="0"/>
                <w:iCs w:val="0"/>
                <w:color w:val="000000"/>
                <w:sz w:val="22"/>
                <w:szCs w:val="22"/>
                <w:u w:val="none"/>
              </w:rPr>
            </w:pPr>
          </w:p>
        </w:tc>
      </w:tr>
      <w:tr w14:paraId="4DDB4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071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E1A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710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37.11</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025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0AF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8B8B">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32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C1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AB85E">
            <w:pPr>
              <w:jc w:val="right"/>
              <w:rPr>
                <w:rFonts w:hint="eastAsia" w:ascii="宋体" w:hAnsi="宋体" w:eastAsia="宋体" w:cs="宋体"/>
                <w:i w:val="0"/>
                <w:iCs w:val="0"/>
                <w:color w:val="000000"/>
                <w:sz w:val="22"/>
                <w:szCs w:val="22"/>
                <w:u w:val="none"/>
              </w:rPr>
            </w:pPr>
          </w:p>
        </w:tc>
      </w:tr>
      <w:tr w14:paraId="20FC2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26B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DB9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83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766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E3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F508F">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A18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C3D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8AA7C">
            <w:pPr>
              <w:jc w:val="right"/>
              <w:rPr>
                <w:rFonts w:hint="eastAsia" w:ascii="宋体" w:hAnsi="宋体" w:eastAsia="宋体" w:cs="宋体"/>
                <w:i w:val="0"/>
                <w:iCs w:val="0"/>
                <w:color w:val="000000"/>
                <w:sz w:val="22"/>
                <w:szCs w:val="22"/>
                <w:u w:val="none"/>
              </w:rPr>
            </w:pPr>
          </w:p>
        </w:tc>
      </w:tr>
      <w:tr w14:paraId="7FDBA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53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5E4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5D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E9F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428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94E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8E2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547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FAF44">
            <w:pPr>
              <w:jc w:val="right"/>
              <w:rPr>
                <w:rFonts w:hint="eastAsia" w:ascii="宋体" w:hAnsi="宋体" w:eastAsia="宋体" w:cs="宋体"/>
                <w:i w:val="0"/>
                <w:iCs w:val="0"/>
                <w:color w:val="000000"/>
                <w:sz w:val="22"/>
                <w:szCs w:val="22"/>
                <w:u w:val="none"/>
              </w:rPr>
            </w:pPr>
          </w:p>
        </w:tc>
      </w:tr>
      <w:tr w14:paraId="08427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A39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18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93C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55.36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DC5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D0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0F12F">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744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3F7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7719">
            <w:pPr>
              <w:jc w:val="right"/>
              <w:rPr>
                <w:rFonts w:hint="eastAsia" w:ascii="宋体" w:hAnsi="宋体" w:eastAsia="宋体" w:cs="宋体"/>
                <w:i w:val="0"/>
                <w:iCs w:val="0"/>
                <w:color w:val="000000"/>
                <w:sz w:val="22"/>
                <w:szCs w:val="22"/>
                <w:u w:val="none"/>
              </w:rPr>
            </w:pPr>
          </w:p>
        </w:tc>
      </w:tr>
      <w:tr w14:paraId="749F8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F1A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6D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C6A3A">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145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8C9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C5C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3A3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EE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7714F">
            <w:pPr>
              <w:jc w:val="right"/>
              <w:rPr>
                <w:rFonts w:hint="eastAsia" w:ascii="宋体" w:hAnsi="宋体" w:eastAsia="宋体" w:cs="宋体"/>
                <w:i w:val="0"/>
                <w:iCs w:val="0"/>
                <w:color w:val="000000"/>
                <w:sz w:val="22"/>
                <w:szCs w:val="22"/>
                <w:u w:val="none"/>
              </w:rPr>
            </w:pPr>
          </w:p>
        </w:tc>
      </w:tr>
      <w:tr w14:paraId="078EF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11F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ADB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B07A2">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36F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896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E80AA">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0A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B77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49B1D">
            <w:pPr>
              <w:jc w:val="right"/>
              <w:rPr>
                <w:rFonts w:hint="eastAsia" w:ascii="宋体" w:hAnsi="宋体" w:eastAsia="宋体" w:cs="宋体"/>
                <w:i w:val="0"/>
                <w:iCs w:val="0"/>
                <w:color w:val="000000"/>
                <w:sz w:val="22"/>
                <w:szCs w:val="22"/>
                <w:u w:val="none"/>
              </w:rPr>
            </w:pPr>
          </w:p>
        </w:tc>
      </w:tr>
      <w:tr w14:paraId="2979A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02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A5A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CE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125.74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BF7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577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F9533">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5E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A9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EEBDA">
            <w:pPr>
              <w:jc w:val="right"/>
              <w:rPr>
                <w:rFonts w:hint="eastAsia" w:ascii="宋体" w:hAnsi="宋体" w:eastAsia="宋体" w:cs="宋体"/>
                <w:i w:val="0"/>
                <w:iCs w:val="0"/>
                <w:color w:val="000000"/>
                <w:sz w:val="22"/>
                <w:szCs w:val="22"/>
                <w:u w:val="none"/>
              </w:rPr>
            </w:pPr>
          </w:p>
        </w:tc>
      </w:tr>
      <w:tr w14:paraId="441BE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C6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7A0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814B4">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38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BAC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B4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0.26</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68C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457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B2D7C">
            <w:pPr>
              <w:jc w:val="right"/>
              <w:rPr>
                <w:rFonts w:hint="eastAsia" w:ascii="宋体" w:hAnsi="宋体" w:eastAsia="宋体" w:cs="宋体"/>
                <w:i w:val="0"/>
                <w:iCs w:val="0"/>
                <w:color w:val="000000"/>
                <w:sz w:val="22"/>
                <w:szCs w:val="22"/>
                <w:u w:val="none"/>
              </w:rPr>
            </w:pPr>
          </w:p>
        </w:tc>
      </w:tr>
      <w:tr w14:paraId="43737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B75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79C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CCC15">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82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C18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5F23">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34A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A12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F3AAC">
            <w:pPr>
              <w:jc w:val="right"/>
              <w:rPr>
                <w:rFonts w:hint="eastAsia" w:ascii="宋体" w:hAnsi="宋体" w:eastAsia="宋体" w:cs="宋体"/>
                <w:i w:val="0"/>
                <w:iCs w:val="0"/>
                <w:color w:val="000000"/>
                <w:sz w:val="22"/>
                <w:szCs w:val="22"/>
                <w:u w:val="none"/>
              </w:rPr>
            </w:pPr>
          </w:p>
        </w:tc>
      </w:tr>
      <w:tr w14:paraId="24751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B31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6FF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8C972">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923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B6C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1BA3E">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AAD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2F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F285">
            <w:pPr>
              <w:jc w:val="right"/>
              <w:rPr>
                <w:rFonts w:hint="eastAsia" w:ascii="宋体" w:hAnsi="宋体" w:eastAsia="宋体" w:cs="宋体"/>
                <w:i w:val="0"/>
                <w:iCs w:val="0"/>
                <w:color w:val="000000"/>
                <w:sz w:val="22"/>
                <w:szCs w:val="22"/>
                <w:u w:val="none"/>
              </w:rPr>
            </w:pPr>
          </w:p>
        </w:tc>
      </w:tr>
      <w:tr w14:paraId="26A14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BD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10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0C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75.53</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CE3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42C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175ED">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BCA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E6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AED28">
            <w:pPr>
              <w:jc w:val="right"/>
              <w:rPr>
                <w:rFonts w:hint="eastAsia" w:ascii="宋体" w:hAnsi="宋体" w:eastAsia="宋体" w:cs="宋体"/>
                <w:i w:val="0"/>
                <w:iCs w:val="0"/>
                <w:color w:val="000000"/>
                <w:sz w:val="22"/>
                <w:szCs w:val="22"/>
                <w:u w:val="none"/>
              </w:rPr>
            </w:pPr>
          </w:p>
        </w:tc>
      </w:tr>
      <w:tr w14:paraId="460B7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5F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829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47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06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1D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0C8A9">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62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298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5982">
            <w:pPr>
              <w:jc w:val="right"/>
              <w:rPr>
                <w:rFonts w:hint="eastAsia" w:ascii="宋体" w:hAnsi="宋体" w:eastAsia="宋体" w:cs="宋体"/>
                <w:i w:val="0"/>
                <w:iCs w:val="0"/>
                <w:color w:val="000000"/>
                <w:sz w:val="22"/>
                <w:szCs w:val="22"/>
                <w:u w:val="none"/>
              </w:rPr>
            </w:pPr>
          </w:p>
        </w:tc>
      </w:tr>
      <w:tr w14:paraId="42DCB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880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5EC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EE76">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9AC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6F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F24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12.67</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744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BCD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7CF0">
            <w:pPr>
              <w:jc w:val="right"/>
              <w:rPr>
                <w:rFonts w:hint="eastAsia" w:ascii="宋体" w:hAnsi="宋体" w:eastAsia="宋体" w:cs="宋体"/>
                <w:i w:val="0"/>
                <w:iCs w:val="0"/>
                <w:color w:val="000000"/>
                <w:sz w:val="22"/>
                <w:szCs w:val="22"/>
                <w:u w:val="none"/>
              </w:rPr>
            </w:pPr>
          </w:p>
        </w:tc>
      </w:tr>
      <w:tr w14:paraId="18286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8FD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041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54E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03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E88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193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172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EAE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EB693">
            <w:pPr>
              <w:jc w:val="right"/>
              <w:rPr>
                <w:rFonts w:hint="eastAsia" w:ascii="宋体" w:hAnsi="宋体" w:eastAsia="宋体" w:cs="宋体"/>
                <w:i w:val="0"/>
                <w:iCs w:val="0"/>
                <w:color w:val="000000"/>
                <w:sz w:val="22"/>
                <w:szCs w:val="22"/>
                <w:u w:val="none"/>
              </w:rPr>
            </w:pPr>
          </w:p>
        </w:tc>
      </w:tr>
      <w:tr w14:paraId="00D3D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57E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61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2FB9">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C88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5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CF4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31.96</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87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8C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86E9B">
            <w:pPr>
              <w:jc w:val="right"/>
              <w:rPr>
                <w:rFonts w:hint="eastAsia" w:ascii="宋体" w:hAnsi="宋体" w:eastAsia="宋体" w:cs="宋体"/>
                <w:i w:val="0"/>
                <w:iCs w:val="0"/>
                <w:color w:val="000000"/>
                <w:sz w:val="22"/>
                <w:szCs w:val="22"/>
                <w:u w:val="none"/>
              </w:rPr>
            </w:pPr>
          </w:p>
        </w:tc>
      </w:tr>
      <w:tr w14:paraId="3A037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A89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DA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0CC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35E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110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8D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13.11</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E5D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EE6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E9B59">
            <w:pPr>
              <w:jc w:val="right"/>
              <w:rPr>
                <w:rFonts w:hint="eastAsia" w:ascii="宋体" w:hAnsi="宋体" w:eastAsia="宋体" w:cs="宋体"/>
                <w:i w:val="0"/>
                <w:iCs w:val="0"/>
                <w:color w:val="000000"/>
                <w:sz w:val="22"/>
                <w:szCs w:val="22"/>
                <w:u w:val="none"/>
              </w:rPr>
            </w:pPr>
          </w:p>
        </w:tc>
      </w:tr>
      <w:tr w14:paraId="4B34A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BD4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F3E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AFFB">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6DA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807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515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C7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91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7B6BD">
            <w:pPr>
              <w:jc w:val="right"/>
              <w:rPr>
                <w:rFonts w:hint="eastAsia" w:ascii="宋体" w:hAnsi="宋体" w:eastAsia="宋体" w:cs="宋体"/>
                <w:i w:val="0"/>
                <w:iCs w:val="0"/>
                <w:color w:val="000000"/>
                <w:sz w:val="22"/>
                <w:szCs w:val="22"/>
                <w:u w:val="none"/>
              </w:rPr>
            </w:pPr>
          </w:p>
        </w:tc>
      </w:tr>
      <w:tr w14:paraId="34F5F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22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162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17926">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14B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946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204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33.92</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714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ED8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D7589">
            <w:pPr>
              <w:jc w:val="right"/>
              <w:rPr>
                <w:rFonts w:hint="eastAsia" w:ascii="宋体" w:hAnsi="宋体" w:eastAsia="宋体" w:cs="宋体"/>
                <w:i w:val="0"/>
                <w:iCs w:val="0"/>
                <w:color w:val="000000"/>
                <w:sz w:val="22"/>
                <w:szCs w:val="22"/>
                <w:u w:val="none"/>
              </w:rPr>
            </w:pPr>
          </w:p>
        </w:tc>
      </w:tr>
      <w:tr w14:paraId="75F95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45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8EB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23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2B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FD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5B284">
            <w:pPr>
              <w:jc w:val="right"/>
              <w:rPr>
                <w:rFonts w:hint="eastAsia" w:ascii="宋体" w:hAnsi="宋体" w:eastAsia="宋体" w:cs="宋体"/>
                <w:i w:val="0"/>
                <w:iCs w:val="0"/>
                <w:color w:val="000000"/>
                <w:sz w:val="22"/>
                <w:szCs w:val="22"/>
                <w:u w:val="none"/>
              </w:rPr>
            </w:pP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05477">
            <w:pPr>
              <w:jc w:val="left"/>
              <w:rPr>
                <w:rFonts w:hint="eastAsia" w:ascii="宋体" w:hAnsi="宋体" w:eastAsia="宋体" w:cs="宋体"/>
                <w:i w:val="0"/>
                <w:iCs w:val="0"/>
                <w:color w:val="000000"/>
                <w:sz w:val="22"/>
                <w:szCs w:val="22"/>
                <w:u w:val="none"/>
              </w:rPr>
            </w:pP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88610">
            <w:pPr>
              <w:jc w:val="left"/>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B87F8">
            <w:pPr>
              <w:jc w:val="right"/>
              <w:rPr>
                <w:rFonts w:hint="eastAsia" w:ascii="宋体" w:hAnsi="宋体" w:eastAsia="宋体" w:cs="宋体"/>
                <w:i w:val="0"/>
                <w:iCs w:val="0"/>
                <w:color w:val="000000"/>
                <w:sz w:val="22"/>
                <w:szCs w:val="22"/>
                <w:u w:val="none"/>
              </w:rPr>
            </w:pPr>
          </w:p>
        </w:tc>
      </w:tr>
      <w:tr w14:paraId="1808E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55B10">
            <w:pPr>
              <w:jc w:val="left"/>
              <w:rPr>
                <w:rFonts w:hint="eastAsia" w:ascii="宋体" w:hAnsi="宋体" w:eastAsia="宋体" w:cs="宋体"/>
                <w:i w:val="0"/>
                <w:iCs w:val="0"/>
                <w:color w:val="000000"/>
                <w:sz w:val="22"/>
                <w:szCs w:val="22"/>
                <w:u w:val="none"/>
              </w:rPr>
            </w:pPr>
          </w:p>
        </w:tc>
        <w:tc>
          <w:tcPr>
            <w:tcW w:w="2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BA47">
            <w:pPr>
              <w:jc w:val="left"/>
              <w:rPr>
                <w:rFonts w:hint="eastAsia" w:ascii="宋体" w:hAnsi="宋体" w:eastAsia="宋体" w:cs="宋体"/>
                <w:i w:val="0"/>
                <w:iCs w:val="0"/>
                <w:color w:val="000000"/>
                <w:sz w:val="22"/>
                <w:szCs w:val="22"/>
                <w:u w:val="none"/>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23F88">
            <w:pPr>
              <w:jc w:val="right"/>
              <w:rPr>
                <w:rFonts w:hint="eastAsia" w:ascii="宋体" w:hAnsi="宋体" w:eastAsia="宋体" w:cs="宋体"/>
                <w:i w:val="0"/>
                <w:iCs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46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53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8A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17.13</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D3477">
            <w:pPr>
              <w:jc w:val="left"/>
              <w:rPr>
                <w:rFonts w:hint="eastAsia" w:ascii="宋体" w:hAnsi="宋体" w:eastAsia="宋体" w:cs="宋体"/>
                <w:i w:val="0"/>
                <w:iCs w:val="0"/>
                <w:color w:val="000000"/>
                <w:sz w:val="22"/>
                <w:szCs w:val="22"/>
                <w:u w:val="none"/>
              </w:rPr>
            </w:pPr>
          </w:p>
        </w:tc>
        <w:tc>
          <w:tcPr>
            <w:tcW w:w="2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36BC4">
            <w:pPr>
              <w:jc w:val="left"/>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7428C">
            <w:pPr>
              <w:jc w:val="right"/>
              <w:rPr>
                <w:rFonts w:hint="eastAsia" w:ascii="宋体" w:hAnsi="宋体" w:eastAsia="宋体" w:cs="宋体"/>
                <w:i w:val="0"/>
                <w:iCs w:val="0"/>
                <w:color w:val="000000"/>
                <w:sz w:val="22"/>
                <w:szCs w:val="22"/>
                <w:u w:val="none"/>
              </w:rPr>
            </w:pPr>
          </w:p>
        </w:tc>
      </w:tr>
      <w:tr w14:paraId="6524F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36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F27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92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784.47</w:t>
            </w:r>
          </w:p>
        </w:tc>
        <w:tc>
          <w:tcPr>
            <w:tcW w:w="84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72B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827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176.32</w:t>
            </w:r>
          </w:p>
        </w:tc>
      </w:tr>
      <w:tr w14:paraId="730AC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4120" w:type="dxa"/>
            <w:gridSpan w:val="9"/>
            <w:tcBorders>
              <w:top w:val="nil"/>
              <w:left w:val="single" w:color="000000" w:sz="4" w:space="0"/>
              <w:bottom w:val="single" w:color="000000" w:sz="4" w:space="0"/>
              <w:right w:val="single" w:color="000000" w:sz="4" w:space="0"/>
            </w:tcBorders>
            <w:shd w:val="clear" w:color="auto" w:fill="auto"/>
            <w:noWrap/>
            <w:vAlign w:val="center"/>
          </w:tcPr>
          <w:p w14:paraId="68E9E3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631C0110">
      <w:pPr>
        <w:pStyle w:val="8"/>
      </w:pPr>
    </w:p>
    <w:p w14:paraId="5631A5C3">
      <w:pPr>
        <w:pStyle w:val="4"/>
      </w:pPr>
    </w:p>
    <w:p w14:paraId="0F5690E7"/>
    <w:p w14:paraId="3B1FD858">
      <w:pPr>
        <w:pStyle w:val="8"/>
      </w:pPr>
    </w:p>
    <w:p w14:paraId="0A82BEB3">
      <w:pPr>
        <w:pStyle w:val="4"/>
      </w:pPr>
    </w:p>
    <w:p w14:paraId="17499ADB"/>
    <w:p w14:paraId="6BEBC46E">
      <w:pPr>
        <w:pStyle w:val="8"/>
      </w:pPr>
    </w:p>
    <w:p w14:paraId="53DA8901">
      <w:pPr>
        <w:pStyle w:val="4"/>
      </w:pPr>
    </w:p>
    <w:p w14:paraId="55D3754D">
      <w:pPr>
        <w:pStyle w:val="8"/>
      </w:pPr>
    </w:p>
    <w:p w14:paraId="4BBD34DF">
      <w:pPr>
        <w:keepNext w:val="0"/>
        <w:keepLines w:val="0"/>
        <w:widowControl/>
        <w:suppressLineNumbers w:val="0"/>
        <w:jc w:val="center"/>
        <w:textAlignment w:val="center"/>
        <w:rPr>
          <w:rFonts w:hint="eastAsia" w:ascii="黑体" w:hAnsi="宋体" w:eastAsia="黑体" w:cs="黑体"/>
          <w:i w:val="0"/>
          <w:iCs w:val="0"/>
          <w:color w:val="000000"/>
          <w:kern w:val="0"/>
          <w:sz w:val="30"/>
          <w:szCs w:val="30"/>
          <w:u w:val="none"/>
          <w:lang w:val="en-US" w:eastAsia="zh-CN" w:bidi="ar"/>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bl>
      <w:tblPr>
        <w:tblStyle w:val="10"/>
        <w:tblW w:w="13869" w:type="dxa"/>
        <w:tblInd w:w="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69"/>
      </w:tblGrid>
      <w:tr w14:paraId="3326D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13869" w:type="dxa"/>
            <w:tcBorders>
              <w:top w:val="nil"/>
              <w:left w:val="nil"/>
              <w:bottom w:val="nil"/>
              <w:right w:val="nil"/>
            </w:tcBorders>
            <w:shd w:val="clear" w:color="auto" w:fill="auto"/>
            <w:noWrap/>
            <w:vAlign w:val="center"/>
          </w:tcPr>
          <w:p w14:paraId="67F2A280">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00E06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3869" w:type="dxa"/>
            <w:tcBorders>
              <w:top w:val="nil"/>
              <w:left w:val="nil"/>
              <w:bottom w:val="nil"/>
              <w:right w:val="nil"/>
            </w:tcBorders>
            <w:shd w:val="clear" w:color="auto" w:fill="auto"/>
            <w:noWrap/>
            <w:vAlign w:val="bottom"/>
          </w:tcPr>
          <w:p w14:paraId="73D82C8F">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                                                                                                金额单位：万元</w:t>
            </w:r>
          </w:p>
        </w:tc>
      </w:tr>
    </w:tbl>
    <w:p w14:paraId="21C0281E">
      <w:pPr>
        <w:pStyle w:val="8"/>
        <w:rPr>
          <w:rFonts w:hint="eastAsia"/>
          <w:lang w:val="en-US" w:eastAsia="zh-CN"/>
        </w:rPr>
      </w:pPr>
    </w:p>
    <w:tbl>
      <w:tblPr>
        <w:tblStyle w:val="10"/>
        <w:tblW w:w="142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3"/>
        <w:gridCol w:w="1966"/>
        <w:gridCol w:w="1668"/>
        <w:gridCol w:w="1750"/>
        <w:gridCol w:w="1816"/>
        <w:gridCol w:w="1900"/>
        <w:gridCol w:w="1659"/>
        <w:gridCol w:w="1641"/>
        <w:gridCol w:w="281"/>
      </w:tblGrid>
      <w:tr w14:paraId="1D102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613" w:hRule="atLeast"/>
          <w:jc w:val="center"/>
        </w:trPr>
        <w:tc>
          <w:tcPr>
            <w:tcW w:w="3549" w:type="dxa"/>
            <w:gridSpan w:val="2"/>
            <w:tcBorders>
              <w:tl2br w:val="nil"/>
              <w:tr2bl w:val="nil"/>
            </w:tcBorders>
            <w:shd w:val="clear" w:color="auto" w:fill="auto"/>
            <w:vAlign w:val="center"/>
          </w:tcPr>
          <w:p w14:paraId="09E36E64">
            <w:pPr>
              <w:widowControl/>
              <w:jc w:val="center"/>
              <w:rPr>
                <w:rFonts w:ascii="宋体" w:hAnsi="宋体" w:eastAsia="宋体" w:cs="宋体"/>
                <w:b w:val="0"/>
                <w:bCs/>
                <w:kern w:val="0"/>
                <w:szCs w:val="21"/>
              </w:rPr>
            </w:pPr>
            <w:r>
              <w:rPr>
                <w:rFonts w:hint="eastAsia" w:ascii="宋体" w:hAnsi="宋体" w:eastAsia="宋体" w:cs="宋体"/>
                <w:b w:val="0"/>
                <w:bCs/>
                <w:kern w:val="0"/>
                <w:szCs w:val="21"/>
              </w:rPr>
              <w:t>项 目</w:t>
            </w:r>
          </w:p>
        </w:tc>
        <w:tc>
          <w:tcPr>
            <w:tcW w:w="1668" w:type="dxa"/>
            <w:vMerge w:val="restart"/>
            <w:tcBorders>
              <w:tl2br w:val="nil"/>
              <w:tr2bl w:val="nil"/>
            </w:tcBorders>
            <w:shd w:val="clear" w:color="auto" w:fill="auto"/>
            <w:vAlign w:val="center"/>
          </w:tcPr>
          <w:p w14:paraId="77A5EA4E">
            <w:pPr>
              <w:widowControl/>
              <w:jc w:val="center"/>
              <w:rPr>
                <w:rFonts w:ascii="宋体" w:hAnsi="宋体" w:eastAsia="宋体" w:cs="宋体"/>
                <w:b w:val="0"/>
                <w:bCs/>
                <w:kern w:val="0"/>
                <w:szCs w:val="21"/>
              </w:rPr>
            </w:pPr>
            <w:r>
              <w:rPr>
                <w:rFonts w:hint="eastAsia" w:ascii="宋体" w:hAnsi="宋体" w:eastAsia="宋体" w:cs="宋体"/>
                <w:b w:val="0"/>
                <w:bCs/>
                <w:kern w:val="0"/>
                <w:szCs w:val="21"/>
              </w:rPr>
              <w:t>年初结转和结余</w:t>
            </w:r>
          </w:p>
        </w:tc>
        <w:tc>
          <w:tcPr>
            <w:tcW w:w="1750" w:type="dxa"/>
            <w:vMerge w:val="restart"/>
            <w:tcBorders>
              <w:tl2br w:val="nil"/>
              <w:tr2bl w:val="nil"/>
            </w:tcBorders>
            <w:shd w:val="clear" w:color="auto" w:fill="auto"/>
            <w:vAlign w:val="center"/>
          </w:tcPr>
          <w:p w14:paraId="65550C0E">
            <w:pPr>
              <w:widowControl/>
              <w:jc w:val="center"/>
              <w:rPr>
                <w:rFonts w:ascii="宋体" w:hAnsi="宋体" w:eastAsia="宋体" w:cs="宋体"/>
                <w:b w:val="0"/>
                <w:bCs/>
                <w:kern w:val="0"/>
                <w:szCs w:val="21"/>
              </w:rPr>
            </w:pPr>
            <w:r>
              <w:rPr>
                <w:rFonts w:hint="eastAsia" w:ascii="宋体" w:hAnsi="宋体" w:eastAsia="宋体" w:cs="宋体"/>
                <w:b w:val="0"/>
                <w:bCs/>
                <w:kern w:val="0"/>
                <w:szCs w:val="21"/>
              </w:rPr>
              <w:t>本年收入</w:t>
            </w:r>
          </w:p>
        </w:tc>
        <w:tc>
          <w:tcPr>
            <w:tcW w:w="5375" w:type="dxa"/>
            <w:gridSpan w:val="3"/>
            <w:tcBorders>
              <w:tl2br w:val="nil"/>
              <w:tr2bl w:val="nil"/>
            </w:tcBorders>
            <w:shd w:val="clear" w:color="auto" w:fill="auto"/>
            <w:vAlign w:val="center"/>
          </w:tcPr>
          <w:p w14:paraId="7380BC95">
            <w:pPr>
              <w:widowControl/>
              <w:jc w:val="center"/>
              <w:rPr>
                <w:rFonts w:ascii="宋体" w:hAnsi="宋体" w:eastAsia="宋体" w:cs="宋体"/>
                <w:b w:val="0"/>
                <w:bCs/>
                <w:kern w:val="0"/>
                <w:szCs w:val="21"/>
              </w:rPr>
            </w:pPr>
            <w:r>
              <w:rPr>
                <w:rFonts w:hint="eastAsia" w:ascii="宋体" w:hAnsi="宋体" w:eastAsia="宋体" w:cs="宋体"/>
                <w:b w:val="0"/>
                <w:bCs/>
                <w:kern w:val="0"/>
                <w:szCs w:val="21"/>
              </w:rPr>
              <w:t>本年支出</w:t>
            </w:r>
          </w:p>
        </w:tc>
        <w:tc>
          <w:tcPr>
            <w:tcW w:w="1641" w:type="dxa"/>
            <w:vMerge w:val="restart"/>
            <w:tcBorders>
              <w:tl2br w:val="nil"/>
              <w:tr2bl w:val="nil"/>
            </w:tcBorders>
            <w:shd w:val="clear" w:color="auto" w:fill="auto"/>
            <w:vAlign w:val="center"/>
          </w:tcPr>
          <w:p w14:paraId="5C5FF236">
            <w:pPr>
              <w:widowControl/>
              <w:jc w:val="center"/>
              <w:rPr>
                <w:rFonts w:ascii="宋体" w:hAnsi="宋体" w:eastAsia="宋体" w:cs="宋体"/>
                <w:b w:val="0"/>
                <w:bCs/>
                <w:kern w:val="0"/>
                <w:szCs w:val="21"/>
              </w:rPr>
            </w:pPr>
            <w:r>
              <w:rPr>
                <w:rFonts w:hint="eastAsia" w:ascii="宋体" w:hAnsi="宋体" w:eastAsia="宋体" w:cs="宋体"/>
                <w:b w:val="0"/>
                <w:bCs/>
                <w:kern w:val="0"/>
                <w:szCs w:val="21"/>
              </w:rPr>
              <w:t>年末结转和结余</w:t>
            </w:r>
          </w:p>
        </w:tc>
      </w:tr>
      <w:tr w14:paraId="0DAD6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1583" w:type="dxa"/>
            <w:vMerge w:val="restart"/>
            <w:tcBorders>
              <w:tl2br w:val="nil"/>
              <w:tr2bl w:val="nil"/>
            </w:tcBorders>
            <w:shd w:val="clear" w:color="auto" w:fill="auto"/>
            <w:vAlign w:val="center"/>
          </w:tcPr>
          <w:p w14:paraId="7771EC0D">
            <w:pPr>
              <w:widowControl/>
              <w:jc w:val="center"/>
              <w:rPr>
                <w:rFonts w:ascii="宋体" w:hAnsi="宋体" w:eastAsia="宋体" w:cs="宋体"/>
                <w:b w:val="0"/>
                <w:bCs/>
                <w:kern w:val="0"/>
                <w:szCs w:val="21"/>
              </w:rPr>
            </w:pPr>
            <w:r>
              <w:rPr>
                <w:rFonts w:hint="eastAsia" w:ascii="宋体" w:hAnsi="宋体" w:eastAsia="宋体" w:cs="宋体"/>
                <w:b w:val="0"/>
                <w:bCs/>
                <w:kern w:val="0"/>
                <w:szCs w:val="21"/>
              </w:rPr>
              <w:t>功能分类科目编码</w:t>
            </w:r>
          </w:p>
        </w:tc>
        <w:tc>
          <w:tcPr>
            <w:tcW w:w="1966" w:type="dxa"/>
            <w:vMerge w:val="restart"/>
            <w:tcBorders>
              <w:tl2br w:val="nil"/>
              <w:tr2bl w:val="nil"/>
            </w:tcBorders>
            <w:shd w:val="clear" w:color="auto" w:fill="auto"/>
            <w:vAlign w:val="center"/>
          </w:tcPr>
          <w:p w14:paraId="1B5FD55D">
            <w:pPr>
              <w:widowControl/>
              <w:jc w:val="center"/>
              <w:rPr>
                <w:rFonts w:ascii="宋体" w:hAnsi="宋体" w:eastAsia="宋体" w:cs="宋体"/>
                <w:b w:val="0"/>
                <w:bCs/>
                <w:kern w:val="0"/>
                <w:szCs w:val="21"/>
              </w:rPr>
            </w:pPr>
            <w:r>
              <w:rPr>
                <w:rFonts w:hint="eastAsia" w:ascii="宋体" w:hAnsi="宋体" w:eastAsia="宋体" w:cs="宋体"/>
                <w:b w:val="0"/>
                <w:bCs/>
                <w:kern w:val="0"/>
                <w:szCs w:val="21"/>
              </w:rPr>
              <w:t>科目名称</w:t>
            </w:r>
          </w:p>
        </w:tc>
        <w:tc>
          <w:tcPr>
            <w:tcW w:w="1668" w:type="dxa"/>
            <w:vMerge w:val="continue"/>
            <w:tcBorders>
              <w:tl2br w:val="nil"/>
              <w:tr2bl w:val="nil"/>
            </w:tcBorders>
            <w:vAlign w:val="center"/>
          </w:tcPr>
          <w:p w14:paraId="3AD89A2B">
            <w:pPr>
              <w:widowControl/>
              <w:jc w:val="left"/>
              <w:rPr>
                <w:rFonts w:ascii="宋体" w:hAnsi="宋体" w:eastAsia="宋体" w:cs="宋体"/>
                <w:b w:val="0"/>
                <w:bCs/>
                <w:kern w:val="0"/>
                <w:szCs w:val="21"/>
              </w:rPr>
            </w:pPr>
          </w:p>
        </w:tc>
        <w:tc>
          <w:tcPr>
            <w:tcW w:w="1750" w:type="dxa"/>
            <w:vMerge w:val="continue"/>
            <w:tcBorders>
              <w:tl2br w:val="nil"/>
              <w:tr2bl w:val="nil"/>
            </w:tcBorders>
            <w:vAlign w:val="center"/>
          </w:tcPr>
          <w:p w14:paraId="0F6811A7">
            <w:pPr>
              <w:widowControl/>
              <w:jc w:val="left"/>
              <w:rPr>
                <w:rFonts w:ascii="宋体" w:hAnsi="宋体" w:eastAsia="宋体" w:cs="宋体"/>
                <w:b w:val="0"/>
                <w:bCs/>
                <w:kern w:val="0"/>
                <w:szCs w:val="21"/>
              </w:rPr>
            </w:pPr>
          </w:p>
        </w:tc>
        <w:tc>
          <w:tcPr>
            <w:tcW w:w="1816" w:type="dxa"/>
            <w:vMerge w:val="restart"/>
            <w:tcBorders>
              <w:tl2br w:val="nil"/>
              <w:tr2bl w:val="nil"/>
            </w:tcBorders>
            <w:shd w:val="clear" w:color="auto" w:fill="auto"/>
            <w:vAlign w:val="center"/>
          </w:tcPr>
          <w:p w14:paraId="14030918">
            <w:pPr>
              <w:widowControl/>
              <w:jc w:val="center"/>
              <w:rPr>
                <w:rFonts w:ascii="宋体" w:hAnsi="宋体" w:eastAsia="宋体" w:cs="宋体"/>
                <w:b w:val="0"/>
                <w:bCs/>
                <w:kern w:val="0"/>
                <w:szCs w:val="21"/>
              </w:rPr>
            </w:pPr>
            <w:r>
              <w:rPr>
                <w:rFonts w:hint="eastAsia" w:ascii="宋体" w:hAnsi="宋体" w:eastAsia="宋体" w:cs="宋体"/>
                <w:b w:val="0"/>
                <w:bCs/>
                <w:kern w:val="0"/>
                <w:szCs w:val="21"/>
              </w:rPr>
              <w:t>小计</w:t>
            </w:r>
          </w:p>
        </w:tc>
        <w:tc>
          <w:tcPr>
            <w:tcW w:w="1900" w:type="dxa"/>
            <w:vMerge w:val="restart"/>
            <w:tcBorders>
              <w:tl2br w:val="nil"/>
              <w:tr2bl w:val="nil"/>
            </w:tcBorders>
            <w:shd w:val="clear" w:color="auto" w:fill="auto"/>
            <w:vAlign w:val="center"/>
          </w:tcPr>
          <w:p w14:paraId="099BB5BE">
            <w:pPr>
              <w:widowControl/>
              <w:jc w:val="center"/>
              <w:rPr>
                <w:rFonts w:ascii="宋体" w:hAnsi="宋体" w:eastAsia="宋体" w:cs="宋体"/>
                <w:b w:val="0"/>
                <w:bCs/>
                <w:kern w:val="0"/>
                <w:szCs w:val="21"/>
              </w:rPr>
            </w:pPr>
            <w:r>
              <w:rPr>
                <w:rFonts w:hint="eastAsia" w:ascii="宋体" w:hAnsi="宋体" w:eastAsia="宋体" w:cs="宋体"/>
                <w:b w:val="0"/>
                <w:bCs/>
                <w:kern w:val="0"/>
                <w:szCs w:val="21"/>
              </w:rPr>
              <w:t xml:space="preserve">基本支出  </w:t>
            </w:r>
          </w:p>
        </w:tc>
        <w:tc>
          <w:tcPr>
            <w:tcW w:w="1659" w:type="dxa"/>
            <w:vMerge w:val="restart"/>
            <w:tcBorders>
              <w:tl2br w:val="nil"/>
              <w:tr2bl w:val="nil"/>
            </w:tcBorders>
            <w:shd w:val="clear" w:color="auto" w:fill="auto"/>
            <w:vAlign w:val="center"/>
          </w:tcPr>
          <w:p w14:paraId="4AEDF4CB">
            <w:pPr>
              <w:widowControl/>
              <w:jc w:val="center"/>
              <w:rPr>
                <w:rFonts w:ascii="宋体" w:hAnsi="宋体" w:eastAsia="宋体" w:cs="宋体"/>
                <w:b w:val="0"/>
                <w:bCs/>
                <w:kern w:val="0"/>
                <w:szCs w:val="21"/>
              </w:rPr>
            </w:pPr>
            <w:r>
              <w:rPr>
                <w:rFonts w:hint="eastAsia" w:ascii="宋体" w:hAnsi="宋体" w:eastAsia="宋体" w:cs="宋体"/>
                <w:b w:val="0"/>
                <w:bCs/>
                <w:kern w:val="0"/>
                <w:szCs w:val="21"/>
              </w:rPr>
              <w:t>项目支出</w:t>
            </w:r>
          </w:p>
        </w:tc>
        <w:tc>
          <w:tcPr>
            <w:tcW w:w="1641" w:type="dxa"/>
            <w:vMerge w:val="continue"/>
            <w:tcBorders>
              <w:tl2br w:val="nil"/>
              <w:tr2bl w:val="nil"/>
            </w:tcBorders>
            <w:vAlign w:val="center"/>
          </w:tcPr>
          <w:p w14:paraId="6B54D376">
            <w:pPr>
              <w:widowControl/>
              <w:jc w:val="left"/>
              <w:rPr>
                <w:rFonts w:ascii="宋体" w:hAnsi="宋体" w:eastAsia="宋体" w:cs="宋体"/>
                <w:b w:val="0"/>
                <w:bCs/>
                <w:kern w:val="0"/>
                <w:szCs w:val="21"/>
              </w:rPr>
            </w:pPr>
          </w:p>
        </w:tc>
      </w:tr>
      <w:tr w14:paraId="5863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1583" w:type="dxa"/>
            <w:vMerge w:val="continue"/>
            <w:tcBorders>
              <w:tl2br w:val="nil"/>
              <w:tr2bl w:val="nil"/>
            </w:tcBorders>
            <w:vAlign w:val="center"/>
          </w:tcPr>
          <w:p w14:paraId="77FDD2D2">
            <w:pPr>
              <w:widowControl/>
              <w:jc w:val="left"/>
              <w:rPr>
                <w:rFonts w:ascii="宋体" w:hAnsi="宋体" w:eastAsia="宋体" w:cs="宋体"/>
                <w:b w:val="0"/>
                <w:bCs/>
                <w:kern w:val="0"/>
                <w:szCs w:val="21"/>
              </w:rPr>
            </w:pPr>
          </w:p>
        </w:tc>
        <w:tc>
          <w:tcPr>
            <w:tcW w:w="1966" w:type="dxa"/>
            <w:vMerge w:val="continue"/>
            <w:tcBorders>
              <w:tl2br w:val="nil"/>
              <w:tr2bl w:val="nil"/>
            </w:tcBorders>
            <w:vAlign w:val="center"/>
          </w:tcPr>
          <w:p w14:paraId="36D09568">
            <w:pPr>
              <w:widowControl/>
              <w:jc w:val="left"/>
              <w:rPr>
                <w:rFonts w:ascii="宋体" w:hAnsi="宋体" w:eastAsia="宋体" w:cs="宋体"/>
                <w:b w:val="0"/>
                <w:bCs/>
                <w:kern w:val="0"/>
                <w:szCs w:val="21"/>
              </w:rPr>
            </w:pPr>
          </w:p>
        </w:tc>
        <w:tc>
          <w:tcPr>
            <w:tcW w:w="1668" w:type="dxa"/>
            <w:vMerge w:val="continue"/>
            <w:tcBorders>
              <w:tl2br w:val="nil"/>
              <w:tr2bl w:val="nil"/>
            </w:tcBorders>
            <w:vAlign w:val="center"/>
          </w:tcPr>
          <w:p w14:paraId="49652AAA">
            <w:pPr>
              <w:widowControl/>
              <w:jc w:val="left"/>
              <w:rPr>
                <w:rFonts w:ascii="宋体" w:hAnsi="宋体" w:eastAsia="宋体" w:cs="宋体"/>
                <w:b w:val="0"/>
                <w:bCs/>
                <w:kern w:val="0"/>
                <w:szCs w:val="21"/>
              </w:rPr>
            </w:pPr>
          </w:p>
        </w:tc>
        <w:tc>
          <w:tcPr>
            <w:tcW w:w="1750" w:type="dxa"/>
            <w:vMerge w:val="continue"/>
            <w:tcBorders>
              <w:tl2br w:val="nil"/>
              <w:tr2bl w:val="nil"/>
            </w:tcBorders>
            <w:vAlign w:val="center"/>
          </w:tcPr>
          <w:p w14:paraId="3ED5F95B">
            <w:pPr>
              <w:widowControl/>
              <w:jc w:val="left"/>
              <w:rPr>
                <w:rFonts w:ascii="宋体" w:hAnsi="宋体" w:eastAsia="宋体" w:cs="宋体"/>
                <w:b w:val="0"/>
                <w:bCs/>
                <w:kern w:val="0"/>
                <w:szCs w:val="21"/>
              </w:rPr>
            </w:pPr>
          </w:p>
        </w:tc>
        <w:tc>
          <w:tcPr>
            <w:tcW w:w="1816" w:type="dxa"/>
            <w:vMerge w:val="continue"/>
            <w:tcBorders>
              <w:tl2br w:val="nil"/>
              <w:tr2bl w:val="nil"/>
            </w:tcBorders>
            <w:vAlign w:val="center"/>
          </w:tcPr>
          <w:p w14:paraId="4FD65AE7">
            <w:pPr>
              <w:widowControl/>
              <w:jc w:val="left"/>
              <w:rPr>
                <w:rFonts w:ascii="宋体" w:hAnsi="宋体" w:eastAsia="宋体" w:cs="宋体"/>
                <w:b w:val="0"/>
                <w:bCs/>
                <w:kern w:val="0"/>
                <w:szCs w:val="21"/>
              </w:rPr>
            </w:pPr>
          </w:p>
        </w:tc>
        <w:tc>
          <w:tcPr>
            <w:tcW w:w="1900" w:type="dxa"/>
            <w:vMerge w:val="continue"/>
            <w:tcBorders>
              <w:tl2br w:val="nil"/>
              <w:tr2bl w:val="nil"/>
            </w:tcBorders>
            <w:vAlign w:val="center"/>
          </w:tcPr>
          <w:p w14:paraId="6E82D526">
            <w:pPr>
              <w:widowControl/>
              <w:jc w:val="left"/>
              <w:rPr>
                <w:rFonts w:ascii="宋体" w:hAnsi="宋体" w:eastAsia="宋体" w:cs="宋体"/>
                <w:b w:val="0"/>
                <w:bCs/>
                <w:kern w:val="0"/>
                <w:szCs w:val="21"/>
              </w:rPr>
            </w:pPr>
          </w:p>
        </w:tc>
        <w:tc>
          <w:tcPr>
            <w:tcW w:w="1659" w:type="dxa"/>
            <w:vMerge w:val="continue"/>
            <w:tcBorders>
              <w:tl2br w:val="nil"/>
              <w:tr2bl w:val="nil"/>
            </w:tcBorders>
            <w:vAlign w:val="center"/>
          </w:tcPr>
          <w:p w14:paraId="1CA9A3C6">
            <w:pPr>
              <w:widowControl/>
              <w:jc w:val="left"/>
              <w:rPr>
                <w:rFonts w:ascii="宋体" w:hAnsi="宋体" w:eastAsia="宋体" w:cs="宋体"/>
                <w:b w:val="0"/>
                <w:bCs/>
                <w:kern w:val="0"/>
                <w:szCs w:val="21"/>
              </w:rPr>
            </w:pPr>
          </w:p>
        </w:tc>
        <w:tc>
          <w:tcPr>
            <w:tcW w:w="1641" w:type="dxa"/>
            <w:vMerge w:val="continue"/>
            <w:tcBorders>
              <w:tl2br w:val="nil"/>
              <w:tr2bl w:val="nil"/>
            </w:tcBorders>
            <w:vAlign w:val="center"/>
          </w:tcPr>
          <w:p w14:paraId="4789DB9E">
            <w:pPr>
              <w:widowControl/>
              <w:jc w:val="left"/>
              <w:rPr>
                <w:rFonts w:ascii="宋体" w:hAnsi="宋体" w:eastAsia="宋体" w:cs="宋体"/>
                <w:b w:val="0"/>
                <w:bCs/>
                <w:kern w:val="0"/>
                <w:szCs w:val="21"/>
              </w:rPr>
            </w:pPr>
          </w:p>
        </w:tc>
      </w:tr>
      <w:tr w14:paraId="5D0CD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312" w:hRule="atLeast"/>
          <w:jc w:val="center"/>
        </w:trPr>
        <w:tc>
          <w:tcPr>
            <w:tcW w:w="1583" w:type="dxa"/>
            <w:vMerge w:val="continue"/>
            <w:tcBorders>
              <w:tl2br w:val="nil"/>
              <w:tr2bl w:val="nil"/>
            </w:tcBorders>
            <w:vAlign w:val="center"/>
          </w:tcPr>
          <w:p w14:paraId="33939587">
            <w:pPr>
              <w:widowControl/>
              <w:jc w:val="left"/>
              <w:rPr>
                <w:rFonts w:ascii="宋体" w:hAnsi="宋体" w:eastAsia="宋体" w:cs="宋体"/>
                <w:b w:val="0"/>
                <w:bCs/>
                <w:kern w:val="0"/>
                <w:szCs w:val="21"/>
              </w:rPr>
            </w:pPr>
          </w:p>
        </w:tc>
        <w:tc>
          <w:tcPr>
            <w:tcW w:w="1966" w:type="dxa"/>
            <w:vMerge w:val="continue"/>
            <w:tcBorders>
              <w:tl2br w:val="nil"/>
              <w:tr2bl w:val="nil"/>
            </w:tcBorders>
            <w:vAlign w:val="center"/>
          </w:tcPr>
          <w:p w14:paraId="482A9EEB">
            <w:pPr>
              <w:widowControl/>
              <w:jc w:val="left"/>
              <w:rPr>
                <w:rFonts w:ascii="宋体" w:hAnsi="宋体" w:eastAsia="宋体" w:cs="宋体"/>
                <w:b w:val="0"/>
                <w:bCs/>
                <w:kern w:val="0"/>
                <w:szCs w:val="21"/>
              </w:rPr>
            </w:pPr>
          </w:p>
        </w:tc>
        <w:tc>
          <w:tcPr>
            <w:tcW w:w="1668" w:type="dxa"/>
            <w:vMerge w:val="continue"/>
            <w:tcBorders>
              <w:tl2br w:val="nil"/>
              <w:tr2bl w:val="nil"/>
            </w:tcBorders>
            <w:vAlign w:val="center"/>
          </w:tcPr>
          <w:p w14:paraId="3203A81A">
            <w:pPr>
              <w:widowControl/>
              <w:jc w:val="left"/>
              <w:rPr>
                <w:rFonts w:ascii="宋体" w:hAnsi="宋体" w:eastAsia="宋体" w:cs="宋体"/>
                <w:b w:val="0"/>
                <w:bCs/>
                <w:kern w:val="0"/>
                <w:szCs w:val="21"/>
              </w:rPr>
            </w:pPr>
          </w:p>
        </w:tc>
        <w:tc>
          <w:tcPr>
            <w:tcW w:w="1750" w:type="dxa"/>
            <w:vMerge w:val="continue"/>
            <w:tcBorders>
              <w:tl2br w:val="nil"/>
              <w:tr2bl w:val="nil"/>
            </w:tcBorders>
            <w:vAlign w:val="center"/>
          </w:tcPr>
          <w:p w14:paraId="18A68D6E">
            <w:pPr>
              <w:widowControl/>
              <w:jc w:val="left"/>
              <w:rPr>
                <w:rFonts w:ascii="宋体" w:hAnsi="宋体" w:eastAsia="宋体" w:cs="宋体"/>
                <w:b w:val="0"/>
                <w:bCs/>
                <w:kern w:val="0"/>
                <w:szCs w:val="21"/>
              </w:rPr>
            </w:pPr>
          </w:p>
        </w:tc>
        <w:tc>
          <w:tcPr>
            <w:tcW w:w="1816" w:type="dxa"/>
            <w:vMerge w:val="continue"/>
            <w:tcBorders>
              <w:tl2br w:val="nil"/>
              <w:tr2bl w:val="nil"/>
            </w:tcBorders>
            <w:vAlign w:val="center"/>
          </w:tcPr>
          <w:p w14:paraId="43100A60">
            <w:pPr>
              <w:widowControl/>
              <w:jc w:val="left"/>
              <w:rPr>
                <w:rFonts w:ascii="宋体" w:hAnsi="宋体" w:eastAsia="宋体" w:cs="宋体"/>
                <w:b w:val="0"/>
                <w:bCs/>
                <w:kern w:val="0"/>
                <w:szCs w:val="21"/>
              </w:rPr>
            </w:pPr>
          </w:p>
        </w:tc>
        <w:tc>
          <w:tcPr>
            <w:tcW w:w="1900" w:type="dxa"/>
            <w:vMerge w:val="continue"/>
            <w:tcBorders>
              <w:tl2br w:val="nil"/>
              <w:tr2bl w:val="nil"/>
            </w:tcBorders>
            <w:vAlign w:val="center"/>
          </w:tcPr>
          <w:p w14:paraId="09A7D743">
            <w:pPr>
              <w:widowControl/>
              <w:jc w:val="left"/>
              <w:rPr>
                <w:rFonts w:ascii="宋体" w:hAnsi="宋体" w:eastAsia="宋体" w:cs="宋体"/>
                <w:b w:val="0"/>
                <w:bCs/>
                <w:kern w:val="0"/>
                <w:szCs w:val="21"/>
              </w:rPr>
            </w:pPr>
          </w:p>
        </w:tc>
        <w:tc>
          <w:tcPr>
            <w:tcW w:w="1659" w:type="dxa"/>
            <w:vMerge w:val="continue"/>
            <w:tcBorders>
              <w:tl2br w:val="nil"/>
              <w:tr2bl w:val="nil"/>
            </w:tcBorders>
            <w:vAlign w:val="center"/>
          </w:tcPr>
          <w:p w14:paraId="70E98CC2">
            <w:pPr>
              <w:widowControl/>
              <w:jc w:val="left"/>
              <w:rPr>
                <w:rFonts w:ascii="宋体" w:hAnsi="宋体" w:eastAsia="宋体" w:cs="宋体"/>
                <w:b w:val="0"/>
                <w:bCs/>
                <w:kern w:val="0"/>
                <w:szCs w:val="21"/>
              </w:rPr>
            </w:pPr>
          </w:p>
        </w:tc>
        <w:tc>
          <w:tcPr>
            <w:tcW w:w="1641" w:type="dxa"/>
            <w:vMerge w:val="continue"/>
            <w:tcBorders>
              <w:tl2br w:val="nil"/>
              <w:tr2bl w:val="nil"/>
            </w:tcBorders>
            <w:vAlign w:val="center"/>
          </w:tcPr>
          <w:p w14:paraId="7E1E05E5">
            <w:pPr>
              <w:widowControl/>
              <w:jc w:val="left"/>
              <w:rPr>
                <w:rFonts w:ascii="宋体" w:hAnsi="宋体" w:eastAsia="宋体" w:cs="宋体"/>
                <w:b w:val="0"/>
                <w:bCs/>
                <w:kern w:val="0"/>
                <w:szCs w:val="21"/>
              </w:rPr>
            </w:pPr>
          </w:p>
        </w:tc>
      </w:tr>
      <w:tr w14:paraId="0CEEB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3549" w:type="dxa"/>
            <w:gridSpan w:val="2"/>
            <w:tcBorders>
              <w:tl2br w:val="nil"/>
              <w:tr2bl w:val="nil"/>
            </w:tcBorders>
            <w:shd w:val="clear" w:color="auto" w:fill="auto"/>
            <w:vAlign w:val="center"/>
          </w:tcPr>
          <w:p w14:paraId="62829093">
            <w:pPr>
              <w:widowControl/>
              <w:jc w:val="center"/>
              <w:rPr>
                <w:rFonts w:ascii="宋体" w:hAnsi="宋体" w:eastAsia="宋体" w:cs="宋体"/>
                <w:b w:val="0"/>
                <w:bCs/>
                <w:kern w:val="0"/>
                <w:szCs w:val="21"/>
              </w:rPr>
            </w:pPr>
            <w:r>
              <w:rPr>
                <w:rFonts w:hint="eastAsia" w:ascii="宋体" w:hAnsi="宋体" w:eastAsia="宋体" w:cs="宋体"/>
                <w:b w:val="0"/>
                <w:bCs/>
                <w:kern w:val="0"/>
                <w:szCs w:val="21"/>
              </w:rPr>
              <w:t>栏次</w:t>
            </w:r>
          </w:p>
        </w:tc>
        <w:tc>
          <w:tcPr>
            <w:tcW w:w="1668" w:type="dxa"/>
            <w:tcBorders>
              <w:tl2br w:val="nil"/>
              <w:tr2bl w:val="nil"/>
            </w:tcBorders>
            <w:shd w:val="clear" w:color="auto" w:fill="auto"/>
            <w:vAlign w:val="center"/>
          </w:tcPr>
          <w:p w14:paraId="0EDEFA05">
            <w:pPr>
              <w:widowControl/>
              <w:jc w:val="center"/>
              <w:rPr>
                <w:rFonts w:ascii="宋体" w:hAnsi="宋体" w:eastAsia="宋体" w:cs="宋体"/>
                <w:b w:val="0"/>
                <w:bCs/>
                <w:kern w:val="0"/>
                <w:szCs w:val="21"/>
              </w:rPr>
            </w:pPr>
            <w:r>
              <w:rPr>
                <w:rFonts w:hint="eastAsia" w:ascii="宋体" w:hAnsi="宋体" w:eastAsia="宋体" w:cs="宋体"/>
                <w:b w:val="0"/>
                <w:bCs/>
                <w:kern w:val="0"/>
                <w:szCs w:val="21"/>
              </w:rPr>
              <w:t>1</w:t>
            </w:r>
          </w:p>
        </w:tc>
        <w:tc>
          <w:tcPr>
            <w:tcW w:w="1750" w:type="dxa"/>
            <w:tcBorders>
              <w:tl2br w:val="nil"/>
              <w:tr2bl w:val="nil"/>
            </w:tcBorders>
            <w:shd w:val="clear" w:color="auto" w:fill="auto"/>
            <w:vAlign w:val="center"/>
          </w:tcPr>
          <w:p w14:paraId="5489D126">
            <w:pPr>
              <w:widowControl/>
              <w:jc w:val="center"/>
              <w:rPr>
                <w:rFonts w:ascii="宋体" w:hAnsi="宋体" w:eastAsia="宋体" w:cs="宋体"/>
                <w:b w:val="0"/>
                <w:bCs/>
                <w:kern w:val="0"/>
                <w:szCs w:val="21"/>
              </w:rPr>
            </w:pPr>
            <w:r>
              <w:rPr>
                <w:rFonts w:hint="eastAsia" w:ascii="宋体" w:hAnsi="宋体" w:eastAsia="宋体" w:cs="宋体"/>
                <w:b w:val="0"/>
                <w:bCs/>
                <w:kern w:val="0"/>
                <w:szCs w:val="21"/>
              </w:rPr>
              <w:t>2</w:t>
            </w:r>
          </w:p>
        </w:tc>
        <w:tc>
          <w:tcPr>
            <w:tcW w:w="1816" w:type="dxa"/>
            <w:tcBorders>
              <w:tl2br w:val="nil"/>
              <w:tr2bl w:val="nil"/>
            </w:tcBorders>
            <w:shd w:val="clear" w:color="auto" w:fill="auto"/>
            <w:vAlign w:val="center"/>
          </w:tcPr>
          <w:p w14:paraId="70EFFDF6">
            <w:pPr>
              <w:widowControl/>
              <w:jc w:val="center"/>
              <w:rPr>
                <w:rFonts w:ascii="宋体" w:hAnsi="宋体" w:eastAsia="宋体" w:cs="宋体"/>
                <w:b w:val="0"/>
                <w:bCs/>
                <w:kern w:val="0"/>
                <w:szCs w:val="21"/>
              </w:rPr>
            </w:pPr>
            <w:r>
              <w:rPr>
                <w:rFonts w:hint="eastAsia" w:ascii="宋体" w:hAnsi="宋体" w:eastAsia="宋体" w:cs="宋体"/>
                <w:b w:val="0"/>
                <w:bCs/>
                <w:kern w:val="0"/>
                <w:szCs w:val="21"/>
              </w:rPr>
              <w:t>3</w:t>
            </w:r>
          </w:p>
        </w:tc>
        <w:tc>
          <w:tcPr>
            <w:tcW w:w="1900" w:type="dxa"/>
            <w:tcBorders>
              <w:tl2br w:val="nil"/>
              <w:tr2bl w:val="nil"/>
            </w:tcBorders>
            <w:shd w:val="clear" w:color="auto" w:fill="auto"/>
            <w:vAlign w:val="center"/>
          </w:tcPr>
          <w:p w14:paraId="4F80DC14">
            <w:pPr>
              <w:widowControl/>
              <w:jc w:val="center"/>
              <w:rPr>
                <w:rFonts w:ascii="宋体" w:hAnsi="宋体" w:eastAsia="宋体" w:cs="宋体"/>
                <w:b w:val="0"/>
                <w:bCs/>
                <w:kern w:val="0"/>
                <w:szCs w:val="21"/>
              </w:rPr>
            </w:pPr>
            <w:r>
              <w:rPr>
                <w:rFonts w:hint="eastAsia" w:ascii="宋体" w:hAnsi="宋体" w:eastAsia="宋体" w:cs="宋体"/>
                <w:b w:val="0"/>
                <w:bCs/>
                <w:kern w:val="0"/>
                <w:szCs w:val="21"/>
              </w:rPr>
              <w:t>4</w:t>
            </w:r>
          </w:p>
        </w:tc>
        <w:tc>
          <w:tcPr>
            <w:tcW w:w="1659" w:type="dxa"/>
            <w:tcBorders>
              <w:tl2br w:val="nil"/>
              <w:tr2bl w:val="nil"/>
            </w:tcBorders>
            <w:shd w:val="clear" w:color="auto" w:fill="auto"/>
            <w:vAlign w:val="center"/>
          </w:tcPr>
          <w:p w14:paraId="0C054DE9">
            <w:pPr>
              <w:widowControl/>
              <w:jc w:val="center"/>
              <w:rPr>
                <w:rFonts w:ascii="宋体" w:hAnsi="宋体" w:eastAsia="宋体" w:cs="宋体"/>
                <w:b w:val="0"/>
                <w:bCs/>
                <w:kern w:val="0"/>
                <w:szCs w:val="21"/>
              </w:rPr>
            </w:pPr>
            <w:r>
              <w:rPr>
                <w:rFonts w:hint="eastAsia" w:ascii="宋体" w:hAnsi="宋体" w:eastAsia="宋体" w:cs="宋体"/>
                <w:b w:val="0"/>
                <w:bCs/>
                <w:kern w:val="0"/>
                <w:szCs w:val="21"/>
              </w:rPr>
              <w:t>5</w:t>
            </w:r>
          </w:p>
        </w:tc>
        <w:tc>
          <w:tcPr>
            <w:tcW w:w="1641" w:type="dxa"/>
            <w:tcBorders>
              <w:tl2br w:val="nil"/>
              <w:tr2bl w:val="nil"/>
            </w:tcBorders>
            <w:shd w:val="clear" w:color="auto" w:fill="auto"/>
            <w:vAlign w:val="center"/>
          </w:tcPr>
          <w:p w14:paraId="28A1C923">
            <w:pPr>
              <w:widowControl/>
              <w:jc w:val="center"/>
              <w:rPr>
                <w:rFonts w:ascii="宋体" w:hAnsi="宋体" w:eastAsia="宋体" w:cs="宋体"/>
                <w:b w:val="0"/>
                <w:bCs/>
                <w:kern w:val="0"/>
                <w:szCs w:val="21"/>
              </w:rPr>
            </w:pPr>
            <w:r>
              <w:rPr>
                <w:rFonts w:hint="eastAsia" w:ascii="宋体" w:hAnsi="宋体" w:eastAsia="宋体" w:cs="宋体"/>
                <w:b w:val="0"/>
                <w:bCs/>
                <w:kern w:val="0"/>
                <w:szCs w:val="21"/>
              </w:rPr>
              <w:t>6</w:t>
            </w:r>
          </w:p>
        </w:tc>
      </w:tr>
      <w:tr w14:paraId="732565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3549" w:type="dxa"/>
            <w:gridSpan w:val="2"/>
            <w:tcBorders>
              <w:tl2br w:val="nil"/>
              <w:tr2bl w:val="nil"/>
            </w:tcBorders>
            <w:shd w:val="clear" w:color="auto" w:fill="auto"/>
            <w:vAlign w:val="center"/>
          </w:tcPr>
          <w:p w14:paraId="4D1332DF">
            <w:pPr>
              <w:widowControl/>
              <w:jc w:val="center"/>
              <w:rPr>
                <w:rFonts w:ascii="宋体" w:hAnsi="宋体" w:eastAsia="宋体" w:cs="宋体"/>
                <w:b w:val="0"/>
                <w:bCs/>
                <w:kern w:val="0"/>
                <w:szCs w:val="21"/>
              </w:rPr>
            </w:pPr>
            <w:r>
              <w:rPr>
                <w:rFonts w:hint="eastAsia" w:ascii="宋体" w:hAnsi="宋体" w:eastAsia="宋体" w:cs="宋体"/>
                <w:b w:val="0"/>
                <w:bCs/>
                <w:kern w:val="0"/>
                <w:szCs w:val="21"/>
              </w:rPr>
              <w:t>合计</w:t>
            </w:r>
          </w:p>
        </w:tc>
        <w:tc>
          <w:tcPr>
            <w:tcW w:w="1668" w:type="dxa"/>
            <w:tcBorders>
              <w:tl2br w:val="nil"/>
              <w:tr2bl w:val="nil"/>
            </w:tcBorders>
            <w:shd w:val="clear" w:color="auto" w:fill="auto"/>
            <w:vAlign w:val="center"/>
          </w:tcPr>
          <w:p w14:paraId="71064044">
            <w:pPr>
              <w:widowControl/>
              <w:jc w:val="center"/>
              <w:rPr>
                <w:rFonts w:hint="default" w:ascii="宋体" w:hAnsi="宋体" w:eastAsia="宋体" w:cs="宋体"/>
                <w:b w:val="0"/>
                <w:bCs/>
                <w:kern w:val="0"/>
                <w:szCs w:val="21"/>
                <w:lang w:val="en-US" w:eastAsia="zh-CN"/>
              </w:rPr>
            </w:pPr>
            <w:r>
              <w:rPr>
                <w:rFonts w:hint="eastAsia" w:ascii="宋体" w:hAnsi="宋体" w:eastAsia="宋体" w:cs="宋体"/>
                <w:b w:val="0"/>
                <w:bCs/>
                <w:kern w:val="0"/>
                <w:szCs w:val="21"/>
                <w:lang w:val="en-US" w:eastAsia="zh-CN"/>
              </w:rPr>
              <w:t>0.00</w:t>
            </w:r>
          </w:p>
        </w:tc>
        <w:tc>
          <w:tcPr>
            <w:tcW w:w="1750" w:type="dxa"/>
            <w:tcBorders>
              <w:tl2br w:val="nil"/>
              <w:tr2bl w:val="nil"/>
            </w:tcBorders>
            <w:shd w:val="clear" w:color="auto" w:fill="auto"/>
            <w:vAlign w:val="center"/>
          </w:tcPr>
          <w:p w14:paraId="54954E53">
            <w:pPr>
              <w:widowControl/>
              <w:jc w:val="center"/>
              <w:rPr>
                <w:rFonts w:ascii="宋体" w:hAnsi="宋体" w:eastAsia="宋体" w:cs="宋体"/>
                <w:b w:val="0"/>
                <w:bCs/>
                <w:kern w:val="0"/>
                <w:szCs w:val="21"/>
              </w:rPr>
            </w:pPr>
            <w:r>
              <w:rPr>
                <w:rFonts w:hint="eastAsia" w:ascii="宋体" w:hAnsi="宋体" w:eastAsia="宋体" w:cs="宋体"/>
                <w:b w:val="0"/>
                <w:bCs/>
                <w:kern w:val="0"/>
                <w:szCs w:val="21"/>
                <w:lang w:val="en-US" w:eastAsia="zh-CN"/>
              </w:rPr>
              <w:t>0.00</w:t>
            </w:r>
          </w:p>
        </w:tc>
        <w:tc>
          <w:tcPr>
            <w:tcW w:w="1816" w:type="dxa"/>
            <w:tcBorders>
              <w:tl2br w:val="nil"/>
              <w:tr2bl w:val="nil"/>
            </w:tcBorders>
            <w:shd w:val="clear" w:color="auto" w:fill="auto"/>
            <w:vAlign w:val="center"/>
          </w:tcPr>
          <w:p w14:paraId="2D939A18">
            <w:pPr>
              <w:widowControl/>
              <w:jc w:val="center"/>
              <w:rPr>
                <w:rFonts w:ascii="宋体" w:hAnsi="宋体" w:eastAsia="宋体" w:cs="宋体"/>
                <w:b w:val="0"/>
                <w:bCs/>
                <w:kern w:val="0"/>
                <w:szCs w:val="21"/>
              </w:rPr>
            </w:pPr>
            <w:r>
              <w:rPr>
                <w:rFonts w:hint="eastAsia" w:ascii="宋体" w:hAnsi="宋体" w:eastAsia="宋体" w:cs="宋体"/>
                <w:b w:val="0"/>
                <w:bCs/>
                <w:kern w:val="0"/>
                <w:szCs w:val="21"/>
                <w:lang w:val="en-US" w:eastAsia="zh-CN"/>
              </w:rPr>
              <w:t>0.00</w:t>
            </w:r>
          </w:p>
        </w:tc>
        <w:tc>
          <w:tcPr>
            <w:tcW w:w="1900" w:type="dxa"/>
            <w:tcBorders>
              <w:tl2br w:val="nil"/>
              <w:tr2bl w:val="nil"/>
            </w:tcBorders>
            <w:shd w:val="clear" w:color="auto" w:fill="auto"/>
            <w:vAlign w:val="center"/>
          </w:tcPr>
          <w:p w14:paraId="6736A6C9">
            <w:pPr>
              <w:widowControl/>
              <w:jc w:val="center"/>
              <w:rPr>
                <w:rFonts w:ascii="宋体" w:hAnsi="宋体" w:eastAsia="宋体" w:cs="宋体"/>
                <w:b w:val="0"/>
                <w:bCs/>
                <w:kern w:val="0"/>
                <w:szCs w:val="21"/>
              </w:rPr>
            </w:pPr>
            <w:r>
              <w:rPr>
                <w:rFonts w:hint="eastAsia" w:ascii="宋体" w:hAnsi="宋体" w:eastAsia="宋体" w:cs="宋体"/>
                <w:b w:val="0"/>
                <w:bCs/>
                <w:kern w:val="0"/>
                <w:szCs w:val="21"/>
                <w:lang w:val="en-US" w:eastAsia="zh-CN"/>
              </w:rPr>
              <w:t>0.00</w:t>
            </w:r>
          </w:p>
        </w:tc>
        <w:tc>
          <w:tcPr>
            <w:tcW w:w="1659" w:type="dxa"/>
            <w:tcBorders>
              <w:tl2br w:val="nil"/>
              <w:tr2bl w:val="nil"/>
            </w:tcBorders>
            <w:shd w:val="clear" w:color="auto" w:fill="auto"/>
            <w:vAlign w:val="center"/>
          </w:tcPr>
          <w:p w14:paraId="003EF336">
            <w:pPr>
              <w:widowControl/>
              <w:jc w:val="center"/>
              <w:rPr>
                <w:rFonts w:ascii="宋体" w:hAnsi="宋体" w:eastAsia="宋体" w:cs="宋体"/>
                <w:b w:val="0"/>
                <w:bCs/>
                <w:kern w:val="0"/>
                <w:szCs w:val="21"/>
              </w:rPr>
            </w:pPr>
            <w:r>
              <w:rPr>
                <w:rFonts w:hint="eastAsia" w:ascii="宋体" w:hAnsi="宋体" w:eastAsia="宋体" w:cs="宋体"/>
                <w:b w:val="0"/>
                <w:bCs/>
                <w:kern w:val="0"/>
                <w:szCs w:val="21"/>
                <w:lang w:val="en-US" w:eastAsia="zh-CN"/>
              </w:rPr>
              <w:t>0.00</w:t>
            </w:r>
          </w:p>
        </w:tc>
        <w:tc>
          <w:tcPr>
            <w:tcW w:w="1641" w:type="dxa"/>
            <w:tcBorders>
              <w:tl2br w:val="nil"/>
              <w:tr2bl w:val="nil"/>
            </w:tcBorders>
            <w:shd w:val="clear" w:color="auto" w:fill="auto"/>
            <w:vAlign w:val="center"/>
          </w:tcPr>
          <w:p w14:paraId="142FD1A7">
            <w:pPr>
              <w:widowControl/>
              <w:jc w:val="center"/>
              <w:rPr>
                <w:rFonts w:ascii="宋体" w:hAnsi="宋体" w:eastAsia="宋体" w:cs="宋体"/>
                <w:b w:val="0"/>
                <w:bCs/>
                <w:kern w:val="0"/>
                <w:szCs w:val="21"/>
              </w:rPr>
            </w:pPr>
            <w:r>
              <w:rPr>
                <w:rFonts w:hint="eastAsia" w:ascii="宋体" w:hAnsi="宋体" w:eastAsia="宋体" w:cs="宋体"/>
                <w:b w:val="0"/>
                <w:bCs/>
                <w:kern w:val="0"/>
                <w:szCs w:val="21"/>
                <w:lang w:val="en-US" w:eastAsia="zh-CN"/>
              </w:rPr>
              <w:t>0.00</w:t>
            </w:r>
          </w:p>
        </w:tc>
      </w:tr>
      <w:tr w14:paraId="06500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1583" w:type="dxa"/>
            <w:tcBorders>
              <w:tl2br w:val="nil"/>
              <w:tr2bl w:val="nil"/>
            </w:tcBorders>
            <w:shd w:val="clear" w:color="auto" w:fill="auto"/>
            <w:vAlign w:val="center"/>
          </w:tcPr>
          <w:p w14:paraId="706C13D0">
            <w:pPr>
              <w:widowControl/>
              <w:jc w:val="center"/>
              <w:rPr>
                <w:rFonts w:ascii="宋体" w:hAnsi="宋体" w:eastAsia="宋体" w:cs="宋体"/>
                <w:b w:val="0"/>
                <w:bCs/>
                <w:kern w:val="0"/>
                <w:szCs w:val="21"/>
              </w:rPr>
            </w:pPr>
          </w:p>
        </w:tc>
        <w:tc>
          <w:tcPr>
            <w:tcW w:w="1966" w:type="dxa"/>
            <w:tcBorders>
              <w:tl2br w:val="nil"/>
              <w:tr2bl w:val="nil"/>
            </w:tcBorders>
            <w:shd w:val="clear" w:color="auto" w:fill="auto"/>
            <w:vAlign w:val="center"/>
          </w:tcPr>
          <w:p w14:paraId="64F90871">
            <w:pPr>
              <w:widowControl/>
              <w:jc w:val="left"/>
              <w:rPr>
                <w:rFonts w:ascii="宋体" w:hAnsi="宋体" w:eastAsia="宋体" w:cs="宋体"/>
                <w:b w:val="0"/>
                <w:bCs/>
                <w:kern w:val="0"/>
                <w:szCs w:val="21"/>
              </w:rPr>
            </w:pPr>
          </w:p>
        </w:tc>
        <w:tc>
          <w:tcPr>
            <w:tcW w:w="1668" w:type="dxa"/>
            <w:tcBorders>
              <w:tl2br w:val="nil"/>
              <w:tr2bl w:val="nil"/>
            </w:tcBorders>
            <w:shd w:val="clear" w:color="auto" w:fill="auto"/>
            <w:vAlign w:val="center"/>
          </w:tcPr>
          <w:p w14:paraId="2B7C02D1">
            <w:pPr>
              <w:widowControl/>
              <w:jc w:val="left"/>
              <w:rPr>
                <w:rFonts w:ascii="宋体" w:hAnsi="宋体" w:eastAsia="宋体" w:cs="宋体"/>
                <w:b w:val="0"/>
                <w:bCs/>
                <w:kern w:val="0"/>
                <w:szCs w:val="21"/>
              </w:rPr>
            </w:pPr>
          </w:p>
        </w:tc>
        <w:tc>
          <w:tcPr>
            <w:tcW w:w="1750" w:type="dxa"/>
            <w:tcBorders>
              <w:tl2br w:val="nil"/>
              <w:tr2bl w:val="nil"/>
            </w:tcBorders>
            <w:shd w:val="clear" w:color="auto" w:fill="auto"/>
            <w:vAlign w:val="center"/>
          </w:tcPr>
          <w:p w14:paraId="16B77590">
            <w:pPr>
              <w:widowControl/>
              <w:jc w:val="left"/>
              <w:rPr>
                <w:rFonts w:ascii="宋体" w:hAnsi="宋体" w:eastAsia="宋体" w:cs="宋体"/>
                <w:b w:val="0"/>
                <w:bCs/>
                <w:kern w:val="0"/>
                <w:szCs w:val="21"/>
              </w:rPr>
            </w:pPr>
          </w:p>
        </w:tc>
        <w:tc>
          <w:tcPr>
            <w:tcW w:w="1816" w:type="dxa"/>
            <w:tcBorders>
              <w:tl2br w:val="nil"/>
              <w:tr2bl w:val="nil"/>
            </w:tcBorders>
            <w:shd w:val="clear" w:color="auto" w:fill="auto"/>
            <w:vAlign w:val="center"/>
          </w:tcPr>
          <w:p w14:paraId="09F5C4C6">
            <w:pPr>
              <w:widowControl/>
              <w:jc w:val="left"/>
              <w:rPr>
                <w:rFonts w:ascii="宋体" w:hAnsi="宋体" w:eastAsia="宋体" w:cs="宋体"/>
                <w:b w:val="0"/>
                <w:bCs/>
                <w:kern w:val="0"/>
                <w:szCs w:val="21"/>
              </w:rPr>
            </w:pPr>
          </w:p>
        </w:tc>
        <w:tc>
          <w:tcPr>
            <w:tcW w:w="1900" w:type="dxa"/>
            <w:tcBorders>
              <w:tl2br w:val="nil"/>
              <w:tr2bl w:val="nil"/>
            </w:tcBorders>
            <w:shd w:val="clear" w:color="auto" w:fill="auto"/>
            <w:vAlign w:val="center"/>
          </w:tcPr>
          <w:p w14:paraId="3279162F">
            <w:pPr>
              <w:widowControl/>
              <w:jc w:val="left"/>
              <w:rPr>
                <w:rFonts w:ascii="宋体" w:hAnsi="宋体" w:eastAsia="宋体" w:cs="宋体"/>
                <w:b w:val="0"/>
                <w:bCs/>
                <w:kern w:val="0"/>
                <w:szCs w:val="21"/>
              </w:rPr>
            </w:pPr>
          </w:p>
        </w:tc>
        <w:tc>
          <w:tcPr>
            <w:tcW w:w="1659" w:type="dxa"/>
            <w:tcBorders>
              <w:tl2br w:val="nil"/>
              <w:tr2bl w:val="nil"/>
            </w:tcBorders>
            <w:shd w:val="clear" w:color="auto" w:fill="auto"/>
            <w:vAlign w:val="center"/>
          </w:tcPr>
          <w:p w14:paraId="00777CA6">
            <w:pPr>
              <w:widowControl/>
              <w:jc w:val="left"/>
              <w:rPr>
                <w:rFonts w:ascii="宋体" w:hAnsi="宋体" w:eastAsia="宋体" w:cs="宋体"/>
                <w:b w:val="0"/>
                <w:bCs/>
                <w:kern w:val="0"/>
                <w:szCs w:val="21"/>
              </w:rPr>
            </w:pPr>
          </w:p>
        </w:tc>
        <w:tc>
          <w:tcPr>
            <w:tcW w:w="1641" w:type="dxa"/>
            <w:tcBorders>
              <w:tl2br w:val="nil"/>
              <w:tr2bl w:val="nil"/>
            </w:tcBorders>
            <w:shd w:val="clear" w:color="auto" w:fill="auto"/>
            <w:vAlign w:val="center"/>
          </w:tcPr>
          <w:p w14:paraId="49F2EC3E">
            <w:pPr>
              <w:widowControl/>
              <w:jc w:val="left"/>
              <w:rPr>
                <w:rFonts w:ascii="宋体" w:hAnsi="宋体" w:eastAsia="宋体" w:cs="宋体"/>
                <w:b w:val="0"/>
                <w:bCs/>
                <w:kern w:val="0"/>
                <w:szCs w:val="21"/>
              </w:rPr>
            </w:pPr>
          </w:p>
        </w:tc>
      </w:tr>
      <w:tr w14:paraId="523D2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281" w:type="dxa"/>
          <w:trHeight w:val="454" w:hRule="atLeast"/>
          <w:jc w:val="center"/>
        </w:trPr>
        <w:tc>
          <w:tcPr>
            <w:tcW w:w="1583" w:type="dxa"/>
            <w:tcBorders>
              <w:tl2br w:val="nil"/>
              <w:tr2bl w:val="nil"/>
            </w:tcBorders>
            <w:shd w:val="clear" w:color="auto" w:fill="auto"/>
            <w:vAlign w:val="center"/>
          </w:tcPr>
          <w:p w14:paraId="1AFBE6C4">
            <w:pPr>
              <w:widowControl/>
              <w:jc w:val="center"/>
              <w:rPr>
                <w:rFonts w:ascii="宋体" w:hAnsi="宋体" w:eastAsia="宋体" w:cs="宋体"/>
                <w:b w:val="0"/>
                <w:bCs/>
                <w:kern w:val="0"/>
                <w:szCs w:val="21"/>
              </w:rPr>
            </w:pPr>
          </w:p>
        </w:tc>
        <w:tc>
          <w:tcPr>
            <w:tcW w:w="1966" w:type="dxa"/>
            <w:tcBorders>
              <w:tl2br w:val="nil"/>
              <w:tr2bl w:val="nil"/>
            </w:tcBorders>
            <w:shd w:val="clear" w:color="auto" w:fill="auto"/>
            <w:vAlign w:val="center"/>
          </w:tcPr>
          <w:p w14:paraId="4E8118AC">
            <w:pPr>
              <w:widowControl/>
              <w:jc w:val="left"/>
              <w:rPr>
                <w:rFonts w:ascii="宋体" w:hAnsi="宋体" w:eastAsia="宋体" w:cs="宋体"/>
                <w:b w:val="0"/>
                <w:bCs/>
                <w:kern w:val="0"/>
                <w:szCs w:val="21"/>
              </w:rPr>
            </w:pPr>
          </w:p>
        </w:tc>
        <w:tc>
          <w:tcPr>
            <w:tcW w:w="1668" w:type="dxa"/>
            <w:tcBorders>
              <w:tl2br w:val="nil"/>
              <w:tr2bl w:val="nil"/>
            </w:tcBorders>
            <w:shd w:val="clear" w:color="auto" w:fill="auto"/>
            <w:vAlign w:val="center"/>
          </w:tcPr>
          <w:p w14:paraId="36C2BB63">
            <w:pPr>
              <w:widowControl/>
              <w:jc w:val="left"/>
              <w:rPr>
                <w:rFonts w:ascii="宋体" w:hAnsi="宋体" w:eastAsia="宋体" w:cs="宋体"/>
                <w:b w:val="0"/>
                <w:bCs/>
                <w:kern w:val="0"/>
                <w:szCs w:val="21"/>
              </w:rPr>
            </w:pPr>
          </w:p>
        </w:tc>
        <w:tc>
          <w:tcPr>
            <w:tcW w:w="1750" w:type="dxa"/>
            <w:tcBorders>
              <w:tl2br w:val="nil"/>
              <w:tr2bl w:val="nil"/>
            </w:tcBorders>
            <w:shd w:val="clear" w:color="auto" w:fill="auto"/>
            <w:vAlign w:val="center"/>
          </w:tcPr>
          <w:p w14:paraId="1C84DA36">
            <w:pPr>
              <w:widowControl/>
              <w:jc w:val="left"/>
              <w:rPr>
                <w:rFonts w:ascii="宋体" w:hAnsi="宋体" w:eastAsia="宋体" w:cs="宋体"/>
                <w:b w:val="0"/>
                <w:bCs/>
                <w:kern w:val="0"/>
                <w:szCs w:val="21"/>
              </w:rPr>
            </w:pPr>
          </w:p>
        </w:tc>
        <w:tc>
          <w:tcPr>
            <w:tcW w:w="1816" w:type="dxa"/>
            <w:tcBorders>
              <w:tl2br w:val="nil"/>
              <w:tr2bl w:val="nil"/>
            </w:tcBorders>
            <w:shd w:val="clear" w:color="auto" w:fill="auto"/>
            <w:vAlign w:val="center"/>
          </w:tcPr>
          <w:p w14:paraId="1B76978B">
            <w:pPr>
              <w:widowControl/>
              <w:jc w:val="left"/>
              <w:rPr>
                <w:rFonts w:ascii="宋体" w:hAnsi="宋体" w:eastAsia="宋体" w:cs="宋体"/>
                <w:b w:val="0"/>
                <w:bCs/>
                <w:kern w:val="0"/>
                <w:szCs w:val="21"/>
              </w:rPr>
            </w:pPr>
          </w:p>
        </w:tc>
        <w:tc>
          <w:tcPr>
            <w:tcW w:w="1900" w:type="dxa"/>
            <w:tcBorders>
              <w:tl2br w:val="nil"/>
              <w:tr2bl w:val="nil"/>
            </w:tcBorders>
            <w:shd w:val="clear" w:color="auto" w:fill="auto"/>
            <w:vAlign w:val="center"/>
          </w:tcPr>
          <w:p w14:paraId="38D386B7">
            <w:pPr>
              <w:widowControl/>
              <w:jc w:val="left"/>
              <w:rPr>
                <w:rFonts w:ascii="宋体" w:hAnsi="宋体" w:eastAsia="宋体" w:cs="宋体"/>
                <w:b w:val="0"/>
                <w:bCs/>
                <w:kern w:val="0"/>
                <w:szCs w:val="21"/>
              </w:rPr>
            </w:pPr>
          </w:p>
        </w:tc>
        <w:tc>
          <w:tcPr>
            <w:tcW w:w="1659" w:type="dxa"/>
            <w:tcBorders>
              <w:tl2br w:val="nil"/>
              <w:tr2bl w:val="nil"/>
            </w:tcBorders>
            <w:shd w:val="clear" w:color="auto" w:fill="auto"/>
            <w:vAlign w:val="center"/>
          </w:tcPr>
          <w:p w14:paraId="34BC2537">
            <w:pPr>
              <w:widowControl/>
              <w:jc w:val="left"/>
              <w:rPr>
                <w:rFonts w:ascii="宋体" w:hAnsi="宋体" w:eastAsia="宋体" w:cs="宋体"/>
                <w:b w:val="0"/>
                <w:bCs/>
                <w:kern w:val="0"/>
                <w:szCs w:val="21"/>
              </w:rPr>
            </w:pPr>
          </w:p>
        </w:tc>
        <w:tc>
          <w:tcPr>
            <w:tcW w:w="1641" w:type="dxa"/>
            <w:tcBorders>
              <w:tl2br w:val="nil"/>
              <w:tr2bl w:val="nil"/>
            </w:tcBorders>
            <w:shd w:val="clear" w:color="auto" w:fill="auto"/>
            <w:vAlign w:val="center"/>
          </w:tcPr>
          <w:p w14:paraId="5209646F">
            <w:pPr>
              <w:widowControl/>
              <w:jc w:val="left"/>
              <w:rPr>
                <w:rFonts w:ascii="宋体" w:hAnsi="宋体" w:eastAsia="宋体" w:cs="宋体"/>
                <w:b w:val="0"/>
                <w:bCs/>
                <w:kern w:val="0"/>
                <w:szCs w:val="21"/>
              </w:rPr>
            </w:pPr>
          </w:p>
        </w:tc>
      </w:tr>
      <w:tr w14:paraId="1AE0F9C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25" w:hRule="atLeast"/>
          <w:jc w:val="center"/>
        </w:trPr>
        <w:tc>
          <w:tcPr>
            <w:tcW w:w="14264" w:type="dxa"/>
            <w:gridSpan w:val="9"/>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2756E626">
      <w:pPr>
        <w:widowControl/>
        <w:jc w:val="left"/>
        <w:rPr>
          <w:rFonts w:ascii="宋体" w:hAnsi="宋体" w:eastAsia="宋体" w:cs="宋体"/>
          <w:szCs w:val="21"/>
        </w:rPr>
      </w:pPr>
      <w:r>
        <w:rPr>
          <w:rFonts w:hint="eastAsia" w:ascii="宋体" w:hAnsi="宋体" w:eastAsia="宋体" w:cs="宋体"/>
          <w:szCs w:val="21"/>
        </w:rPr>
        <w:br w:type="page"/>
      </w:r>
    </w:p>
    <w:tbl>
      <w:tblPr>
        <w:tblStyle w:val="10"/>
        <w:tblW w:w="1389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62"/>
        <w:gridCol w:w="2372"/>
        <w:gridCol w:w="2803"/>
        <w:gridCol w:w="2775"/>
        <w:gridCol w:w="3378"/>
      </w:tblGrid>
      <w:tr w14:paraId="38136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trPr>
        <w:tc>
          <w:tcPr>
            <w:tcW w:w="13890" w:type="dxa"/>
            <w:gridSpan w:val="5"/>
            <w:tcBorders>
              <w:top w:val="nil"/>
              <w:left w:val="nil"/>
              <w:bottom w:val="nil"/>
              <w:right w:val="nil"/>
            </w:tcBorders>
            <w:shd w:val="clear" w:color="auto" w:fill="auto"/>
            <w:noWrap/>
            <w:vAlign w:val="center"/>
          </w:tcPr>
          <w:p w14:paraId="661A1BCB">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7FC45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3890" w:type="dxa"/>
            <w:gridSpan w:val="5"/>
            <w:tcBorders>
              <w:top w:val="nil"/>
              <w:left w:val="nil"/>
              <w:bottom w:val="nil"/>
              <w:right w:val="nil"/>
            </w:tcBorders>
            <w:shd w:val="clear" w:color="auto" w:fill="auto"/>
            <w:noWrap/>
            <w:vAlign w:val="center"/>
          </w:tcPr>
          <w:p w14:paraId="6F1BF0B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6BC4B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3890" w:type="dxa"/>
            <w:gridSpan w:val="5"/>
            <w:tcBorders>
              <w:top w:val="nil"/>
              <w:left w:val="nil"/>
              <w:bottom w:val="nil"/>
              <w:right w:val="nil"/>
            </w:tcBorders>
            <w:shd w:val="clear" w:color="auto" w:fill="auto"/>
            <w:noWrap/>
            <w:vAlign w:val="bottom"/>
          </w:tcPr>
          <w:p w14:paraId="0FBB5B51">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部门：湘潭县发展和改革局                                                                                                   金额单位：万元</w:t>
            </w:r>
          </w:p>
        </w:tc>
      </w:tr>
      <w:tr w14:paraId="682E3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atLeast"/>
        </w:trPr>
        <w:tc>
          <w:tcPr>
            <w:tcW w:w="49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8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9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101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78ED7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25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BC8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3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7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8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2DE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D48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AB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1BC35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25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F4B47">
            <w:pPr>
              <w:jc w:val="center"/>
              <w:rPr>
                <w:rFonts w:hint="eastAsia" w:ascii="宋体" w:hAnsi="宋体" w:eastAsia="宋体" w:cs="宋体"/>
                <w:i w:val="0"/>
                <w:iCs w:val="0"/>
                <w:color w:val="000000"/>
                <w:sz w:val="22"/>
                <w:szCs w:val="22"/>
                <w:u w:val="none"/>
              </w:rPr>
            </w:pP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21145">
            <w:pPr>
              <w:jc w:val="center"/>
              <w:rPr>
                <w:rFonts w:hint="eastAsia" w:ascii="宋体" w:hAnsi="宋体" w:eastAsia="宋体" w:cs="宋体"/>
                <w:i w:val="0"/>
                <w:iCs w:val="0"/>
                <w:color w:val="000000"/>
                <w:sz w:val="22"/>
                <w:szCs w:val="22"/>
                <w:u w:val="none"/>
              </w:rPr>
            </w:pPr>
          </w:p>
        </w:tc>
        <w:tc>
          <w:tcPr>
            <w:tcW w:w="28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5B814">
            <w:pPr>
              <w:jc w:val="center"/>
              <w:rPr>
                <w:rFonts w:hint="eastAsia" w:ascii="宋体" w:hAnsi="宋体" w:eastAsia="宋体" w:cs="宋体"/>
                <w:i w:val="0"/>
                <w:iCs w:val="0"/>
                <w:color w:val="000000"/>
                <w:sz w:val="22"/>
                <w:szCs w:val="22"/>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70CD5">
            <w:pPr>
              <w:jc w:val="center"/>
              <w:rPr>
                <w:rFonts w:hint="eastAsia" w:ascii="宋体" w:hAnsi="宋体" w:eastAsia="宋体" w:cs="宋体"/>
                <w:i w:val="0"/>
                <w:iCs w:val="0"/>
                <w:color w:val="000000"/>
                <w:sz w:val="22"/>
                <w:szCs w:val="22"/>
                <w:u w:val="none"/>
              </w:rPr>
            </w:pPr>
          </w:p>
        </w:tc>
        <w:tc>
          <w:tcPr>
            <w:tcW w:w="3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1C1B6">
            <w:pPr>
              <w:jc w:val="center"/>
              <w:rPr>
                <w:rFonts w:hint="eastAsia" w:ascii="宋体" w:hAnsi="宋体" w:eastAsia="宋体" w:cs="宋体"/>
                <w:i w:val="0"/>
                <w:iCs w:val="0"/>
                <w:color w:val="000000"/>
                <w:sz w:val="22"/>
                <w:szCs w:val="22"/>
                <w:u w:val="none"/>
              </w:rPr>
            </w:pPr>
          </w:p>
        </w:tc>
      </w:tr>
      <w:tr w14:paraId="4163B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25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BA6B7">
            <w:pPr>
              <w:jc w:val="center"/>
              <w:rPr>
                <w:rFonts w:hint="eastAsia" w:ascii="宋体" w:hAnsi="宋体" w:eastAsia="宋体" w:cs="宋体"/>
                <w:i w:val="0"/>
                <w:iCs w:val="0"/>
                <w:color w:val="000000"/>
                <w:sz w:val="22"/>
                <w:szCs w:val="22"/>
                <w:u w:val="none"/>
              </w:rPr>
            </w:pP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9F74">
            <w:pPr>
              <w:jc w:val="center"/>
              <w:rPr>
                <w:rFonts w:hint="eastAsia" w:ascii="宋体" w:hAnsi="宋体" w:eastAsia="宋体" w:cs="宋体"/>
                <w:i w:val="0"/>
                <w:iCs w:val="0"/>
                <w:color w:val="000000"/>
                <w:sz w:val="22"/>
                <w:szCs w:val="22"/>
                <w:u w:val="none"/>
              </w:rPr>
            </w:pPr>
          </w:p>
        </w:tc>
        <w:tc>
          <w:tcPr>
            <w:tcW w:w="28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58568">
            <w:pPr>
              <w:jc w:val="center"/>
              <w:rPr>
                <w:rFonts w:hint="eastAsia" w:ascii="宋体" w:hAnsi="宋体" w:eastAsia="宋体" w:cs="宋体"/>
                <w:i w:val="0"/>
                <w:iCs w:val="0"/>
                <w:color w:val="000000"/>
                <w:sz w:val="22"/>
                <w:szCs w:val="22"/>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D14E1">
            <w:pPr>
              <w:jc w:val="center"/>
              <w:rPr>
                <w:rFonts w:hint="eastAsia" w:ascii="宋体" w:hAnsi="宋体" w:eastAsia="宋体" w:cs="宋体"/>
                <w:i w:val="0"/>
                <w:iCs w:val="0"/>
                <w:color w:val="000000"/>
                <w:sz w:val="22"/>
                <w:szCs w:val="22"/>
                <w:u w:val="none"/>
              </w:rPr>
            </w:pPr>
          </w:p>
        </w:tc>
        <w:tc>
          <w:tcPr>
            <w:tcW w:w="3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9FCCB">
            <w:pPr>
              <w:jc w:val="center"/>
              <w:rPr>
                <w:rFonts w:hint="eastAsia" w:ascii="宋体" w:hAnsi="宋体" w:eastAsia="宋体" w:cs="宋体"/>
                <w:i w:val="0"/>
                <w:iCs w:val="0"/>
                <w:color w:val="000000"/>
                <w:sz w:val="22"/>
                <w:szCs w:val="22"/>
                <w:u w:val="none"/>
              </w:rPr>
            </w:pPr>
          </w:p>
        </w:tc>
      </w:tr>
      <w:tr w14:paraId="08CCD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9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6C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97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1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EA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0D23B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9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504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AB07">
            <w:pPr>
              <w:jc w:val="right"/>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552F6">
            <w:pPr>
              <w:keepNext w:val="0"/>
              <w:keepLines w:val="0"/>
              <w:widowControl/>
              <w:suppressLineNumbers w:val="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3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0AC8">
            <w:pPr>
              <w:jc w:val="right"/>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14:paraId="1BC71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890" w:type="dxa"/>
            <w:gridSpan w:val="5"/>
            <w:tcBorders>
              <w:top w:val="nil"/>
              <w:left w:val="nil"/>
              <w:bottom w:val="nil"/>
              <w:right w:val="nil"/>
            </w:tcBorders>
            <w:shd w:val="clear" w:color="auto" w:fill="auto"/>
            <w:noWrap/>
            <w:vAlign w:val="center"/>
          </w:tcPr>
          <w:p w14:paraId="7432FF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p w14:paraId="31A83EC1">
            <w:pPr>
              <w:pStyle w:val="8"/>
              <w:rPr>
                <w:rFonts w:hint="eastAsia"/>
                <w:lang w:val="en-US" w:eastAsia="zh-CN"/>
              </w:rPr>
            </w:pPr>
          </w:p>
          <w:p w14:paraId="75AF4D4E">
            <w:pPr>
              <w:pStyle w:val="8"/>
              <w:rPr>
                <w:rFonts w:hint="eastAsia"/>
              </w:rPr>
            </w:pPr>
            <w:r>
              <w:rPr>
                <w:rFonts w:hint="eastAsia" w:ascii="楷体" w:hAnsi="楷体" w:eastAsia="楷体" w:cs="楷体"/>
                <w:b/>
                <w:bCs/>
                <w:kern w:val="0"/>
                <w:sz w:val="24"/>
                <w:szCs w:val="24"/>
              </w:rPr>
              <w:t>说明：我单位没有使用国有资本经营预算安排的支出，故本表无数据。</w:t>
            </w:r>
          </w:p>
        </w:tc>
      </w:tr>
    </w:tbl>
    <w:p w14:paraId="381CB4C6">
      <w:pPr>
        <w:widowControl/>
        <w:jc w:val="left"/>
        <w:rPr>
          <w:rFonts w:ascii="黑体" w:hAnsi="黑体" w:eastAsia="黑体"/>
          <w:szCs w:val="21"/>
        </w:rPr>
      </w:pPr>
    </w:p>
    <w:p w14:paraId="1D204BC0">
      <w:pPr>
        <w:widowControl/>
        <w:jc w:val="left"/>
        <w:rPr>
          <w:rFonts w:ascii="黑体" w:hAnsi="黑体" w:eastAsia="黑体"/>
          <w:szCs w:val="21"/>
        </w:rPr>
      </w:pPr>
    </w:p>
    <w:p w14:paraId="54C4DAC3">
      <w:pPr>
        <w:pStyle w:val="8"/>
      </w:pPr>
    </w:p>
    <w:p w14:paraId="14FAF5C8">
      <w:pPr>
        <w:widowControl/>
        <w:ind w:firstLine="482" w:firstLineChars="200"/>
        <w:jc w:val="left"/>
        <w:rPr>
          <w:rFonts w:ascii="宋体" w:hAnsi="宋体" w:eastAsia="宋体" w:cs="宋体"/>
          <w:b/>
          <w:bCs/>
          <w:kern w:val="0"/>
          <w:sz w:val="24"/>
          <w:szCs w:val="24"/>
        </w:rPr>
      </w:pPr>
    </w:p>
    <w:p w14:paraId="33AE4419">
      <w:pPr>
        <w:widowControl/>
        <w:ind w:firstLine="482" w:firstLineChars="200"/>
        <w:jc w:val="left"/>
        <w:rPr>
          <w:rFonts w:ascii="宋体" w:hAnsi="宋体" w:eastAsia="宋体" w:cs="宋体"/>
          <w:b/>
          <w:bCs/>
          <w:kern w:val="0"/>
          <w:sz w:val="24"/>
          <w:szCs w:val="24"/>
        </w:rPr>
      </w:pPr>
    </w:p>
    <w:p w14:paraId="76E6CDD4">
      <w:pPr>
        <w:widowControl/>
        <w:ind w:firstLine="482" w:firstLineChars="200"/>
        <w:jc w:val="left"/>
        <w:rPr>
          <w:rFonts w:ascii="宋体" w:hAnsi="宋体" w:eastAsia="宋体" w:cs="宋体"/>
          <w:b/>
          <w:bCs/>
          <w:kern w:val="0"/>
          <w:sz w:val="24"/>
          <w:szCs w:val="24"/>
        </w:rPr>
      </w:pPr>
    </w:p>
    <w:p w14:paraId="42F10572">
      <w:pPr>
        <w:widowControl/>
        <w:ind w:firstLine="482" w:firstLineChars="200"/>
        <w:jc w:val="left"/>
        <w:rPr>
          <w:rFonts w:ascii="宋体" w:hAnsi="宋体" w:eastAsia="宋体" w:cs="宋体"/>
          <w:b/>
          <w:bCs/>
          <w:kern w:val="0"/>
          <w:sz w:val="24"/>
          <w:szCs w:val="24"/>
        </w:rPr>
      </w:pPr>
    </w:p>
    <w:p w14:paraId="76F3C699">
      <w:pPr>
        <w:widowControl/>
        <w:ind w:firstLine="482" w:firstLineChars="200"/>
        <w:jc w:val="left"/>
        <w:rPr>
          <w:rFonts w:ascii="宋体" w:hAnsi="宋体" w:eastAsia="宋体" w:cs="宋体"/>
          <w:b/>
          <w:bCs/>
          <w:kern w:val="0"/>
          <w:sz w:val="24"/>
          <w:szCs w:val="24"/>
        </w:rPr>
      </w:pPr>
    </w:p>
    <w:p w14:paraId="12D792F1">
      <w:pPr>
        <w:widowControl/>
        <w:ind w:firstLine="482" w:firstLineChars="200"/>
        <w:jc w:val="left"/>
        <w:rPr>
          <w:rFonts w:ascii="宋体" w:hAnsi="宋体" w:eastAsia="宋体" w:cs="宋体"/>
          <w:b/>
          <w:bCs/>
          <w:kern w:val="0"/>
          <w:sz w:val="24"/>
          <w:szCs w:val="24"/>
        </w:rPr>
      </w:pPr>
    </w:p>
    <w:tbl>
      <w:tblPr>
        <w:tblStyle w:val="10"/>
        <w:tblW w:w="1406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8"/>
        <w:gridCol w:w="1400"/>
        <w:gridCol w:w="1358"/>
        <w:gridCol w:w="1067"/>
        <w:gridCol w:w="1108"/>
        <w:gridCol w:w="1142"/>
        <w:gridCol w:w="1200"/>
        <w:gridCol w:w="1133"/>
        <w:gridCol w:w="1075"/>
        <w:gridCol w:w="1092"/>
        <w:gridCol w:w="1200"/>
        <w:gridCol w:w="1037"/>
      </w:tblGrid>
      <w:tr w14:paraId="4FE1E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4060" w:type="dxa"/>
            <w:gridSpan w:val="12"/>
            <w:tcBorders>
              <w:top w:val="nil"/>
              <w:left w:val="nil"/>
              <w:bottom w:val="nil"/>
              <w:right w:val="nil"/>
            </w:tcBorders>
            <w:shd w:val="clear" w:color="auto" w:fill="auto"/>
            <w:noWrap/>
            <w:vAlign w:val="center"/>
          </w:tcPr>
          <w:p w14:paraId="5EA89850">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770BE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248" w:type="dxa"/>
            <w:tcBorders>
              <w:top w:val="nil"/>
              <w:left w:val="nil"/>
              <w:bottom w:val="nil"/>
              <w:right w:val="nil"/>
            </w:tcBorders>
            <w:shd w:val="clear" w:color="auto" w:fill="auto"/>
            <w:noWrap/>
            <w:vAlign w:val="center"/>
          </w:tcPr>
          <w:p w14:paraId="327F6CCF">
            <w:pPr>
              <w:rPr>
                <w:rFonts w:hint="eastAsia" w:ascii="宋体" w:hAnsi="宋体" w:eastAsia="宋体" w:cs="宋体"/>
                <w:i w:val="0"/>
                <w:iCs w:val="0"/>
                <w:color w:val="000000"/>
                <w:sz w:val="22"/>
                <w:szCs w:val="22"/>
                <w:u w:val="none"/>
              </w:rPr>
            </w:pPr>
          </w:p>
        </w:tc>
        <w:tc>
          <w:tcPr>
            <w:tcW w:w="1400" w:type="dxa"/>
            <w:tcBorders>
              <w:top w:val="nil"/>
              <w:left w:val="nil"/>
              <w:bottom w:val="nil"/>
              <w:right w:val="nil"/>
            </w:tcBorders>
            <w:shd w:val="clear" w:color="auto" w:fill="auto"/>
            <w:noWrap/>
            <w:vAlign w:val="center"/>
          </w:tcPr>
          <w:p w14:paraId="64B9C26D">
            <w:pPr>
              <w:rPr>
                <w:rFonts w:hint="eastAsia" w:ascii="宋体" w:hAnsi="宋体" w:eastAsia="宋体" w:cs="宋体"/>
                <w:i w:val="0"/>
                <w:iCs w:val="0"/>
                <w:color w:val="000000"/>
                <w:sz w:val="22"/>
                <w:szCs w:val="22"/>
                <w:u w:val="none"/>
              </w:rPr>
            </w:pPr>
          </w:p>
        </w:tc>
        <w:tc>
          <w:tcPr>
            <w:tcW w:w="1358" w:type="dxa"/>
            <w:tcBorders>
              <w:top w:val="nil"/>
              <w:left w:val="nil"/>
              <w:bottom w:val="nil"/>
              <w:right w:val="nil"/>
            </w:tcBorders>
            <w:shd w:val="clear" w:color="auto" w:fill="auto"/>
            <w:noWrap/>
            <w:vAlign w:val="center"/>
          </w:tcPr>
          <w:p w14:paraId="6D972335">
            <w:pPr>
              <w:rPr>
                <w:rFonts w:hint="eastAsia" w:ascii="宋体" w:hAnsi="宋体" w:eastAsia="宋体" w:cs="宋体"/>
                <w:i w:val="0"/>
                <w:iCs w:val="0"/>
                <w:color w:val="000000"/>
                <w:sz w:val="22"/>
                <w:szCs w:val="22"/>
                <w:u w:val="none"/>
              </w:rPr>
            </w:pPr>
          </w:p>
        </w:tc>
        <w:tc>
          <w:tcPr>
            <w:tcW w:w="1067" w:type="dxa"/>
            <w:tcBorders>
              <w:top w:val="nil"/>
              <w:left w:val="nil"/>
              <w:bottom w:val="nil"/>
              <w:right w:val="nil"/>
            </w:tcBorders>
            <w:shd w:val="clear" w:color="auto" w:fill="auto"/>
            <w:noWrap/>
            <w:vAlign w:val="center"/>
          </w:tcPr>
          <w:p w14:paraId="0D956446">
            <w:pPr>
              <w:rPr>
                <w:rFonts w:hint="eastAsia" w:ascii="宋体" w:hAnsi="宋体" w:eastAsia="宋体" w:cs="宋体"/>
                <w:i w:val="0"/>
                <w:iCs w:val="0"/>
                <w:color w:val="000000"/>
                <w:sz w:val="22"/>
                <w:szCs w:val="22"/>
                <w:u w:val="none"/>
              </w:rPr>
            </w:pPr>
          </w:p>
        </w:tc>
        <w:tc>
          <w:tcPr>
            <w:tcW w:w="1108" w:type="dxa"/>
            <w:tcBorders>
              <w:top w:val="nil"/>
              <w:left w:val="nil"/>
              <w:bottom w:val="nil"/>
              <w:right w:val="nil"/>
            </w:tcBorders>
            <w:shd w:val="clear" w:color="auto" w:fill="auto"/>
            <w:noWrap/>
            <w:vAlign w:val="center"/>
          </w:tcPr>
          <w:p w14:paraId="0A2FA1A1">
            <w:pPr>
              <w:rPr>
                <w:rFonts w:hint="eastAsia" w:ascii="宋体" w:hAnsi="宋体" w:eastAsia="宋体" w:cs="宋体"/>
                <w:i w:val="0"/>
                <w:iCs w:val="0"/>
                <w:color w:val="000000"/>
                <w:sz w:val="22"/>
                <w:szCs w:val="22"/>
                <w:u w:val="none"/>
              </w:rPr>
            </w:pPr>
          </w:p>
        </w:tc>
        <w:tc>
          <w:tcPr>
            <w:tcW w:w="1142" w:type="dxa"/>
            <w:tcBorders>
              <w:top w:val="nil"/>
              <w:left w:val="nil"/>
              <w:bottom w:val="nil"/>
              <w:right w:val="nil"/>
            </w:tcBorders>
            <w:shd w:val="clear" w:color="auto" w:fill="auto"/>
            <w:noWrap/>
            <w:vAlign w:val="center"/>
          </w:tcPr>
          <w:p w14:paraId="68FA22DB">
            <w:pPr>
              <w:rPr>
                <w:rFonts w:hint="eastAsia" w:ascii="宋体" w:hAnsi="宋体" w:eastAsia="宋体" w:cs="宋体"/>
                <w:i w:val="0"/>
                <w:iCs w:val="0"/>
                <w:color w:val="000000"/>
                <w:sz w:val="22"/>
                <w:szCs w:val="22"/>
                <w:u w:val="none"/>
              </w:rPr>
            </w:pPr>
          </w:p>
        </w:tc>
        <w:tc>
          <w:tcPr>
            <w:tcW w:w="1200" w:type="dxa"/>
            <w:tcBorders>
              <w:top w:val="nil"/>
              <w:left w:val="nil"/>
              <w:bottom w:val="nil"/>
              <w:right w:val="nil"/>
            </w:tcBorders>
            <w:shd w:val="clear" w:color="auto" w:fill="auto"/>
            <w:noWrap/>
            <w:vAlign w:val="center"/>
          </w:tcPr>
          <w:p w14:paraId="354C32E9">
            <w:pPr>
              <w:rPr>
                <w:rFonts w:hint="eastAsia" w:ascii="宋体" w:hAnsi="宋体" w:eastAsia="宋体" w:cs="宋体"/>
                <w:i w:val="0"/>
                <w:iCs w:val="0"/>
                <w:color w:val="000000"/>
                <w:sz w:val="22"/>
                <w:szCs w:val="22"/>
                <w:u w:val="none"/>
              </w:rPr>
            </w:pPr>
          </w:p>
        </w:tc>
        <w:tc>
          <w:tcPr>
            <w:tcW w:w="1133" w:type="dxa"/>
            <w:tcBorders>
              <w:top w:val="nil"/>
              <w:left w:val="nil"/>
              <w:bottom w:val="nil"/>
              <w:right w:val="nil"/>
            </w:tcBorders>
            <w:shd w:val="clear" w:color="auto" w:fill="auto"/>
            <w:noWrap/>
            <w:vAlign w:val="center"/>
          </w:tcPr>
          <w:p w14:paraId="332BA74F">
            <w:pPr>
              <w:rPr>
                <w:rFonts w:hint="eastAsia" w:ascii="宋体" w:hAnsi="宋体" w:eastAsia="宋体" w:cs="宋体"/>
                <w:i w:val="0"/>
                <w:iCs w:val="0"/>
                <w:color w:val="000000"/>
                <w:sz w:val="22"/>
                <w:szCs w:val="22"/>
                <w:u w:val="none"/>
              </w:rPr>
            </w:pPr>
          </w:p>
        </w:tc>
        <w:tc>
          <w:tcPr>
            <w:tcW w:w="1075" w:type="dxa"/>
            <w:tcBorders>
              <w:top w:val="nil"/>
              <w:left w:val="nil"/>
              <w:bottom w:val="nil"/>
              <w:right w:val="nil"/>
            </w:tcBorders>
            <w:shd w:val="clear" w:color="auto" w:fill="auto"/>
            <w:noWrap/>
            <w:vAlign w:val="center"/>
          </w:tcPr>
          <w:p w14:paraId="1FA02B96">
            <w:pPr>
              <w:rPr>
                <w:rFonts w:hint="eastAsia" w:ascii="宋体" w:hAnsi="宋体" w:eastAsia="宋体" w:cs="宋体"/>
                <w:i w:val="0"/>
                <w:iCs w:val="0"/>
                <w:color w:val="000000"/>
                <w:sz w:val="22"/>
                <w:szCs w:val="22"/>
                <w:u w:val="none"/>
              </w:rPr>
            </w:pPr>
          </w:p>
        </w:tc>
        <w:tc>
          <w:tcPr>
            <w:tcW w:w="1092" w:type="dxa"/>
            <w:tcBorders>
              <w:top w:val="nil"/>
              <w:left w:val="nil"/>
              <w:bottom w:val="nil"/>
              <w:right w:val="nil"/>
            </w:tcBorders>
            <w:shd w:val="clear" w:color="auto" w:fill="auto"/>
            <w:noWrap/>
            <w:vAlign w:val="center"/>
          </w:tcPr>
          <w:p w14:paraId="3E049CED">
            <w:pPr>
              <w:rPr>
                <w:rFonts w:hint="eastAsia" w:ascii="宋体" w:hAnsi="宋体" w:eastAsia="宋体" w:cs="宋体"/>
                <w:i w:val="0"/>
                <w:iCs w:val="0"/>
                <w:color w:val="000000"/>
                <w:sz w:val="22"/>
                <w:szCs w:val="22"/>
                <w:u w:val="none"/>
              </w:rPr>
            </w:pPr>
          </w:p>
        </w:tc>
        <w:tc>
          <w:tcPr>
            <w:tcW w:w="2237" w:type="dxa"/>
            <w:gridSpan w:val="2"/>
            <w:tcBorders>
              <w:top w:val="nil"/>
              <w:left w:val="nil"/>
              <w:bottom w:val="nil"/>
              <w:right w:val="nil"/>
            </w:tcBorders>
            <w:shd w:val="clear" w:color="auto" w:fill="auto"/>
            <w:noWrap/>
            <w:vAlign w:val="center"/>
          </w:tcPr>
          <w:p w14:paraId="1CD36120">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1D236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6181" w:type="dxa"/>
            <w:gridSpan w:val="5"/>
            <w:tcBorders>
              <w:top w:val="nil"/>
              <w:left w:val="nil"/>
              <w:bottom w:val="nil"/>
              <w:right w:val="nil"/>
            </w:tcBorders>
            <w:shd w:val="clear" w:color="auto" w:fill="auto"/>
            <w:noWrap/>
            <w:vAlign w:val="bottom"/>
          </w:tcPr>
          <w:p w14:paraId="55E099DE">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部门：湘潭县发展和改革局</w:t>
            </w:r>
          </w:p>
        </w:tc>
        <w:tc>
          <w:tcPr>
            <w:tcW w:w="1142" w:type="dxa"/>
            <w:tcBorders>
              <w:top w:val="nil"/>
              <w:left w:val="nil"/>
              <w:bottom w:val="nil"/>
              <w:right w:val="nil"/>
            </w:tcBorders>
            <w:shd w:val="clear" w:color="auto" w:fill="auto"/>
            <w:noWrap/>
            <w:vAlign w:val="center"/>
          </w:tcPr>
          <w:p w14:paraId="1D882BB4">
            <w:pPr>
              <w:rPr>
                <w:rFonts w:hint="eastAsia" w:ascii="宋体" w:hAnsi="宋体" w:eastAsia="宋体" w:cs="宋体"/>
                <w:i w:val="0"/>
                <w:iCs w:val="0"/>
                <w:color w:val="000000"/>
                <w:sz w:val="22"/>
                <w:szCs w:val="22"/>
                <w:u w:val="none"/>
              </w:rPr>
            </w:pPr>
          </w:p>
        </w:tc>
        <w:tc>
          <w:tcPr>
            <w:tcW w:w="1200" w:type="dxa"/>
            <w:tcBorders>
              <w:top w:val="nil"/>
              <w:left w:val="nil"/>
              <w:bottom w:val="nil"/>
              <w:right w:val="nil"/>
            </w:tcBorders>
            <w:shd w:val="clear" w:color="auto" w:fill="auto"/>
            <w:noWrap/>
            <w:vAlign w:val="center"/>
          </w:tcPr>
          <w:p w14:paraId="3A2606A9">
            <w:pPr>
              <w:rPr>
                <w:rFonts w:hint="eastAsia" w:ascii="宋体" w:hAnsi="宋体" w:eastAsia="宋体" w:cs="宋体"/>
                <w:i w:val="0"/>
                <w:iCs w:val="0"/>
                <w:color w:val="000000"/>
                <w:sz w:val="22"/>
                <w:szCs w:val="22"/>
                <w:u w:val="none"/>
              </w:rPr>
            </w:pPr>
          </w:p>
        </w:tc>
        <w:tc>
          <w:tcPr>
            <w:tcW w:w="1133" w:type="dxa"/>
            <w:tcBorders>
              <w:top w:val="nil"/>
              <w:left w:val="nil"/>
              <w:bottom w:val="nil"/>
              <w:right w:val="nil"/>
            </w:tcBorders>
            <w:shd w:val="clear" w:color="auto" w:fill="auto"/>
            <w:noWrap/>
            <w:vAlign w:val="center"/>
          </w:tcPr>
          <w:p w14:paraId="08C293CA">
            <w:pPr>
              <w:rPr>
                <w:rFonts w:hint="eastAsia" w:ascii="宋体" w:hAnsi="宋体" w:eastAsia="宋体" w:cs="宋体"/>
                <w:i w:val="0"/>
                <w:iCs w:val="0"/>
                <w:color w:val="000000"/>
                <w:sz w:val="22"/>
                <w:szCs w:val="22"/>
                <w:u w:val="none"/>
              </w:rPr>
            </w:pPr>
          </w:p>
        </w:tc>
        <w:tc>
          <w:tcPr>
            <w:tcW w:w="1075" w:type="dxa"/>
            <w:tcBorders>
              <w:top w:val="nil"/>
              <w:left w:val="nil"/>
              <w:bottom w:val="nil"/>
              <w:right w:val="nil"/>
            </w:tcBorders>
            <w:shd w:val="clear" w:color="auto" w:fill="auto"/>
            <w:noWrap/>
            <w:vAlign w:val="center"/>
          </w:tcPr>
          <w:p w14:paraId="71D873A4">
            <w:pPr>
              <w:rPr>
                <w:rFonts w:hint="eastAsia" w:ascii="宋体" w:hAnsi="宋体" w:eastAsia="宋体" w:cs="宋体"/>
                <w:i w:val="0"/>
                <w:iCs w:val="0"/>
                <w:color w:val="000000"/>
                <w:sz w:val="22"/>
                <w:szCs w:val="22"/>
                <w:u w:val="none"/>
              </w:rPr>
            </w:pPr>
          </w:p>
        </w:tc>
        <w:tc>
          <w:tcPr>
            <w:tcW w:w="1092" w:type="dxa"/>
            <w:tcBorders>
              <w:top w:val="nil"/>
              <w:left w:val="nil"/>
              <w:bottom w:val="nil"/>
              <w:right w:val="nil"/>
            </w:tcBorders>
            <w:shd w:val="clear" w:color="auto" w:fill="auto"/>
            <w:noWrap/>
            <w:vAlign w:val="center"/>
          </w:tcPr>
          <w:p w14:paraId="4A18666E">
            <w:pPr>
              <w:rPr>
                <w:rFonts w:hint="eastAsia" w:ascii="宋体" w:hAnsi="宋体" w:eastAsia="宋体" w:cs="宋体"/>
                <w:i w:val="0"/>
                <w:iCs w:val="0"/>
                <w:color w:val="000000"/>
                <w:sz w:val="22"/>
                <w:szCs w:val="22"/>
                <w:u w:val="none"/>
              </w:rPr>
            </w:pPr>
          </w:p>
        </w:tc>
        <w:tc>
          <w:tcPr>
            <w:tcW w:w="2237" w:type="dxa"/>
            <w:gridSpan w:val="2"/>
            <w:tcBorders>
              <w:top w:val="nil"/>
              <w:left w:val="nil"/>
              <w:bottom w:val="nil"/>
              <w:right w:val="nil"/>
            </w:tcBorders>
            <w:shd w:val="clear" w:color="auto" w:fill="auto"/>
            <w:noWrap/>
            <w:vAlign w:val="center"/>
          </w:tcPr>
          <w:p w14:paraId="2C789A5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889A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73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71A1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67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89BC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97DB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77D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37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5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533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247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5C2E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582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3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19C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0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65EF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6738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E8B1C">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2E6CA">
            <w:pPr>
              <w:jc w:val="center"/>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2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0A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206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71687">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229CF">
            <w:pPr>
              <w:jc w:val="center"/>
              <w:rPr>
                <w:rFonts w:hint="eastAsia" w:ascii="宋体" w:hAnsi="宋体" w:eastAsia="宋体" w:cs="宋体"/>
                <w:i w:val="0"/>
                <w:iCs w:val="0"/>
                <w:color w:val="000000"/>
                <w:sz w:val="22"/>
                <w:szCs w:val="22"/>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738321">
            <w:pPr>
              <w:jc w:val="center"/>
              <w:rPr>
                <w:rFonts w:hint="eastAsia" w:ascii="宋体" w:hAnsi="宋体" w:eastAsia="宋体" w:cs="宋体"/>
                <w:i w:val="0"/>
                <w:iCs w:val="0"/>
                <w:color w:val="000000"/>
                <w:sz w:val="22"/>
                <w:szCs w:val="22"/>
                <w:u w:val="none"/>
              </w:rPr>
            </w:pP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7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1F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1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0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FA352">
            <w:pPr>
              <w:jc w:val="center"/>
              <w:rPr>
                <w:rFonts w:hint="eastAsia" w:ascii="宋体" w:hAnsi="宋体" w:eastAsia="宋体" w:cs="宋体"/>
                <w:i w:val="0"/>
                <w:iCs w:val="0"/>
                <w:color w:val="000000"/>
                <w:sz w:val="22"/>
                <w:szCs w:val="22"/>
                <w:u w:val="none"/>
              </w:rPr>
            </w:pPr>
          </w:p>
        </w:tc>
      </w:tr>
      <w:tr w14:paraId="798FA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3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DA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C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2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0F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D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F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6E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7F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11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9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3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731B7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50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7B776">
            <w:pPr>
              <w:jc w:val="center"/>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0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9.60</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04BA">
            <w:pPr>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4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9.60</w:t>
            </w:r>
          </w:p>
        </w:tc>
        <w:tc>
          <w:tcPr>
            <w:tcW w:w="1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E0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8A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AD77">
            <w:pPr>
              <w:jc w:val="center"/>
              <w:rPr>
                <w:rFonts w:hint="eastAsia" w:ascii="宋体" w:hAnsi="宋体" w:eastAsia="宋体" w:cs="宋体"/>
                <w:i w:val="0"/>
                <w:iCs w:val="0"/>
                <w:color w:val="000000"/>
                <w:sz w:val="22"/>
                <w:szCs w:val="22"/>
                <w:u w:val="none"/>
              </w:rPr>
            </w:pP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C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9CAB">
            <w:pPr>
              <w:jc w:val="center"/>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43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C9A12">
            <w:pPr>
              <w:jc w:val="center"/>
              <w:rPr>
                <w:rFonts w:hint="eastAsia" w:ascii="宋体" w:hAnsi="宋体" w:eastAsia="宋体" w:cs="宋体"/>
                <w:i w:val="0"/>
                <w:iCs w:val="0"/>
                <w:color w:val="000000"/>
                <w:sz w:val="22"/>
                <w:szCs w:val="22"/>
                <w:u w:val="none"/>
              </w:rPr>
            </w:pPr>
          </w:p>
        </w:tc>
      </w:tr>
      <w:tr w14:paraId="151F9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14060" w:type="dxa"/>
            <w:gridSpan w:val="12"/>
            <w:tcBorders>
              <w:top w:val="nil"/>
              <w:left w:val="nil"/>
              <w:bottom w:val="nil"/>
              <w:right w:val="nil"/>
            </w:tcBorders>
            <w:shd w:val="clear" w:color="auto" w:fill="auto"/>
            <w:vAlign w:val="center"/>
          </w:tcPr>
          <w:p w14:paraId="248559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79B6909">
      <w:pPr>
        <w:pStyle w:val="16"/>
        <w:jc w:val="center"/>
        <w:rPr>
          <w:sz w:val="72"/>
          <w:szCs w:val="72"/>
        </w:rPr>
      </w:pPr>
    </w:p>
    <w:p w14:paraId="7032B3E6">
      <w:pPr>
        <w:pStyle w:val="16"/>
        <w:jc w:val="center"/>
        <w:rPr>
          <w:sz w:val="72"/>
          <w:szCs w:val="72"/>
        </w:rPr>
      </w:pPr>
    </w:p>
    <w:p w14:paraId="0B667520">
      <w:pPr>
        <w:pStyle w:val="16"/>
        <w:jc w:val="center"/>
        <w:rPr>
          <w:sz w:val="72"/>
          <w:szCs w:val="72"/>
        </w:rPr>
        <w:sectPr>
          <w:pgSz w:w="16838" w:h="11906" w:orient="landscape"/>
          <w:pgMar w:top="1587" w:right="1417" w:bottom="1587" w:left="1417" w:header="851" w:footer="992" w:gutter="0"/>
          <w:pgBorders>
            <w:top w:val="none" w:sz="0" w:space="0"/>
            <w:left w:val="none" w:sz="0" w:space="0"/>
            <w:bottom w:val="none" w:sz="0" w:space="0"/>
            <w:right w:val="none" w:sz="0" w:space="0"/>
          </w:pgBorders>
          <w:cols w:space="0" w:num="1"/>
          <w:rtlGutter w:val="0"/>
          <w:docGrid w:type="lines" w:linePitch="323" w:charSpace="0"/>
        </w:sectPr>
      </w:pPr>
    </w:p>
    <w:p w14:paraId="292D43B5">
      <w:pPr>
        <w:pStyle w:val="16"/>
        <w:jc w:val="center"/>
        <w:rPr>
          <w:sz w:val="72"/>
          <w:szCs w:val="72"/>
        </w:rPr>
      </w:pPr>
    </w:p>
    <w:p w14:paraId="09797022">
      <w:pPr>
        <w:pStyle w:val="16"/>
        <w:jc w:val="center"/>
        <w:rPr>
          <w:sz w:val="72"/>
          <w:szCs w:val="72"/>
        </w:rPr>
      </w:pPr>
    </w:p>
    <w:p w14:paraId="4C164A31">
      <w:pPr>
        <w:pStyle w:val="16"/>
        <w:jc w:val="center"/>
        <w:rPr>
          <w:sz w:val="72"/>
          <w:szCs w:val="72"/>
        </w:rPr>
      </w:pPr>
    </w:p>
    <w:p w14:paraId="1742A246">
      <w:pPr>
        <w:pStyle w:val="16"/>
        <w:jc w:val="center"/>
        <w:rPr>
          <w:sz w:val="72"/>
          <w:szCs w:val="72"/>
        </w:rPr>
      </w:pPr>
    </w:p>
    <w:p w14:paraId="1F8183E6">
      <w:pPr>
        <w:pStyle w:val="16"/>
        <w:jc w:val="center"/>
        <w:rPr>
          <w:rFonts w:hint="eastAsia" w:ascii="方正小标宋_GBK" w:hAnsi="方正小标宋_GBK" w:eastAsia="方正小标宋_GBK" w:cs="方正小标宋_GBK"/>
          <w:kern w:val="0"/>
          <w:sz w:val="70"/>
          <w:szCs w:val="70"/>
        </w:rPr>
      </w:pPr>
      <w:r>
        <w:rPr>
          <w:rFonts w:hint="eastAsia"/>
          <w:sz w:val="72"/>
          <w:szCs w:val="72"/>
        </w:rPr>
        <w:t>第</w:t>
      </w:r>
      <w:r>
        <w:rPr>
          <w:rFonts w:hint="eastAsia" w:ascii="方正小标宋_GBK" w:hAnsi="方正小标宋_GBK" w:eastAsia="方正小标宋_GBK" w:cs="方正小标宋_GBK"/>
          <w:kern w:val="0"/>
          <w:sz w:val="70"/>
          <w:szCs w:val="70"/>
        </w:rPr>
        <w:t>三部分</w:t>
      </w:r>
    </w:p>
    <w:p w14:paraId="58456362">
      <w:pPr>
        <w:pStyle w:val="16"/>
        <w:jc w:val="center"/>
        <w:rPr>
          <w:rFonts w:hint="eastAsia" w:ascii="方正小标宋_GBK" w:hAnsi="方正小标宋_GBK" w:eastAsia="方正小标宋_GBK" w:cs="方正小标宋_GBK"/>
          <w:kern w:val="0"/>
          <w:sz w:val="70"/>
          <w:szCs w:val="70"/>
        </w:rPr>
      </w:pPr>
    </w:p>
    <w:p w14:paraId="7A36681C">
      <w:pPr>
        <w:pStyle w:val="16"/>
        <w:jc w:val="center"/>
        <w:rPr>
          <w:rFonts w:hint="eastAsia" w:ascii="方正小标宋_GBK" w:hAnsi="方正小标宋_GBK" w:eastAsia="方正小标宋_GBK" w:cs="方正小标宋_GBK"/>
          <w:kern w:val="0"/>
          <w:sz w:val="70"/>
          <w:szCs w:val="70"/>
        </w:rPr>
      </w:pPr>
      <w:r>
        <w:rPr>
          <w:rFonts w:hint="eastAsia" w:ascii="方正小标宋_GBK" w:hAnsi="方正小标宋_GBK" w:eastAsia="方正小标宋_GBK" w:cs="方正小标宋_GBK"/>
          <w:kern w:val="0"/>
          <w:sz w:val="70"/>
          <w:szCs w:val="70"/>
        </w:rPr>
        <w:t>202</w:t>
      </w:r>
      <w:r>
        <w:rPr>
          <w:rFonts w:hint="eastAsia" w:ascii="方正小标宋_GBK" w:hAnsi="方正小标宋_GBK" w:eastAsia="方正小标宋_GBK" w:cs="方正小标宋_GBK"/>
          <w:kern w:val="0"/>
          <w:sz w:val="70"/>
          <w:szCs w:val="70"/>
          <w:lang w:val="en-US" w:eastAsia="zh-CN"/>
        </w:rPr>
        <w:t>4</w:t>
      </w:r>
      <w:r>
        <w:rPr>
          <w:rFonts w:hint="eastAsia" w:ascii="方正小标宋_GBK" w:hAnsi="方正小标宋_GBK" w:eastAsia="方正小标宋_GBK" w:cs="方正小标宋_GBK"/>
          <w:kern w:val="0"/>
          <w:sz w:val="70"/>
          <w:szCs w:val="70"/>
        </w:rPr>
        <w:t>年度部门决算情况说明</w:t>
      </w:r>
    </w:p>
    <w:p w14:paraId="0CFF8631">
      <w:pPr>
        <w:pStyle w:val="16"/>
        <w:jc w:val="center"/>
        <w:rPr>
          <w:rFonts w:hint="eastAsia" w:ascii="方正小标宋_GBK" w:hAnsi="方正小标宋_GBK" w:eastAsia="方正小标宋_GBK" w:cs="方正小标宋_GBK"/>
          <w:kern w:val="0"/>
          <w:sz w:val="70"/>
          <w:szCs w:val="70"/>
        </w:rPr>
      </w:pPr>
      <w:r>
        <w:rPr>
          <w:rFonts w:hint="eastAsia" w:ascii="方正小标宋_GBK" w:hAnsi="方正小标宋_GBK" w:eastAsia="方正小标宋_GBK" w:cs="方正小标宋_GBK"/>
          <w:kern w:val="0"/>
          <w:sz w:val="70"/>
          <w:szCs w:val="70"/>
        </w:rPr>
        <w:br w:type="page"/>
      </w:r>
    </w:p>
    <w:p w14:paraId="56780435">
      <w:pPr>
        <w:pStyle w:val="16"/>
        <w:spacing w:line="600" w:lineRule="exact"/>
        <w:ind w:firstLine="643" w:firstLineChars="200"/>
        <w:outlineLvl w:val="0"/>
        <w:rPr>
          <w:rFonts w:hAnsi="黑体"/>
          <w:b/>
          <w:sz w:val="32"/>
          <w:szCs w:val="32"/>
        </w:rPr>
      </w:pPr>
      <w:r>
        <w:rPr>
          <w:rFonts w:hint="eastAsia" w:hAnsi="黑体"/>
          <w:b/>
          <w:sz w:val="32"/>
          <w:szCs w:val="32"/>
        </w:rPr>
        <w:t>一、收入支出决算总体情况说明</w:t>
      </w:r>
    </w:p>
    <w:p w14:paraId="3B38005B">
      <w:pPr>
        <w:pStyle w:val="16"/>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度收、支总计8,139.68万元（收入总计含年初结转和结余资金559.36万元；支出总计含年末结转和结余资金338.59万元）。与上年相比，</w:t>
      </w:r>
      <w:r>
        <w:rPr>
          <w:rFonts w:hint="eastAsia" w:ascii="Times New Roman" w:hAnsi="Times New Roman" w:eastAsia="仿宋_GB2312" w:cs="Times New Roman"/>
          <w:kern w:val="0"/>
          <w:sz w:val="32"/>
          <w:szCs w:val="32"/>
          <w:lang w:val="en-US" w:eastAsia="zh-CN"/>
        </w:rPr>
        <w:t>增加3,291.72</w:t>
      </w:r>
      <w:r>
        <w:rPr>
          <w:rFonts w:hint="eastAsia"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val="en-US" w:eastAsia="zh-CN"/>
        </w:rPr>
        <w:t>增长67.9</w:t>
      </w:r>
      <w:r>
        <w:rPr>
          <w:rFonts w:hint="eastAsia" w:ascii="Times New Roman" w:hAnsi="Times New Roman" w:eastAsia="仿宋_GB2312" w:cs="Times New Roman"/>
          <w:kern w:val="0"/>
          <w:sz w:val="32"/>
          <w:szCs w:val="32"/>
        </w:rPr>
        <w:t>%，主要是因为</w:t>
      </w:r>
      <w:r>
        <w:rPr>
          <w:rFonts w:hint="eastAsia" w:ascii="Times New Roman" w:hAnsi="Times New Roman" w:eastAsia="仿宋_GB2312" w:cs="Times New Roman"/>
          <w:kern w:val="0"/>
          <w:sz w:val="32"/>
          <w:szCs w:val="32"/>
          <w:lang w:val="en-US" w:eastAsia="zh-CN"/>
        </w:rPr>
        <w:t>中央、省、市</w:t>
      </w:r>
      <w:r>
        <w:rPr>
          <w:rFonts w:hint="eastAsia" w:ascii="Times New Roman" w:hAnsi="Times New Roman" w:eastAsia="仿宋_GB2312" w:cs="Times New Roman"/>
          <w:kern w:val="0"/>
          <w:sz w:val="32"/>
          <w:szCs w:val="32"/>
        </w:rPr>
        <w:t>专项资金</w:t>
      </w:r>
      <w:r>
        <w:rPr>
          <w:rFonts w:hint="eastAsia" w:ascii="Times New Roman" w:hAnsi="Times New Roman" w:eastAsia="仿宋_GB2312" w:cs="Times New Roman"/>
          <w:kern w:val="0"/>
          <w:sz w:val="32"/>
          <w:szCs w:val="32"/>
          <w:lang w:val="en-US" w:eastAsia="zh-CN"/>
        </w:rPr>
        <w:t>收、支增加</w:t>
      </w:r>
      <w:r>
        <w:rPr>
          <w:rFonts w:hint="eastAsia" w:ascii="Times New Roman" w:hAnsi="Times New Roman" w:eastAsia="仿宋_GB2312" w:cs="Times New Roman"/>
          <w:kern w:val="0"/>
          <w:sz w:val="32"/>
          <w:szCs w:val="32"/>
        </w:rPr>
        <w:t>。</w:t>
      </w:r>
    </w:p>
    <w:p w14:paraId="77BC893B">
      <w:pPr>
        <w:pStyle w:val="16"/>
        <w:spacing w:line="600" w:lineRule="exact"/>
        <w:ind w:firstLine="643" w:firstLineChars="200"/>
        <w:rPr>
          <w:rFonts w:hAnsi="黑体"/>
          <w:b/>
          <w:sz w:val="32"/>
          <w:szCs w:val="32"/>
        </w:rPr>
      </w:pPr>
      <w:r>
        <w:rPr>
          <w:rFonts w:hint="eastAsia" w:hAnsi="黑体"/>
          <w:b/>
          <w:sz w:val="32"/>
          <w:szCs w:val="32"/>
        </w:rPr>
        <w:t>二、收入决算情况说明</w:t>
      </w:r>
    </w:p>
    <w:p w14:paraId="65FE3D2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年度收入合计7,580.31万元，其中：财政拨款收入7,365.59万元，占</w:t>
      </w:r>
      <w:r>
        <w:rPr>
          <w:rFonts w:hint="eastAsia" w:ascii="Times New Roman" w:hAnsi="Times New Roman" w:eastAsia="仿宋_GB2312" w:cs="Times New Roman"/>
          <w:kern w:val="0"/>
          <w:sz w:val="32"/>
          <w:szCs w:val="32"/>
          <w:lang w:val="en-US" w:eastAsia="zh-CN"/>
        </w:rPr>
        <w:t>97</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17</w:t>
      </w:r>
      <w:r>
        <w:rPr>
          <w:rFonts w:hint="eastAsia" w:ascii="Times New Roman" w:hAnsi="Times New Roman" w:eastAsia="仿宋_GB2312" w:cs="Times New Roman"/>
          <w:kern w:val="0"/>
          <w:sz w:val="32"/>
          <w:szCs w:val="32"/>
        </w:rPr>
        <w:t>%；上级补助收入0万元，占0%；事业收入0万元，占0%；经营收入0万元，占0%；附属单位上缴收入0万元，占0%；其他收入214.72万元，占</w:t>
      </w:r>
      <w:r>
        <w:rPr>
          <w:rFonts w:hint="eastAsia" w:ascii="Times New Roman" w:hAnsi="Times New Roman" w:eastAsia="仿宋_GB2312" w:cs="Times New Roman"/>
          <w:kern w:val="0"/>
          <w:sz w:val="32"/>
          <w:szCs w:val="32"/>
          <w:lang w:val="en-US" w:eastAsia="zh-CN"/>
        </w:rPr>
        <w:t>2.83</w:t>
      </w:r>
      <w:r>
        <w:rPr>
          <w:rFonts w:hint="eastAsia" w:ascii="Times New Roman" w:hAnsi="Times New Roman" w:eastAsia="仿宋_GB2312" w:cs="Times New Roman"/>
          <w:kern w:val="0"/>
          <w:sz w:val="32"/>
          <w:szCs w:val="32"/>
        </w:rPr>
        <w:t>%。</w:t>
      </w:r>
    </w:p>
    <w:p w14:paraId="5E16767A">
      <w:pPr>
        <w:pStyle w:val="16"/>
        <w:spacing w:line="600" w:lineRule="exact"/>
        <w:ind w:firstLine="643" w:firstLineChars="200"/>
        <w:outlineLvl w:val="0"/>
        <w:rPr>
          <w:rFonts w:hAnsi="黑体"/>
          <w:b/>
          <w:sz w:val="32"/>
          <w:szCs w:val="32"/>
        </w:rPr>
      </w:pPr>
      <w:r>
        <w:rPr>
          <w:rFonts w:hint="eastAsia" w:hAnsi="黑体"/>
          <w:b/>
          <w:sz w:val="32"/>
          <w:szCs w:val="32"/>
        </w:rPr>
        <w:t>三、支出决算情况说明</w:t>
      </w:r>
    </w:p>
    <w:p w14:paraId="7BA2A1B4">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年度支出合计7,801.08万元，其中：基本支出984.53万元，占</w:t>
      </w:r>
      <w:r>
        <w:rPr>
          <w:rFonts w:hint="eastAsia" w:ascii="Times New Roman" w:hAnsi="Times New Roman" w:eastAsia="仿宋_GB2312" w:cs="Times New Roman"/>
          <w:kern w:val="0"/>
          <w:sz w:val="32"/>
          <w:szCs w:val="32"/>
          <w:lang w:val="en-US" w:eastAsia="zh-CN"/>
        </w:rPr>
        <w:t>12.62</w:t>
      </w:r>
      <w:r>
        <w:rPr>
          <w:rFonts w:hint="eastAsia" w:ascii="Times New Roman" w:hAnsi="Times New Roman" w:eastAsia="仿宋_GB2312" w:cs="Times New Roman"/>
          <w:kern w:val="0"/>
          <w:sz w:val="32"/>
          <w:szCs w:val="32"/>
        </w:rPr>
        <w:t>%；项目支出6,816.55万元，占</w:t>
      </w:r>
      <w:r>
        <w:rPr>
          <w:rFonts w:hint="eastAsia" w:ascii="Times New Roman" w:hAnsi="Times New Roman" w:eastAsia="仿宋_GB2312" w:cs="Times New Roman"/>
          <w:kern w:val="0"/>
          <w:sz w:val="32"/>
          <w:szCs w:val="32"/>
          <w:lang w:val="en-US" w:eastAsia="zh-CN"/>
        </w:rPr>
        <w:t>87.38</w:t>
      </w:r>
      <w:r>
        <w:rPr>
          <w:rFonts w:hint="eastAsia" w:ascii="Times New Roman" w:hAnsi="Times New Roman" w:eastAsia="仿宋_GB2312" w:cs="Times New Roman"/>
          <w:kern w:val="0"/>
          <w:sz w:val="32"/>
          <w:szCs w:val="32"/>
        </w:rPr>
        <w:t>%；上缴上级支出0万元，占0%；经营支出0万元，占0%；对附属单位补助支出0万元，占0%。</w:t>
      </w:r>
    </w:p>
    <w:p w14:paraId="351E7E0A">
      <w:pPr>
        <w:pStyle w:val="16"/>
        <w:spacing w:line="600" w:lineRule="exact"/>
        <w:ind w:firstLine="643" w:firstLineChars="200"/>
        <w:outlineLvl w:val="0"/>
        <w:rPr>
          <w:rFonts w:hAnsi="黑体"/>
          <w:b/>
          <w:sz w:val="32"/>
          <w:szCs w:val="32"/>
        </w:rPr>
      </w:pPr>
      <w:r>
        <w:rPr>
          <w:rFonts w:hint="eastAsia" w:hAnsi="黑体"/>
          <w:b/>
          <w:sz w:val="32"/>
          <w:szCs w:val="32"/>
        </w:rPr>
        <w:t>四、财政拨款收入支出决算总体情况说明</w:t>
      </w:r>
    </w:p>
    <w:p w14:paraId="2AE6324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年度财政拨款收、支总计7,365.59万元，与上年相比，</w:t>
      </w:r>
      <w:r>
        <w:rPr>
          <w:rFonts w:hint="eastAsia" w:ascii="Times New Roman" w:hAnsi="Times New Roman" w:eastAsia="仿宋_GB2312" w:cs="Times New Roman"/>
          <w:kern w:val="0"/>
          <w:sz w:val="32"/>
          <w:szCs w:val="32"/>
          <w:lang w:val="en-US" w:eastAsia="zh-CN"/>
        </w:rPr>
        <w:t>增加3,458.64</w:t>
      </w:r>
      <w:r>
        <w:rPr>
          <w:rFonts w:hint="eastAsia" w:ascii="Times New Roman" w:hAnsi="Times New Roman" w:eastAsia="仿宋_GB2312" w:cs="Times New Roman"/>
          <w:kern w:val="0"/>
          <w:sz w:val="32"/>
          <w:szCs w:val="32"/>
        </w:rPr>
        <w:t xml:space="preserve">万元, </w:t>
      </w:r>
      <w:r>
        <w:rPr>
          <w:rFonts w:hint="eastAsia" w:ascii="Times New Roman" w:hAnsi="Times New Roman" w:eastAsia="仿宋_GB2312" w:cs="Times New Roman"/>
          <w:kern w:val="0"/>
          <w:sz w:val="32"/>
          <w:szCs w:val="32"/>
          <w:lang w:val="en-US" w:eastAsia="zh-CN"/>
        </w:rPr>
        <w:t>增长88</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53</w:t>
      </w:r>
      <w:r>
        <w:rPr>
          <w:rFonts w:hint="eastAsia" w:ascii="Times New Roman" w:hAnsi="Times New Roman" w:eastAsia="仿宋_GB2312" w:cs="Times New Roman"/>
          <w:kern w:val="0"/>
          <w:sz w:val="32"/>
          <w:szCs w:val="32"/>
        </w:rPr>
        <w:t>%，主要是因为</w:t>
      </w:r>
      <w:r>
        <w:rPr>
          <w:rFonts w:hint="eastAsia" w:ascii="Times New Roman" w:hAnsi="Times New Roman" w:eastAsia="仿宋_GB2312" w:cs="Times New Roman"/>
          <w:kern w:val="0"/>
          <w:sz w:val="32"/>
          <w:szCs w:val="32"/>
          <w:lang w:val="en-US" w:eastAsia="zh-CN"/>
        </w:rPr>
        <w:t>中央、省、市</w:t>
      </w:r>
      <w:r>
        <w:rPr>
          <w:rFonts w:hint="eastAsia" w:ascii="Times New Roman" w:hAnsi="Times New Roman" w:eastAsia="仿宋_GB2312" w:cs="Times New Roman"/>
          <w:kern w:val="0"/>
          <w:sz w:val="32"/>
          <w:szCs w:val="32"/>
        </w:rPr>
        <w:t>专项资金</w:t>
      </w:r>
      <w:r>
        <w:rPr>
          <w:rFonts w:hint="eastAsia" w:ascii="Times New Roman" w:hAnsi="Times New Roman" w:eastAsia="仿宋_GB2312" w:cs="Times New Roman"/>
          <w:kern w:val="0"/>
          <w:sz w:val="32"/>
          <w:szCs w:val="32"/>
          <w:lang w:val="en-US" w:eastAsia="zh-CN"/>
        </w:rPr>
        <w:t>收、支增加</w:t>
      </w:r>
      <w:r>
        <w:rPr>
          <w:rFonts w:hint="eastAsia" w:ascii="Times New Roman" w:hAnsi="Times New Roman" w:eastAsia="仿宋_GB2312" w:cs="Times New Roman"/>
          <w:kern w:val="0"/>
          <w:sz w:val="32"/>
          <w:szCs w:val="32"/>
        </w:rPr>
        <w:t>。</w:t>
      </w:r>
    </w:p>
    <w:p w14:paraId="17EFF70A">
      <w:pPr>
        <w:pStyle w:val="16"/>
        <w:spacing w:line="600" w:lineRule="exact"/>
        <w:ind w:firstLine="643" w:firstLineChars="200"/>
        <w:outlineLvl w:val="0"/>
        <w:rPr>
          <w:rFonts w:hAnsi="黑体"/>
          <w:b/>
          <w:sz w:val="32"/>
          <w:szCs w:val="32"/>
        </w:rPr>
      </w:pPr>
      <w:r>
        <w:rPr>
          <w:rFonts w:hint="eastAsia" w:hAnsi="黑体"/>
          <w:b/>
          <w:sz w:val="32"/>
          <w:szCs w:val="32"/>
        </w:rPr>
        <w:t>五、一般公共预算财政拨款支出决算情况说明</w:t>
      </w:r>
    </w:p>
    <w:p w14:paraId="675DB9E9">
      <w:pPr>
        <w:pStyle w:val="16"/>
        <w:spacing w:line="60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（一）一般公共预算财政拨款支出决算总体情况</w:t>
      </w:r>
    </w:p>
    <w:p w14:paraId="63E41703">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年度财政拨款支出7,365.59万元，占本年支出合计的9</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42</w:t>
      </w:r>
      <w:r>
        <w:rPr>
          <w:rFonts w:hint="eastAsia" w:ascii="Times New Roman" w:hAnsi="Times New Roman" w:eastAsia="仿宋_GB2312" w:cs="Times New Roman"/>
          <w:kern w:val="0"/>
          <w:sz w:val="32"/>
          <w:szCs w:val="32"/>
        </w:rPr>
        <w:t>%，与上年相比，财政拨款支出</w:t>
      </w:r>
      <w:r>
        <w:rPr>
          <w:rFonts w:hint="eastAsia" w:ascii="Times New Roman" w:hAnsi="Times New Roman" w:eastAsia="仿宋_GB2312" w:cs="Times New Roman"/>
          <w:kern w:val="0"/>
          <w:sz w:val="32"/>
          <w:szCs w:val="32"/>
          <w:lang w:val="en-US" w:eastAsia="zh-CN"/>
        </w:rPr>
        <w:t>增加3,458.64</w:t>
      </w:r>
      <w:r>
        <w:rPr>
          <w:rFonts w:hint="eastAsia" w:ascii="Times New Roman" w:hAnsi="Times New Roman" w:eastAsia="仿宋_GB2312" w:cs="Times New Roman"/>
          <w:kern w:val="0"/>
          <w:sz w:val="32"/>
          <w:szCs w:val="32"/>
        </w:rPr>
        <w:t xml:space="preserve">万元, </w:t>
      </w:r>
      <w:r>
        <w:rPr>
          <w:rFonts w:hint="eastAsia" w:ascii="Times New Roman" w:hAnsi="Times New Roman" w:eastAsia="仿宋_GB2312" w:cs="Times New Roman"/>
          <w:kern w:val="0"/>
          <w:sz w:val="32"/>
          <w:szCs w:val="32"/>
          <w:lang w:val="en-US" w:eastAsia="zh-CN"/>
        </w:rPr>
        <w:t>增长88</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53</w:t>
      </w:r>
      <w:r>
        <w:rPr>
          <w:rFonts w:hint="eastAsia" w:ascii="Times New Roman" w:hAnsi="Times New Roman" w:eastAsia="仿宋_GB2312" w:cs="Times New Roman"/>
          <w:kern w:val="0"/>
          <w:sz w:val="32"/>
          <w:szCs w:val="32"/>
        </w:rPr>
        <w:t>%，主要是因为</w:t>
      </w:r>
      <w:r>
        <w:rPr>
          <w:rFonts w:hint="eastAsia" w:ascii="Times New Roman" w:hAnsi="Times New Roman" w:eastAsia="仿宋_GB2312" w:cs="Times New Roman"/>
          <w:kern w:val="0"/>
          <w:sz w:val="32"/>
          <w:szCs w:val="32"/>
          <w:lang w:val="en-US" w:eastAsia="zh-CN"/>
        </w:rPr>
        <w:t>中央、省、市</w:t>
      </w:r>
      <w:r>
        <w:rPr>
          <w:rFonts w:hint="eastAsia" w:ascii="Times New Roman" w:hAnsi="Times New Roman" w:eastAsia="仿宋_GB2312" w:cs="Times New Roman"/>
          <w:kern w:val="0"/>
          <w:sz w:val="32"/>
          <w:szCs w:val="32"/>
        </w:rPr>
        <w:t>专项资金</w:t>
      </w:r>
      <w:r>
        <w:rPr>
          <w:rFonts w:hint="eastAsia" w:ascii="Times New Roman" w:hAnsi="Times New Roman" w:eastAsia="仿宋_GB2312" w:cs="Times New Roman"/>
          <w:kern w:val="0"/>
          <w:sz w:val="32"/>
          <w:szCs w:val="32"/>
          <w:lang w:val="en-US" w:eastAsia="zh-CN"/>
        </w:rPr>
        <w:t>支出增加</w:t>
      </w:r>
      <w:r>
        <w:rPr>
          <w:rFonts w:hint="eastAsia" w:ascii="Times New Roman" w:hAnsi="Times New Roman" w:eastAsia="仿宋_GB2312" w:cs="Times New Roman"/>
          <w:kern w:val="0"/>
          <w:sz w:val="32"/>
          <w:szCs w:val="32"/>
        </w:rPr>
        <w:t>。</w:t>
      </w:r>
    </w:p>
    <w:p w14:paraId="0E2C4B66">
      <w:pPr>
        <w:pStyle w:val="16"/>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58EDDD5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财政拨款支出7,365.59万元，主要用于以下方面：一般公共服务（类）支出1,212.66万元，占16.46%；社会保障和就业（类)支出161.07万元，占2.19%；卫生健康（类)支出36.24万元，占0.49%；节能环保（类）支出150.00万元，占2.04%</w:t>
      </w:r>
      <w:r>
        <w:rPr>
          <w:rFonts w:hint="eastAsia" w:ascii="Times New Roman" w:hAnsi="Times New Roman" w:eastAsia="仿宋_GB2312" w:cs="Times New Roman"/>
          <w:kern w:val="0"/>
          <w:sz w:val="32"/>
          <w:szCs w:val="32"/>
          <w:lang w:eastAsia="zh-CN"/>
        </w:rPr>
        <w:t>；城乡社区</w:t>
      </w:r>
      <w:r>
        <w:rPr>
          <w:rFonts w:hint="eastAsia" w:ascii="Times New Roman" w:hAnsi="Times New Roman" w:eastAsia="仿宋_GB2312" w:cs="Times New Roman"/>
          <w:kern w:val="0"/>
          <w:sz w:val="32"/>
          <w:szCs w:val="32"/>
        </w:rPr>
        <w:t>（类）</w:t>
      </w:r>
      <w:r>
        <w:rPr>
          <w:rFonts w:hint="eastAsia" w:ascii="Times New Roman" w:hAnsi="Times New Roman" w:eastAsia="仿宋_GB2312" w:cs="Times New Roman"/>
          <w:kern w:val="0"/>
          <w:sz w:val="32"/>
          <w:szCs w:val="32"/>
          <w:lang w:eastAsia="zh-CN"/>
        </w:rPr>
        <w:t>支出1,225.00</w:t>
      </w:r>
      <w:r>
        <w:rPr>
          <w:rFonts w:hint="eastAsia" w:ascii="Times New Roman" w:hAnsi="Times New Roman" w:eastAsia="仿宋_GB2312" w:cs="Times New Roman"/>
          <w:kern w:val="0"/>
          <w:sz w:val="32"/>
          <w:szCs w:val="32"/>
        </w:rPr>
        <w:t>万元，占16.63%</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资源勘探工业信息（类）支出1,127.57万元，占15.31%；商业服务业（类）支出360.00万元，占4.89%；住房保障（类）支出55.16万元，占0.75%；粮油物资储备（类）支出3,037.89万元，占41.24%。</w:t>
      </w:r>
    </w:p>
    <w:p w14:paraId="11068C60">
      <w:pPr>
        <w:pStyle w:val="16"/>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1BA9FC18">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年度财政拨款支出年初预算数为2,</w:t>
      </w:r>
      <w:r>
        <w:rPr>
          <w:rFonts w:hint="eastAsia" w:ascii="Times New Roman" w:hAnsi="Times New Roman" w:eastAsia="仿宋_GB2312" w:cs="Times New Roman"/>
          <w:kern w:val="0"/>
          <w:sz w:val="32"/>
          <w:szCs w:val="32"/>
          <w:lang w:val="en-US" w:eastAsia="zh-CN"/>
        </w:rPr>
        <w:t>114</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13</w:t>
      </w:r>
      <w:r>
        <w:rPr>
          <w:rFonts w:hint="eastAsia" w:ascii="Times New Roman" w:hAnsi="Times New Roman" w:eastAsia="仿宋_GB2312" w:cs="Times New Roman"/>
          <w:kern w:val="0"/>
          <w:sz w:val="32"/>
          <w:szCs w:val="32"/>
        </w:rPr>
        <w:t>万元，支出决算数为7,365.59万元，完成年初预算的</w:t>
      </w:r>
      <w:r>
        <w:rPr>
          <w:rFonts w:hint="eastAsia" w:ascii="Times New Roman" w:hAnsi="Times New Roman" w:eastAsia="仿宋_GB2312" w:cs="Times New Roman"/>
          <w:kern w:val="0"/>
          <w:sz w:val="32"/>
          <w:szCs w:val="32"/>
          <w:lang w:val="en-US" w:eastAsia="zh-CN"/>
        </w:rPr>
        <w:t>348.40</w:t>
      </w:r>
      <w:r>
        <w:rPr>
          <w:rFonts w:hint="eastAsia" w:ascii="Times New Roman" w:hAnsi="Times New Roman" w:eastAsia="仿宋_GB2312" w:cs="Times New Roman"/>
          <w:kern w:val="0"/>
          <w:sz w:val="32"/>
          <w:szCs w:val="32"/>
        </w:rPr>
        <w:t>%，其中：</w:t>
      </w:r>
    </w:p>
    <w:p w14:paraId="1F32F094">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1、一般公共服务支出（类）发展与改革事务（款）行政运行（项）。</w:t>
      </w:r>
    </w:p>
    <w:p w14:paraId="49FF41EC">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w:t>
      </w:r>
      <w:r>
        <w:rPr>
          <w:rFonts w:hint="eastAsia" w:ascii="Times New Roman" w:hAnsi="Times New Roman" w:eastAsia="仿宋_GB2312" w:cs="Times New Roman"/>
          <w:color w:val="auto"/>
          <w:kern w:val="0"/>
          <w:sz w:val="32"/>
          <w:szCs w:val="32"/>
        </w:rPr>
        <w:t>为581.12万元，支出决算为536.46万元</w:t>
      </w:r>
      <w:r>
        <w:rPr>
          <w:rFonts w:hint="eastAsia" w:ascii="Times New Roman" w:hAnsi="Times New Roman" w:eastAsia="仿宋_GB2312" w:cs="Times New Roman"/>
          <w:kern w:val="0"/>
          <w:sz w:val="32"/>
          <w:szCs w:val="32"/>
        </w:rPr>
        <w:t>，完成年初预算的</w:t>
      </w:r>
      <w:r>
        <w:rPr>
          <w:rFonts w:hint="eastAsia" w:ascii="Times New Roman" w:hAnsi="Times New Roman" w:eastAsia="仿宋_GB2312" w:cs="Times New Roman"/>
          <w:kern w:val="0"/>
          <w:sz w:val="32"/>
          <w:szCs w:val="32"/>
          <w:lang w:val="en-US" w:eastAsia="zh-CN"/>
        </w:rPr>
        <w:t>92.31</w:t>
      </w:r>
      <w:r>
        <w:rPr>
          <w:rFonts w:hint="eastAsia" w:ascii="Times New Roman" w:hAnsi="Times New Roman" w:eastAsia="仿宋_GB2312" w:cs="Times New Roman"/>
          <w:kern w:val="0"/>
          <w:sz w:val="32"/>
          <w:szCs w:val="32"/>
        </w:rPr>
        <w:t>%，决算数</w:t>
      </w:r>
      <w:r>
        <w:rPr>
          <w:rFonts w:hint="eastAsia" w:ascii="Times New Roman" w:hAnsi="Times New Roman" w:eastAsia="仿宋_GB2312" w:cs="Times New Roman"/>
          <w:kern w:val="0"/>
          <w:sz w:val="32"/>
          <w:szCs w:val="32"/>
          <w:lang w:val="en-US" w:eastAsia="zh-CN"/>
        </w:rPr>
        <w:t>小</w:t>
      </w:r>
      <w:r>
        <w:rPr>
          <w:rFonts w:hint="eastAsia" w:ascii="Times New Roman" w:hAnsi="Times New Roman" w:eastAsia="仿宋_GB2312" w:cs="Times New Roman"/>
          <w:kern w:val="0"/>
          <w:sz w:val="32"/>
          <w:szCs w:val="32"/>
        </w:rPr>
        <w:t>于年初预算数的主要原因是：</w:t>
      </w:r>
      <w:r>
        <w:rPr>
          <w:rFonts w:hint="eastAsia" w:ascii="Times New Roman" w:hAnsi="Times New Roman" w:eastAsia="仿宋_GB2312" w:cs="Times New Roman"/>
          <w:kern w:val="0"/>
          <w:sz w:val="32"/>
          <w:szCs w:val="32"/>
          <w:lang w:val="en-US" w:eastAsia="zh-CN"/>
        </w:rPr>
        <w:t>部分支出结转至下年支付</w:t>
      </w:r>
      <w:r>
        <w:rPr>
          <w:rFonts w:hint="eastAsia" w:ascii="Times New Roman" w:hAnsi="Times New Roman" w:eastAsia="仿宋_GB2312" w:cs="Times New Roman"/>
          <w:kern w:val="0"/>
          <w:sz w:val="32"/>
          <w:szCs w:val="32"/>
        </w:rPr>
        <w:t>。</w:t>
      </w:r>
    </w:p>
    <w:p w14:paraId="78F2664C">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2、一般公共服务支出（类）发展与改革事务（款）一般行政管理事务（项）。</w:t>
      </w:r>
    </w:p>
    <w:p w14:paraId="4DD11C0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w:t>
      </w:r>
      <w:r>
        <w:rPr>
          <w:rFonts w:hint="eastAsia" w:ascii="Times New Roman" w:hAnsi="Times New Roman" w:eastAsia="仿宋_GB2312" w:cs="Times New Roman"/>
          <w:color w:val="auto"/>
          <w:kern w:val="0"/>
          <w:sz w:val="32"/>
          <w:szCs w:val="32"/>
        </w:rPr>
        <w:t>预算为307.48万元，支出决算为349.99万元，</w:t>
      </w:r>
      <w:r>
        <w:rPr>
          <w:rFonts w:hint="eastAsia" w:ascii="Times New Roman" w:hAnsi="Times New Roman" w:eastAsia="仿宋_GB2312" w:cs="Times New Roman"/>
          <w:kern w:val="0"/>
          <w:sz w:val="32"/>
          <w:szCs w:val="32"/>
        </w:rPr>
        <w:t>完成年初预算的1</w:t>
      </w:r>
      <w:r>
        <w:rPr>
          <w:rFonts w:hint="eastAsia" w:ascii="Times New Roman" w:hAnsi="Times New Roman" w:eastAsia="仿宋_GB2312" w:cs="Times New Roman"/>
          <w:kern w:val="0"/>
          <w:sz w:val="32"/>
          <w:szCs w:val="32"/>
          <w:lang w:val="en-US" w:eastAsia="zh-CN"/>
        </w:rPr>
        <w:t>13</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83</w:t>
      </w:r>
      <w:r>
        <w:rPr>
          <w:rFonts w:hint="eastAsia" w:ascii="Times New Roman" w:hAnsi="Times New Roman" w:eastAsia="仿宋_GB2312" w:cs="Times New Roman"/>
          <w:kern w:val="0"/>
          <w:sz w:val="32"/>
          <w:szCs w:val="32"/>
        </w:rPr>
        <w:t>%，决算数大于年初预算数的主要原因是:上年部分支出在本年支付。</w:t>
      </w:r>
    </w:p>
    <w:p w14:paraId="55BEF58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3、一般公共服务支出（类）发展与改革事务（款）战略规划与实施（项）。</w:t>
      </w:r>
    </w:p>
    <w:p w14:paraId="58FC8381">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w:t>
      </w:r>
      <w:r>
        <w:rPr>
          <w:rFonts w:hint="eastAsia" w:ascii="Times New Roman" w:hAnsi="Times New Roman" w:eastAsia="仿宋_GB2312" w:cs="Times New Roman"/>
          <w:color w:val="auto"/>
          <w:kern w:val="0"/>
          <w:sz w:val="32"/>
          <w:szCs w:val="32"/>
        </w:rPr>
        <w:t>出决算为5万元，预算金</w:t>
      </w:r>
      <w:r>
        <w:rPr>
          <w:rFonts w:hint="eastAsia" w:ascii="Times New Roman" w:hAnsi="Times New Roman" w:eastAsia="仿宋_GB2312" w:cs="Times New Roman"/>
          <w:kern w:val="0"/>
          <w:sz w:val="32"/>
          <w:szCs w:val="32"/>
        </w:rPr>
        <w:t>额为0，无法计算超出百分比。决算数大于年初预算数的主要原因是：使用上年结余资金支付项目支出。</w:t>
      </w:r>
    </w:p>
    <w:p w14:paraId="1CCC1FB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4、一般公共服务支出（类）发展与改革事务（款）社会事业发展规划（项）。</w:t>
      </w:r>
    </w:p>
    <w:p w14:paraId="208BC5DB">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年初预算为0万元，支出决算</w:t>
      </w:r>
      <w:r>
        <w:rPr>
          <w:rFonts w:hint="eastAsia" w:ascii="Times New Roman" w:hAnsi="Times New Roman" w:eastAsia="仿宋_GB2312" w:cs="Times New Roman"/>
          <w:color w:val="auto"/>
          <w:kern w:val="0"/>
          <w:sz w:val="32"/>
          <w:szCs w:val="32"/>
        </w:rPr>
        <w:t>为141.13万元，预算金额为0，</w:t>
      </w:r>
      <w:r>
        <w:rPr>
          <w:rFonts w:hint="eastAsia" w:ascii="Times New Roman" w:hAnsi="Times New Roman" w:eastAsia="仿宋_GB2312" w:cs="Times New Roman"/>
          <w:kern w:val="0"/>
          <w:sz w:val="32"/>
          <w:szCs w:val="32"/>
        </w:rPr>
        <w:t>无法计算超出百分比。决算数大于年初预算数的主要原因是:使用上年结余资金支付项目支出。</w:t>
      </w:r>
    </w:p>
    <w:p w14:paraId="5D992C33">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、一般公共服务支出（类）发展与改革事务（款）物价管理（项）。</w:t>
      </w:r>
    </w:p>
    <w:p w14:paraId="507019A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年初预算为0万元，支出</w:t>
      </w:r>
      <w:r>
        <w:rPr>
          <w:rFonts w:hint="eastAsia" w:ascii="Times New Roman" w:hAnsi="Times New Roman" w:eastAsia="仿宋_GB2312" w:cs="Times New Roman"/>
          <w:color w:val="auto"/>
          <w:kern w:val="0"/>
          <w:sz w:val="32"/>
          <w:szCs w:val="32"/>
        </w:rPr>
        <w:t>决算为23.20万元，</w:t>
      </w:r>
      <w:r>
        <w:rPr>
          <w:rFonts w:hint="eastAsia" w:ascii="Times New Roman" w:hAnsi="Times New Roman" w:eastAsia="仿宋_GB2312" w:cs="Times New Roman"/>
          <w:kern w:val="0"/>
          <w:sz w:val="32"/>
          <w:szCs w:val="32"/>
        </w:rPr>
        <w:t>预算金额为0，无法计算超出百分比。决算数大于年初预算数的主要原因是:年中追加专项项目经费。</w:t>
      </w:r>
    </w:p>
    <w:p w14:paraId="489FB38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6</w:t>
      </w:r>
      <w:r>
        <w:rPr>
          <w:rFonts w:hint="eastAsia" w:ascii="Times New Roman" w:hAnsi="Times New Roman" w:eastAsia="仿宋_GB2312" w:cs="Times New Roman"/>
          <w:kern w:val="0"/>
          <w:sz w:val="32"/>
          <w:szCs w:val="32"/>
        </w:rPr>
        <w:t>、一般公共服务支出（类）发展与改革事务（款）其他发展与改革事务支出（项）。</w:t>
      </w:r>
    </w:p>
    <w:p w14:paraId="26E91819">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w:t>
      </w:r>
      <w:r>
        <w:rPr>
          <w:rFonts w:hint="eastAsia" w:ascii="Times New Roman" w:hAnsi="Times New Roman" w:eastAsia="仿宋_GB2312" w:cs="Times New Roman"/>
          <w:color w:val="auto"/>
          <w:kern w:val="0"/>
          <w:sz w:val="32"/>
          <w:szCs w:val="32"/>
        </w:rPr>
        <w:t>为28.88万元，支出决算为154.57万元，</w:t>
      </w:r>
      <w:r>
        <w:rPr>
          <w:rFonts w:hint="eastAsia" w:ascii="Times New Roman" w:hAnsi="Times New Roman" w:eastAsia="仿宋_GB2312" w:cs="Times New Roman"/>
          <w:kern w:val="0"/>
          <w:sz w:val="32"/>
          <w:szCs w:val="32"/>
        </w:rPr>
        <w:t>完成年初预算的</w:t>
      </w:r>
      <w:r>
        <w:rPr>
          <w:rFonts w:hint="eastAsia" w:ascii="Times New Roman" w:hAnsi="Times New Roman" w:eastAsia="仿宋_GB2312" w:cs="Times New Roman"/>
          <w:kern w:val="0"/>
          <w:sz w:val="32"/>
          <w:szCs w:val="32"/>
          <w:lang w:val="en-US" w:eastAsia="zh-CN"/>
        </w:rPr>
        <w:t>535.21</w:t>
      </w:r>
      <w:r>
        <w:rPr>
          <w:rFonts w:hint="eastAsia" w:ascii="Times New Roman" w:hAnsi="Times New Roman" w:eastAsia="仿宋_GB2312" w:cs="Times New Roman"/>
          <w:kern w:val="0"/>
          <w:sz w:val="32"/>
          <w:szCs w:val="32"/>
        </w:rPr>
        <w:t>%，决算数大于年初预算数的主要原因是：年中追加专项项目经费。</w:t>
      </w:r>
    </w:p>
    <w:p w14:paraId="601FCED2">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7</w:t>
      </w:r>
      <w:r>
        <w:rPr>
          <w:rFonts w:hint="eastAsia" w:ascii="Times New Roman" w:hAnsi="Times New Roman" w:eastAsia="仿宋_GB2312" w:cs="Times New Roman"/>
          <w:kern w:val="0"/>
          <w:sz w:val="32"/>
          <w:szCs w:val="32"/>
        </w:rPr>
        <w:t>、一般公共服务支出（类）档案事务（款）其一般行政管理事务（项）。</w:t>
      </w:r>
    </w:p>
    <w:p w14:paraId="74D41461">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万元，支出</w:t>
      </w:r>
      <w:r>
        <w:rPr>
          <w:rFonts w:hint="eastAsia" w:ascii="Times New Roman" w:hAnsi="Times New Roman" w:eastAsia="仿宋_GB2312" w:cs="Times New Roman"/>
          <w:color w:val="auto"/>
          <w:kern w:val="0"/>
          <w:sz w:val="32"/>
          <w:szCs w:val="32"/>
        </w:rPr>
        <w:t>决算为2.31万元，预算金额为0，无法计算超出百分比。</w:t>
      </w:r>
      <w:r>
        <w:rPr>
          <w:rFonts w:hint="eastAsia" w:ascii="Times New Roman" w:hAnsi="Times New Roman" w:eastAsia="仿宋_GB2312" w:cs="Times New Roman"/>
          <w:kern w:val="0"/>
          <w:sz w:val="32"/>
          <w:szCs w:val="32"/>
        </w:rPr>
        <w:t>决算数大于年初预算数的主要原因是：</w:t>
      </w:r>
      <w:r>
        <w:rPr>
          <w:rFonts w:hint="eastAsia" w:ascii="Times New Roman" w:hAnsi="Times New Roman" w:eastAsia="仿宋_GB2312" w:cs="Times New Roman"/>
          <w:kern w:val="0"/>
          <w:sz w:val="32"/>
          <w:szCs w:val="32"/>
          <w:lang w:val="en-US" w:eastAsia="zh-CN"/>
        </w:rPr>
        <w:t>使用结转资金</w:t>
      </w:r>
      <w:r>
        <w:rPr>
          <w:rFonts w:hint="eastAsia" w:ascii="Times New Roman" w:hAnsi="Times New Roman" w:eastAsia="仿宋_GB2312" w:cs="Times New Roman"/>
          <w:kern w:val="0"/>
          <w:sz w:val="32"/>
          <w:szCs w:val="32"/>
        </w:rPr>
        <w:t>。</w:t>
      </w:r>
    </w:p>
    <w:p w14:paraId="572A27C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8</w:t>
      </w:r>
      <w:r>
        <w:rPr>
          <w:rFonts w:hint="eastAsia" w:ascii="Times New Roman" w:hAnsi="Times New Roman" w:eastAsia="仿宋_GB2312" w:cs="Times New Roman"/>
          <w:kern w:val="0"/>
          <w:sz w:val="32"/>
          <w:szCs w:val="32"/>
        </w:rPr>
        <w:t>、社会保障和就业支出（类）行政事业单位养老支出（款）机关事业单位基本养老保险缴费支出（项）。</w:t>
      </w:r>
    </w:p>
    <w:p w14:paraId="6685F87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w:t>
      </w:r>
      <w:r>
        <w:rPr>
          <w:rFonts w:hint="eastAsia" w:ascii="Times New Roman" w:hAnsi="Times New Roman" w:eastAsia="仿宋_GB2312" w:cs="Times New Roman"/>
          <w:color w:val="auto"/>
          <w:kern w:val="0"/>
          <w:sz w:val="32"/>
          <w:szCs w:val="32"/>
        </w:rPr>
        <w:t>为62.50万元，支出决算为62.50万元，完</w:t>
      </w:r>
      <w:r>
        <w:rPr>
          <w:rFonts w:hint="eastAsia" w:ascii="Times New Roman" w:hAnsi="Times New Roman" w:eastAsia="仿宋_GB2312" w:cs="Times New Roman"/>
          <w:kern w:val="0"/>
          <w:sz w:val="32"/>
          <w:szCs w:val="32"/>
        </w:rPr>
        <w:t>成年初预算的100%。</w:t>
      </w:r>
    </w:p>
    <w:p w14:paraId="530C4A7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9</w:t>
      </w:r>
      <w:r>
        <w:rPr>
          <w:rFonts w:hint="eastAsia" w:ascii="Times New Roman" w:hAnsi="Times New Roman" w:eastAsia="仿宋_GB2312" w:cs="Times New Roman"/>
          <w:kern w:val="0"/>
          <w:sz w:val="32"/>
          <w:szCs w:val="32"/>
        </w:rPr>
        <w:t>、社会保障和就业支出（类）行政事业单位养老支出（款）机关事业单位职业年金缴费支出（项）。</w:t>
      </w:r>
    </w:p>
    <w:p w14:paraId="6013AEE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w:t>
      </w:r>
      <w:r>
        <w:rPr>
          <w:rFonts w:hint="eastAsia" w:ascii="Times New Roman" w:hAnsi="Times New Roman" w:eastAsia="仿宋_GB2312" w:cs="Times New Roman"/>
          <w:color w:val="auto"/>
          <w:kern w:val="0"/>
          <w:sz w:val="32"/>
          <w:szCs w:val="32"/>
        </w:rPr>
        <w:t>支出决算为23.04万元，预算金额为0，无法计算超出百分比。决算数大于年初预算数的主</w:t>
      </w:r>
      <w:r>
        <w:rPr>
          <w:rFonts w:hint="eastAsia" w:ascii="Times New Roman" w:hAnsi="Times New Roman" w:eastAsia="仿宋_GB2312" w:cs="Times New Roman"/>
          <w:kern w:val="0"/>
          <w:sz w:val="32"/>
          <w:szCs w:val="32"/>
        </w:rPr>
        <w:t>要原因是：年中追加退休人员职业年金个人账户记实资金。</w:t>
      </w:r>
    </w:p>
    <w:p w14:paraId="4265736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10、社会保障和就业支出（类）抚恤（款）死亡抚恤（项）。</w:t>
      </w:r>
    </w:p>
    <w:p w14:paraId="3840407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年初预算为0万元，支出决</w:t>
      </w:r>
      <w:r>
        <w:rPr>
          <w:rFonts w:hint="eastAsia" w:ascii="Times New Roman" w:hAnsi="Times New Roman" w:eastAsia="仿宋_GB2312" w:cs="Times New Roman"/>
          <w:color w:val="auto"/>
          <w:kern w:val="0"/>
          <w:sz w:val="32"/>
          <w:szCs w:val="32"/>
        </w:rPr>
        <w:t>算为75.53万元，预算</w:t>
      </w:r>
      <w:r>
        <w:rPr>
          <w:rFonts w:hint="eastAsia" w:ascii="Times New Roman" w:hAnsi="Times New Roman" w:eastAsia="仿宋_GB2312" w:cs="Times New Roman"/>
          <w:kern w:val="0"/>
          <w:sz w:val="32"/>
          <w:szCs w:val="32"/>
        </w:rPr>
        <w:t>金额为0，无法计算超出百分比。决算数大于年初预算数的主要原因是：年中追加死亡抚恤金支出。</w:t>
      </w:r>
    </w:p>
    <w:p w14:paraId="58AC3CE7">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11、卫生健康支出（类）行政事业单位医疗（款）行政单位医疗（项）。</w:t>
      </w:r>
    </w:p>
    <w:p w14:paraId="4A42A6B8">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w:t>
      </w:r>
      <w:r>
        <w:rPr>
          <w:rFonts w:hint="eastAsia" w:ascii="Times New Roman" w:hAnsi="Times New Roman" w:eastAsia="仿宋_GB2312" w:cs="Times New Roman"/>
          <w:color w:val="auto"/>
          <w:kern w:val="0"/>
          <w:sz w:val="32"/>
          <w:szCs w:val="32"/>
        </w:rPr>
        <w:t>算为36.24万元，支出决算为36.24万元，完</w:t>
      </w:r>
      <w:r>
        <w:rPr>
          <w:rFonts w:hint="eastAsia" w:ascii="Times New Roman" w:hAnsi="Times New Roman" w:eastAsia="仿宋_GB2312" w:cs="Times New Roman"/>
          <w:kern w:val="0"/>
          <w:sz w:val="32"/>
          <w:szCs w:val="32"/>
        </w:rPr>
        <w:t xml:space="preserve">成年初预算的100%。 </w:t>
      </w:r>
    </w:p>
    <w:p w14:paraId="5DFA5BE6">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12、节能环保支出（类）</w:t>
      </w:r>
      <w:r>
        <w:rPr>
          <w:rFonts w:hint="eastAsia" w:ascii="Times New Roman" w:hAnsi="Times New Roman" w:eastAsia="仿宋_GB2312" w:cs="Times New Roman"/>
          <w:kern w:val="0"/>
          <w:sz w:val="32"/>
          <w:szCs w:val="32"/>
          <w:lang w:val="en-US" w:eastAsia="zh-CN"/>
        </w:rPr>
        <w:t>其他</w:t>
      </w:r>
      <w:r>
        <w:rPr>
          <w:rFonts w:hint="eastAsia" w:ascii="Times New Roman" w:hAnsi="Times New Roman" w:eastAsia="仿宋_GB2312" w:cs="Times New Roman"/>
          <w:kern w:val="0"/>
          <w:sz w:val="32"/>
          <w:szCs w:val="32"/>
        </w:rPr>
        <w:t>节能环保支出（款）</w:t>
      </w:r>
      <w:r>
        <w:rPr>
          <w:rFonts w:hint="eastAsia" w:ascii="Times New Roman" w:hAnsi="Times New Roman" w:eastAsia="仿宋_GB2312" w:cs="Times New Roman"/>
          <w:kern w:val="0"/>
          <w:sz w:val="32"/>
          <w:szCs w:val="32"/>
          <w:lang w:val="en-US" w:eastAsia="zh-CN"/>
        </w:rPr>
        <w:t>其他</w:t>
      </w:r>
      <w:r>
        <w:rPr>
          <w:rFonts w:hint="eastAsia" w:ascii="Times New Roman" w:hAnsi="Times New Roman" w:eastAsia="仿宋_GB2312" w:cs="Times New Roman"/>
          <w:kern w:val="0"/>
          <w:sz w:val="32"/>
          <w:szCs w:val="32"/>
        </w:rPr>
        <w:t>节能环保支出（项）。</w:t>
      </w:r>
    </w:p>
    <w:p w14:paraId="65D2104C">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年初预算为0万元，支出决算为150.00万元，预算金额为0，无法计算超出百分比。决算数大于年初预算数的主要原因是：</w:t>
      </w:r>
      <w:r>
        <w:rPr>
          <w:rFonts w:hint="eastAsia" w:ascii="Times New Roman" w:hAnsi="Times New Roman" w:eastAsia="仿宋_GB2312" w:cs="Times New Roman"/>
          <w:kern w:val="0"/>
          <w:sz w:val="32"/>
          <w:szCs w:val="32"/>
          <w:lang w:val="en-US" w:eastAsia="zh-CN"/>
        </w:rPr>
        <w:t>使用结转指标支付尾矿库污染治理项目资金</w:t>
      </w:r>
      <w:r>
        <w:rPr>
          <w:rFonts w:hint="eastAsia" w:ascii="Times New Roman" w:hAnsi="Times New Roman" w:eastAsia="仿宋_GB2312" w:cs="Times New Roman"/>
          <w:kern w:val="0"/>
          <w:sz w:val="32"/>
          <w:szCs w:val="32"/>
        </w:rPr>
        <w:t>。</w:t>
      </w:r>
    </w:p>
    <w:p w14:paraId="5C42A48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3</w:t>
      </w:r>
      <w:r>
        <w:rPr>
          <w:rFonts w:hint="eastAsia" w:ascii="Times New Roman" w:hAnsi="Times New Roman" w:eastAsia="仿宋_GB2312" w:cs="Times New Roman"/>
          <w:kern w:val="0"/>
          <w:sz w:val="32"/>
          <w:szCs w:val="32"/>
        </w:rPr>
        <w:t>、城乡社区支出（类）城乡社区公共设施（款） 其他城乡社区公共设施支出（项）。</w:t>
      </w:r>
    </w:p>
    <w:p w14:paraId="5362D80A">
      <w:pPr>
        <w:pStyle w:val="16"/>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kern w:val="0"/>
          <w:sz w:val="32"/>
          <w:szCs w:val="32"/>
        </w:rPr>
        <w:t>年初预算为0万元，支出决算</w:t>
      </w:r>
      <w:r>
        <w:rPr>
          <w:rFonts w:hint="eastAsia" w:ascii="Times New Roman" w:hAnsi="Times New Roman" w:eastAsia="仿宋_GB2312" w:cs="Times New Roman"/>
          <w:color w:val="auto"/>
          <w:kern w:val="0"/>
          <w:sz w:val="32"/>
          <w:szCs w:val="32"/>
        </w:rPr>
        <w:t>为1,225.00万元，预算金额为0，无法计算超出百分比。决算数大于年初预算数的主要原因是：</w:t>
      </w:r>
      <w:r>
        <w:rPr>
          <w:rFonts w:hint="eastAsia" w:ascii="Times New Roman" w:hAnsi="Times New Roman" w:eastAsia="仿宋_GB2312" w:cs="Times New Roman"/>
          <w:color w:val="auto"/>
          <w:kern w:val="0"/>
          <w:sz w:val="32"/>
          <w:szCs w:val="32"/>
          <w:lang w:val="en-US" w:eastAsia="zh-CN"/>
        </w:rPr>
        <w:t>年中追加</w:t>
      </w:r>
      <w:r>
        <w:rPr>
          <w:rFonts w:hint="eastAsia" w:ascii="Times New Roman" w:hAnsi="Times New Roman" w:eastAsia="仿宋_GB2312" w:cs="Times New Roman"/>
          <w:color w:val="auto"/>
          <w:kern w:val="0"/>
          <w:sz w:val="32"/>
          <w:szCs w:val="32"/>
        </w:rPr>
        <w:t>城市排水防涝能力提升补助资金</w:t>
      </w:r>
      <w:r>
        <w:rPr>
          <w:rFonts w:hint="eastAsia" w:ascii="Times New Roman" w:hAnsi="Times New Roman" w:eastAsia="仿宋_GB2312" w:cs="Times New Roman"/>
          <w:color w:val="auto"/>
          <w:kern w:val="0"/>
          <w:sz w:val="32"/>
          <w:szCs w:val="32"/>
          <w:lang w:eastAsia="zh-CN"/>
        </w:rPr>
        <w:t>。</w:t>
      </w:r>
    </w:p>
    <w:p w14:paraId="1BA68535">
      <w:pPr>
        <w:pStyle w:val="16"/>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、资源勘探工业信息支出（类）支持中小企业发展和管理支出（款）</w:t>
      </w:r>
      <w:r>
        <w:rPr>
          <w:rFonts w:hint="eastAsia" w:ascii="Times New Roman" w:hAnsi="Times New Roman" w:eastAsia="仿宋_GB2312" w:cs="Times New Roman"/>
          <w:color w:val="auto"/>
          <w:kern w:val="0"/>
          <w:sz w:val="32"/>
          <w:szCs w:val="32"/>
        </w:rPr>
        <w:t>中小企业发展专项（项）。</w:t>
      </w:r>
    </w:p>
    <w:p w14:paraId="6D6A8331">
      <w:pPr>
        <w:pStyle w:val="16"/>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年初预算为0万元，支出决算为70.00万元，预算金额为0，无法计算超出百分比。决算数大于年初预算数的主要原因是：</w:t>
      </w:r>
      <w:r>
        <w:rPr>
          <w:rFonts w:hint="eastAsia" w:ascii="Times New Roman" w:hAnsi="Times New Roman" w:eastAsia="仿宋_GB2312" w:cs="Times New Roman"/>
          <w:color w:val="auto"/>
          <w:kern w:val="0"/>
          <w:sz w:val="32"/>
          <w:szCs w:val="32"/>
          <w:lang w:val="en-US" w:eastAsia="zh-CN"/>
        </w:rPr>
        <w:t>使用结转资金支付新入规服务业企业奖励资金</w:t>
      </w:r>
      <w:r>
        <w:rPr>
          <w:rFonts w:hint="eastAsia" w:ascii="Times New Roman" w:hAnsi="Times New Roman" w:eastAsia="仿宋_GB2312" w:cs="Times New Roman"/>
          <w:color w:val="auto"/>
          <w:kern w:val="0"/>
          <w:sz w:val="32"/>
          <w:szCs w:val="32"/>
        </w:rPr>
        <w:t>。</w:t>
      </w:r>
    </w:p>
    <w:p w14:paraId="25C7C2D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、资源勘探工业信息支出（类）其他资源勘探工业信息等支出（款）其他资源勘探工业信息等支出（项）。</w:t>
      </w:r>
    </w:p>
    <w:p w14:paraId="66F5A4B4">
      <w:pPr>
        <w:pStyle w:val="16"/>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kern w:val="0"/>
          <w:sz w:val="32"/>
          <w:szCs w:val="32"/>
        </w:rPr>
        <w:t>年初预算为0万元，支出</w:t>
      </w:r>
      <w:r>
        <w:rPr>
          <w:rFonts w:hint="eastAsia" w:ascii="Times New Roman" w:hAnsi="Times New Roman" w:eastAsia="仿宋_GB2312" w:cs="Times New Roman"/>
          <w:color w:val="auto"/>
          <w:kern w:val="0"/>
          <w:sz w:val="32"/>
          <w:szCs w:val="32"/>
        </w:rPr>
        <w:t>决算为1,057.57万元，预算</w:t>
      </w:r>
      <w:r>
        <w:rPr>
          <w:rFonts w:hint="eastAsia" w:ascii="Times New Roman" w:hAnsi="Times New Roman" w:eastAsia="仿宋_GB2312" w:cs="Times New Roman"/>
          <w:kern w:val="0"/>
          <w:sz w:val="32"/>
          <w:szCs w:val="32"/>
        </w:rPr>
        <w:t>金额为0，无法计算</w:t>
      </w:r>
      <w:r>
        <w:rPr>
          <w:rFonts w:hint="eastAsia" w:ascii="Times New Roman" w:hAnsi="Times New Roman" w:eastAsia="仿宋_GB2312" w:cs="Times New Roman"/>
          <w:color w:val="auto"/>
          <w:kern w:val="0"/>
          <w:sz w:val="32"/>
          <w:szCs w:val="32"/>
        </w:rPr>
        <w:t>超出百分比。决算数大于年初预算数的主要原因是：</w:t>
      </w:r>
      <w:r>
        <w:rPr>
          <w:rFonts w:hint="eastAsia" w:ascii="Times New Roman" w:hAnsi="Times New Roman" w:eastAsia="仿宋_GB2312" w:cs="Times New Roman"/>
          <w:color w:val="auto"/>
          <w:kern w:val="0"/>
          <w:sz w:val="32"/>
          <w:szCs w:val="32"/>
          <w:lang w:val="en-US" w:eastAsia="zh-CN"/>
        </w:rPr>
        <w:t>使用结转资金支付</w:t>
      </w:r>
      <w:r>
        <w:rPr>
          <w:rFonts w:hint="eastAsia" w:ascii="Times New Roman" w:hAnsi="Times New Roman" w:eastAsia="仿宋_GB2312" w:cs="Times New Roman"/>
          <w:color w:val="auto"/>
          <w:kern w:val="0"/>
          <w:sz w:val="32"/>
          <w:szCs w:val="32"/>
        </w:rPr>
        <w:t>135工程奖补资金。</w:t>
      </w:r>
    </w:p>
    <w:p w14:paraId="01C95D65">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6</w:t>
      </w:r>
      <w:r>
        <w:rPr>
          <w:rFonts w:hint="eastAsia" w:ascii="Times New Roman" w:hAnsi="Times New Roman" w:eastAsia="仿宋_GB2312" w:cs="Times New Roman"/>
          <w:kern w:val="0"/>
          <w:sz w:val="32"/>
          <w:szCs w:val="32"/>
        </w:rPr>
        <w:t>、商业服务业支出（类）其他商业服务业支出（款）其他商业服务业支出（项）。</w:t>
      </w:r>
    </w:p>
    <w:p w14:paraId="33561A8B">
      <w:pPr>
        <w:pStyle w:val="16"/>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kern w:val="0"/>
          <w:sz w:val="32"/>
          <w:szCs w:val="32"/>
        </w:rPr>
        <w:t>年初预算为0万</w:t>
      </w:r>
      <w:r>
        <w:rPr>
          <w:rFonts w:hint="eastAsia" w:ascii="Times New Roman" w:hAnsi="Times New Roman" w:eastAsia="仿宋_GB2312" w:cs="Times New Roman"/>
          <w:color w:val="auto"/>
          <w:kern w:val="0"/>
          <w:sz w:val="32"/>
          <w:szCs w:val="32"/>
        </w:rPr>
        <w:t>元，支出决算为360.00万元，预算金额为0，无法计算超出百分比。决算数大于年初预算数的主要原因是：</w:t>
      </w:r>
      <w:r>
        <w:rPr>
          <w:rFonts w:hint="eastAsia" w:ascii="Times New Roman" w:hAnsi="Times New Roman" w:eastAsia="仿宋_GB2312" w:cs="Times New Roman"/>
          <w:color w:val="auto"/>
          <w:kern w:val="0"/>
          <w:sz w:val="32"/>
          <w:szCs w:val="32"/>
          <w:lang w:val="en-US" w:eastAsia="zh-CN"/>
        </w:rPr>
        <w:t>使用结转资金支付</w:t>
      </w:r>
      <w:r>
        <w:rPr>
          <w:rFonts w:hint="eastAsia" w:ascii="Times New Roman" w:hAnsi="Times New Roman" w:eastAsia="仿宋_GB2312" w:cs="Times New Roman"/>
          <w:color w:val="auto"/>
          <w:kern w:val="0"/>
          <w:sz w:val="32"/>
          <w:szCs w:val="32"/>
        </w:rPr>
        <w:t>省现代服务业发展专项资金。</w:t>
      </w:r>
    </w:p>
    <w:p w14:paraId="086EF3F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7</w:t>
      </w:r>
      <w:r>
        <w:rPr>
          <w:rFonts w:hint="eastAsia" w:ascii="Times New Roman" w:hAnsi="Times New Roman" w:eastAsia="仿宋_GB2312" w:cs="Times New Roman"/>
          <w:kern w:val="0"/>
          <w:sz w:val="32"/>
          <w:szCs w:val="32"/>
        </w:rPr>
        <w:t>、住房保障支出（类）住房改革支出（款）住房公积金（项）。</w:t>
      </w:r>
    </w:p>
    <w:p w14:paraId="596CE9E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w:t>
      </w:r>
      <w:r>
        <w:rPr>
          <w:rFonts w:hint="eastAsia" w:ascii="Times New Roman" w:hAnsi="Times New Roman" w:eastAsia="仿宋_GB2312" w:cs="Times New Roman"/>
          <w:color w:val="auto"/>
          <w:kern w:val="0"/>
          <w:sz w:val="32"/>
          <w:szCs w:val="32"/>
        </w:rPr>
        <w:t>为55.16万元，支出决算为55.16万元</w:t>
      </w:r>
      <w:r>
        <w:rPr>
          <w:rFonts w:hint="eastAsia" w:ascii="Times New Roman" w:hAnsi="Times New Roman" w:eastAsia="仿宋_GB2312" w:cs="Times New Roman"/>
          <w:kern w:val="0"/>
          <w:sz w:val="32"/>
          <w:szCs w:val="32"/>
        </w:rPr>
        <w:t xml:space="preserve">，完成年初预算的100%。 </w:t>
      </w:r>
    </w:p>
    <w:p w14:paraId="39F783D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8</w:t>
      </w:r>
      <w:r>
        <w:rPr>
          <w:rFonts w:hint="eastAsia" w:ascii="Times New Roman" w:hAnsi="Times New Roman" w:eastAsia="仿宋_GB2312" w:cs="Times New Roman"/>
          <w:kern w:val="0"/>
          <w:sz w:val="32"/>
          <w:szCs w:val="32"/>
        </w:rPr>
        <w:t>、粮油物资储备支出（类）粮油物资事务（款）粮食风险基金（项）。</w:t>
      </w:r>
    </w:p>
    <w:p w14:paraId="6E108E7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w:t>
      </w:r>
      <w:r>
        <w:rPr>
          <w:rFonts w:hint="eastAsia" w:ascii="Times New Roman" w:hAnsi="Times New Roman" w:eastAsia="仿宋_GB2312" w:cs="Times New Roman"/>
          <w:color w:val="auto"/>
          <w:kern w:val="0"/>
          <w:sz w:val="32"/>
          <w:szCs w:val="32"/>
        </w:rPr>
        <w:t>出决算为914.38万元</w:t>
      </w:r>
      <w:r>
        <w:rPr>
          <w:rFonts w:hint="eastAsia" w:ascii="Times New Roman" w:hAnsi="Times New Roman" w:eastAsia="仿宋_GB2312" w:cs="Times New Roman"/>
          <w:kern w:val="0"/>
          <w:sz w:val="32"/>
          <w:szCs w:val="32"/>
        </w:rPr>
        <w:t>，预算金额为0，无法计算超出百分比。决算数大于年初预算数的主要原因是：年中追加粮食风险基金专项资金。</w:t>
      </w:r>
    </w:p>
    <w:p w14:paraId="52E898C5">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9</w:t>
      </w:r>
      <w:r>
        <w:rPr>
          <w:rFonts w:hint="eastAsia" w:ascii="Times New Roman" w:hAnsi="Times New Roman" w:eastAsia="仿宋_GB2312" w:cs="Times New Roman"/>
          <w:kern w:val="0"/>
          <w:sz w:val="32"/>
          <w:szCs w:val="32"/>
        </w:rPr>
        <w:t>、粮油物资储备支出（类）粮油物资事务（款）其他粮油物资事务支出（项）。</w:t>
      </w:r>
    </w:p>
    <w:p w14:paraId="6B55857A">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年初预算为0万元，支</w:t>
      </w:r>
      <w:r>
        <w:rPr>
          <w:rFonts w:hint="eastAsia" w:ascii="Times New Roman" w:hAnsi="Times New Roman" w:eastAsia="仿宋_GB2312" w:cs="Times New Roman"/>
          <w:color w:val="auto"/>
          <w:kern w:val="0"/>
          <w:sz w:val="32"/>
          <w:szCs w:val="32"/>
        </w:rPr>
        <w:t>出决算为1,395.99万元，预算金额为0，无法计算超出百分比。决算数大于年初预算数的主要原因是：</w:t>
      </w:r>
      <w:r>
        <w:rPr>
          <w:rFonts w:hint="eastAsia" w:ascii="Times New Roman" w:hAnsi="Times New Roman" w:eastAsia="仿宋_GB2312" w:cs="Times New Roman"/>
          <w:kern w:val="0"/>
          <w:sz w:val="32"/>
          <w:szCs w:val="32"/>
        </w:rPr>
        <w:t>年中追加商品粮大省及粮油千亿项目资金</w:t>
      </w:r>
      <w:r>
        <w:rPr>
          <w:rFonts w:hint="eastAsia" w:ascii="Times New Roman" w:hAnsi="Times New Roman" w:eastAsia="仿宋_GB2312" w:cs="Times New Roman"/>
          <w:kern w:val="0"/>
          <w:sz w:val="32"/>
          <w:szCs w:val="32"/>
          <w:lang w:val="en-US" w:eastAsia="zh-CN"/>
        </w:rPr>
        <w:t>等</w:t>
      </w:r>
      <w:r>
        <w:rPr>
          <w:rFonts w:hint="eastAsia" w:ascii="Times New Roman" w:hAnsi="Times New Roman" w:eastAsia="仿宋_GB2312" w:cs="Times New Roman"/>
          <w:kern w:val="0"/>
          <w:sz w:val="32"/>
          <w:szCs w:val="32"/>
        </w:rPr>
        <w:t>。</w:t>
      </w:r>
    </w:p>
    <w:p w14:paraId="6CB67BB6">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20</w:t>
      </w:r>
      <w:r>
        <w:rPr>
          <w:rFonts w:hint="eastAsia" w:ascii="Times New Roman" w:hAnsi="Times New Roman" w:eastAsia="仿宋_GB2312" w:cs="Times New Roman"/>
          <w:kern w:val="0"/>
          <w:sz w:val="32"/>
          <w:szCs w:val="32"/>
        </w:rPr>
        <w:t>、粮油物资储备支出（类）粮油储备（款）储备粮油补贴（项）。</w:t>
      </w:r>
    </w:p>
    <w:p w14:paraId="2C83F8E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w:t>
      </w:r>
      <w:r>
        <w:rPr>
          <w:rFonts w:hint="eastAsia" w:ascii="Times New Roman" w:hAnsi="Times New Roman" w:eastAsia="仿宋_GB2312" w:cs="Times New Roman"/>
          <w:color w:val="auto"/>
          <w:kern w:val="0"/>
          <w:sz w:val="32"/>
          <w:szCs w:val="32"/>
        </w:rPr>
        <w:t>算为526.73万元，支出决算为456.99万元，完成年初预算的</w:t>
      </w:r>
      <w:r>
        <w:rPr>
          <w:rFonts w:hint="eastAsia" w:ascii="Times New Roman" w:hAnsi="Times New Roman" w:eastAsia="仿宋_GB2312" w:cs="Times New Roman"/>
          <w:color w:val="auto"/>
          <w:kern w:val="0"/>
          <w:sz w:val="32"/>
          <w:szCs w:val="32"/>
          <w:lang w:val="en-US" w:eastAsia="zh-CN"/>
        </w:rPr>
        <w:t>86.76</w:t>
      </w:r>
      <w:r>
        <w:rPr>
          <w:rFonts w:hint="eastAsia"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rPr>
        <w:t>决算数</w:t>
      </w:r>
      <w:r>
        <w:rPr>
          <w:rFonts w:hint="eastAsia" w:ascii="Times New Roman" w:hAnsi="Times New Roman" w:eastAsia="仿宋_GB2312" w:cs="Times New Roman"/>
          <w:color w:val="auto"/>
          <w:kern w:val="0"/>
          <w:sz w:val="32"/>
          <w:szCs w:val="32"/>
          <w:lang w:val="en-US" w:eastAsia="zh-CN"/>
        </w:rPr>
        <w:t>小</w:t>
      </w:r>
      <w:r>
        <w:rPr>
          <w:rFonts w:hint="eastAsia" w:ascii="Times New Roman" w:hAnsi="Times New Roman" w:eastAsia="仿宋_GB2312" w:cs="Times New Roman"/>
          <w:color w:val="auto"/>
          <w:kern w:val="0"/>
          <w:sz w:val="32"/>
          <w:szCs w:val="32"/>
        </w:rPr>
        <w:t>于年初预算数的主要原因是：</w:t>
      </w:r>
      <w:r>
        <w:rPr>
          <w:rFonts w:hint="eastAsia" w:ascii="Times New Roman" w:hAnsi="Times New Roman" w:eastAsia="仿宋_GB2312" w:cs="Times New Roman"/>
          <w:color w:val="auto"/>
          <w:kern w:val="0"/>
          <w:sz w:val="32"/>
          <w:szCs w:val="32"/>
          <w:lang w:val="en-US" w:eastAsia="zh-CN"/>
        </w:rPr>
        <w:t>部分资金结转至下年支付</w:t>
      </w:r>
      <w:r>
        <w:rPr>
          <w:rFonts w:hint="eastAsia" w:ascii="Times New Roman" w:hAnsi="Times New Roman" w:eastAsia="仿宋_GB2312" w:cs="Times New Roman"/>
          <w:color w:val="auto"/>
          <w:kern w:val="0"/>
          <w:sz w:val="32"/>
          <w:szCs w:val="32"/>
        </w:rPr>
        <w:t>。</w:t>
      </w:r>
    </w:p>
    <w:p w14:paraId="3F474132">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21</w:t>
      </w:r>
      <w:r>
        <w:rPr>
          <w:rFonts w:hint="eastAsia" w:ascii="Times New Roman" w:hAnsi="Times New Roman" w:eastAsia="仿宋_GB2312" w:cs="Times New Roman"/>
          <w:kern w:val="0"/>
          <w:sz w:val="32"/>
          <w:szCs w:val="32"/>
        </w:rPr>
        <w:t>、粮油物资储备支出（类）粮油储备（款）储备粮油差价补贴（项）。</w:t>
      </w:r>
    </w:p>
    <w:p w14:paraId="6E36F945">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w:t>
      </w:r>
      <w:r>
        <w:rPr>
          <w:rFonts w:hint="eastAsia" w:ascii="Times New Roman" w:hAnsi="Times New Roman" w:eastAsia="仿宋_GB2312" w:cs="Times New Roman"/>
          <w:color w:val="auto"/>
          <w:kern w:val="0"/>
          <w:sz w:val="32"/>
          <w:szCs w:val="32"/>
        </w:rPr>
        <w:t>算为183.26万元，支出决算为183.26</w:t>
      </w:r>
      <w:r>
        <w:rPr>
          <w:rFonts w:hint="eastAsia" w:ascii="Times New Roman" w:hAnsi="Times New Roman" w:eastAsia="仿宋_GB2312" w:cs="Times New Roman"/>
          <w:kern w:val="0"/>
          <w:sz w:val="32"/>
          <w:szCs w:val="32"/>
        </w:rPr>
        <w:t>万元，完成年初预算的100%。</w:t>
      </w:r>
    </w:p>
    <w:p w14:paraId="4F6ADB6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rPr>
        <w:t>、粮油物资储备支出（类）粮油储备（款）其他粮油储备支出（项）。</w:t>
      </w:r>
    </w:p>
    <w:p w14:paraId="226135D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年初预算</w:t>
      </w:r>
      <w:r>
        <w:rPr>
          <w:rFonts w:hint="eastAsia" w:ascii="Times New Roman" w:hAnsi="Times New Roman" w:eastAsia="仿宋_GB2312" w:cs="Times New Roman"/>
          <w:color w:val="auto"/>
          <w:kern w:val="0"/>
          <w:sz w:val="32"/>
          <w:szCs w:val="32"/>
        </w:rPr>
        <w:t>为88.56万元，支出决算为87.27万元，</w:t>
      </w:r>
      <w:r>
        <w:rPr>
          <w:rFonts w:hint="eastAsia" w:ascii="Times New Roman" w:hAnsi="Times New Roman" w:eastAsia="仿宋_GB2312" w:cs="Times New Roman"/>
          <w:kern w:val="0"/>
          <w:sz w:val="32"/>
          <w:szCs w:val="32"/>
        </w:rPr>
        <w:t>完成年初预算的</w:t>
      </w:r>
      <w:r>
        <w:rPr>
          <w:rFonts w:hint="eastAsia" w:ascii="Times New Roman" w:hAnsi="Times New Roman" w:eastAsia="仿宋_GB2312" w:cs="Times New Roman"/>
          <w:kern w:val="0"/>
          <w:sz w:val="32"/>
          <w:szCs w:val="32"/>
          <w:lang w:val="en-US" w:eastAsia="zh-CN"/>
        </w:rPr>
        <w:t>98.54</w:t>
      </w:r>
      <w:r>
        <w:rPr>
          <w:rFonts w:hint="eastAsia" w:ascii="Times New Roman" w:hAnsi="Times New Roman" w:eastAsia="仿宋_GB2312" w:cs="Times New Roman"/>
          <w:kern w:val="0"/>
          <w:sz w:val="32"/>
          <w:szCs w:val="32"/>
        </w:rPr>
        <w:t>%,决算数</w:t>
      </w:r>
      <w:r>
        <w:rPr>
          <w:rFonts w:hint="eastAsia" w:ascii="Times New Roman" w:hAnsi="Times New Roman" w:eastAsia="仿宋_GB2312" w:cs="Times New Roman"/>
          <w:kern w:val="0"/>
          <w:sz w:val="32"/>
          <w:szCs w:val="32"/>
          <w:lang w:val="en-US" w:eastAsia="zh-CN"/>
        </w:rPr>
        <w:t>小</w:t>
      </w:r>
      <w:r>
        <w:rPr>
          <w:rFonts w:hint="eastAsia" w:ascii="Times New Roman" w:hAnsi="Times New Roman" w:eastAsia="仿宋_GB2312" w:cs="Times New Roman"/>
          <w:kern w:val="0"/>
          <w:sz w:val="32"/>
          <w:szCs w:val="32"/>
        </w:rPr>
        <w:t>于年初预算数的主要原因是：</w:t>
      </w:r>
      <w:r>
        <w:rPr>
          <w:rFonts w:hint="eastAsia" w:ascii="Times New Roman" w:hAnsi="Times New Roman" w:eastAsia="仿宋_GB2312" w:cs="Times New Roman"/>
          <w:kern w:val="0"/>
          <w:sz w:val="32"/>
          <w:szCs w:val="32"/>
          <w:lang w:val="en-US" w:eastAsia="zh-CN"/>
        </w:rPr>
        <w:t>资金节余</w:t>
      </w:r>
      <w:r>
        <w:rPr>
          <w:rFonts w:hint="eastAsia" w:ascii="Times New Roman" w:hAnsi="Times New Roman" w:eastAsia="仿宋_GB2312" w:cs="Times New Roman"/>
          <w:kern w:val="0"/>
          <w:sz w:val="32"/>
          <w:szCs w:val="32"/>
        </w:rPr>
        <w:t>。</w:t>
      </w:r>
    </w:p>
    <w:p w14:paraId="6F187CB5">
      <w:pPr>
        <w:pStyle w:val="16"/>
        <w:spacing w:line="600" w:lineRule="exact"/>
        <w:ind w:firstLine="643" w:firstLineChars="200"/>
        <w:outlineLvl w:val="0"/>
        <w:rPr>
          <w:rFonts w:hAnsi="黑体"/>
          <w:b/>
          <w:sz w:val="32"/>
          <w:szCs w:val="32"/>
        </w:rPr>
      </w:pPr>
      <w:r>
        <w:rPr>
          <w:rFonts w:hint="eastAsia" w:hAnsi="黑体"/>
          <w:b/>
          <w:sz w:val="32"/>
          <w:szCs w:val="32"/>
        </w:rPr>
        <w:t>六、一般公共预算财政拨款基本支出决算情况说明</w:t>
      </w:r>
    </w:p>
    <w:p w14:paraId="6790A02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年度财政拨款基本支出960.79万元，其中：</w:t>
      </w:r>
    </w:p>
    <w:p w14:paraId="7B0BDAB6">
      <w:pPr>
        <w:pStyle w:val="16"/>
        <w:spacing w:line="600" w:lineRule="exact"/>
        <w:ind w:firstLine="640" w:firstLineChars="20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rPr>
        <w:t>人员经费784.47万元，占基本支出的81.</w:t>
      </w:r>
      <w:r>
        <w:rPr>
          <w:rFonts w:hint="eastAsia" w:ascii="Times New Roman" w:hAnsi="Times New Roman" w:eastAsia="仿宋_GB2312" w:cs="Times New Roman"/>
          <w:kern w:val="0"/>
          <w:sz w:val="32"/>
          <w:szCs w:val="32"/>
          <w:lang w:val="en-US" w:eastAsia="zh-CN"/>
        </w:rPr>
        <w:t>65</w:t>
      </w:r>
      <w:r>
        <w:rPr>
          <w:rFonts w:hint="eastAsia" w:ascii="Times New Roman" w:hAnsi="Times New Roman" w:eastAsia="仿宋_GB2312" w:cs="Times New Roman"/>
          <w:kern w:val="0"/>
          <w:sz w:val="32"/>
          <w:szCs w:val="32"/>
        </w:rPr>
        <w:t>%,主要包括基本工资、津贴补贴、奖金、伙食补助费、绩效工资、机关事业单位基本养老保险缴费、职工基本医疗保险缴费、公务员医疗补助缴费、其他社会保障缴费、住房公积金、其他工资福利支出</w:t>
      </w:r>
      <w:r>
        <w:rPr>
          <w:rFonts w:hint="eastAsia" w:ascii="Times New Roman" w:hAnsi="Times New Roman" w:eastAsia="仿宋_GB2312" w:cs="Times New Roman"/>
          <w:kern w:val="0"/>
          <w:sz w:val="32"/>
          <w:szCs w:val="32"/>
          <w:lang w:eastAsia="zh-CN"/>
        </w:rPr>
        <w:t>、生活补助、其他对个人和家庭的补助</w:t>
      </w:r>
      <w:r>
        <w:rPr>
          <w:rFonts w:hint="eastAsia" w:ascii="Times New Roman" w:hAnsi="Times New Roman" w:eastAsia="仿宋_GB2312" w:cs="Times New Roman"/>
          <w:kern w:val="0"/>
          <w:sz w:val="32"/>
          <w:szCs w:val="32"/>
          <w:lang w:val="en-US" w:eastAsia="zh-CN"/>
        </w:rPr>
        <w:t>等</w:t>
      </w:r>
      <w:r>
        <w:rPr>
          <w:rFonts w:hint="eastAsia" w:ascii="Times New Roman" w:hAnsi="Times New Roman" w:eastAsia="仿宋_GB2312" w:cs="Times New Roman"/>
          <w:kern w:val="0"/>
          <w:sz w:val="32"/>
          <w:szCs w:val="32"/>
          <w:lang w:eastAsia="zh-CN"/>
        </w:rPr>
        <w:t>。</w:t>
      </w:r>
    </w:p>
    <w:p w14:paraId="6DE7AE6D">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公用经费176.32万元，占基本支出的18.</w:t>
      </w:r>
      <w:r>
        <w:rPr>
          <w:rFonts w:hint="eastAsia" w:ascii="Times New Roman" w:hAnsi="Times New Roman" w:eastAsia="仿宋_GB2312" w:cs="Times New Roman"/>
          <w:kern w:val="0"/>
          <w:sz w:val="32"/>
          <w:szCs w:val="32"/>
          <w:lang w:val="en-US" w:eastAsia="zh-CN"/>
        </w:rPr>
        <w:t>35</w:t>
      </w:r>
      <w:r>
        <w:rPr>
          <w:rFonts w:hint="eastAsia" w:ascii="Times New Roman" w:hAnsi="Times New Roman" w:eastAsia="仿宋_GB2312" w:cs="Times New Roman"/>
          <w:kern w:val="0"/>
          <w:sz w:val="32"/>
          <w:szCs w:val="32"/>
        </w:rPr>
        <w:t>%，主要包括办公费、印刷费、咨询费、水费、电费、邮电费、差旅费、维修（护）费、培训费、劳务费、工会经费、福利费、公务用车运行维护费、其他交通费用、其他商品和服务支出</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办公设备购置</w:t>
      </w:r>
      <w:r>
        <w:rPr>
          <w:rFonts w:hint="eastAsia" w:ascii="Times New Roman" w:hAnsi="Times New Roman" w:eastAsia="仿宋_GB2312" w:cs="Times New Roman"/>
          <w:kern w:val="0"/>
          <w:sz w:val="32"/>
          <w:szCs w:val="32"/>
          <w:lang w:val="en-US" w:eastAsia="zh-CN"/>
        </w:rPr>
        <w:t>等</w:t>
      </w:r>
      <w:r>
        <w:rPr>
          <w:rFonts w:hint="eastAsia" w:ascii="Times New Roman" w:hAnsi="Times New Roman" w:eastAsia="仿宋_GB2312" w:cs="Times New Roman"/>
          <w:kern w:val="0"/>
          <w:sz w:val="32"/>
          <w:szCs w:val="32"/>
        </w:rPr>
        <w:t>。</w:t>
      </w:r>
    </w:p>
    <w:p w14:paraId="4407AB00">
      <w:pPr>
        <w:pStyle w:val="16"/>
        <w:spacing w:line="600" w:lineRule="exact"/>
        <w:ind w:firstLine="643" w:firstLineChars="200"/>
        <w:outlineLvl w:val="0"/>
        <w:rPr>
          <w:rFonts w:hAnsi="黑体"/>
          <w:b/>
          <w:sz w:val="32"/>
          <w:szCs w:val="32"/>
        </w:rPr>
      </w:pPr>
      <w:r>
        <w:rPr>
          <w:rFonts w:hint="eastAsia" w:hAnsi="黑体"/>
          <w:b/>
          <w:sz w:val="32"/>
          <w:szCs w:val="32"/>
        </w:rPr>
        <w:t>七、财政拨款三公经费支出决算情况说明</w:t>
      </w:r>
    </w:p>
    <w:p w14:paraId="53950FCE">
      <w:pPr>
        <w:pStyle w:val="16"/>
        <w:spacing w:line="600" w:lineRule="exact"/>
        <w:ind w:firstLine="643" w:firstLineChars="200"/>
        <w:outlineLvl w:val="1"/>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6BDCA339">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“三公”经费财政拨款支出预算为</w:t>
      </w:r>
      <w:r>
        <w:rPr>
          <w:rFonts w:hint="eastAsia" w:ascii="Times New Roman" w:hAnsi="Times New Roman" w:eastAsia="仿宋_GB2312" w:cs="Times New Roman"/>
          <w:kern w:val="0"/>
          <w:sz w:val="32"/>
          <w:szCs w:val="32"/>
          <w:lang w:val="en-US" w:eastAsia="zh-CN"/>
        </w:rPr>
        <w:t>12</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6</w:t>
      </w:r>
      <w:r>
        <w:rPr>
          <w:rFonts w:hint="eastAsia" w:ascii="Times New Roman" w:hAnsi="Times New Roman" w:eastAsia="仿宋_GB2312" w:cs="Times New Roman"/>
          <w:kern w:val="0"/>
          <w:sz w:val="32"/>
          <w:szCs w:val="32"/>
        </w:rPr>
        <w:t>0万元，支出决算为</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46</w:t>
      </w:r>
      <w:r>
        <w:rPr>
          <w:rFonts w:hint="eastAsia" w:ascii="Times New Roman" w:hAnsi="Times New Roman" w:eastAsia="仿宋_GB2312" w:cs="Times New Roman"/>
          <w:kern w:val="0"/>
          <w:sz w:val="32"/>
          <w:szCs w:val="32"/>
        </w:rPr>
        <w:t>万元，完成预算的4</w:t>
      </w:r>
      <w:r>
        <w:rPr>
          <w:rFonts w:hint="eastAsia" w:ascii="Times New Roman" w:hAnsi="Times New Roman" w:eastAsia="仿宋_GB2312" w:cs="Times New Roman"/>
          <w:kern w:val="0"/>
          <w:sz w:val="32"/>
          <w:szCs w:val="32"/>
          <w:lang w:val="en-US" w:eastAsia="zh-CN"/>
        </w:rPr>
        <w:t>3</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33</w:t>
      </w:r>
      <w:r>
        <w:rPr>
          <w:rFonts w:hint="eastAsia" w:ascii="Times New Roman" w:hAnsi="Times New Roman" w:eastAsia="仿宋_GB2312" w:cs="Times New Roman"/>
          <w:kern w:val="0"/>
          <w:sz w:val="32"/>
          <w:szCs w:val="32"/>
        </w:rPr>
        <w:t>%，决算数小于预算数的主要原因是厉行节约，严格控制“三公”经费支出，与上年相比</w:t>
      </w:r>
      <w:r>
        <w:rPr>
          <w:rFonts w:hint="eastAsia" w:ascii="Times New Roman" w:hAnsi="Times New Roman" w:eastAsia="仿宋_GB2312" w:cs="Times New Roman"/>
          <w:kern w:val="0"/>
          <w:sz w:val="32"/>
          <w:szCs w:val="32"/>
          <w:lang w:val="en-US" w:eastAsia="zh-CN"/>
        </w:rPr>
        <w:t>增加0.84</w:t>
      </w:r>
      <w:r>
        <w:rPr>
          <w:rFonts w:hint="eastAsia"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val="en-US" w:eastAsia="zh-CN"/>
        </w:rPr>
        <w:t>增长18</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18</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增长</w:t>
      </w:r>
      <w:r>
        <w:rPr>
          <w:rFonts w:hint="eastAsia" w:ascii="Times New Roman" w:hAnsi="Times New Roman" w:eastAsia="仿宋_GB2312" w:cs="Times New Roman"/>
          <w:kern w:val="0"/>
          <w:sz w:val="32"/>
          <w:szCs w:val="32"/>
        </w:rPr>
        <w:t>的主要原因是</w:t>
      </w:r>
      <w:r>
        <w:rPr>
          <w:rFonts w:hint="eastAsia" w:ascii="Times New Roman" w:hAnsi="Times New Roman" w:eastAsia="仿宋_GB2312" w:cs="Times New Roman"/>
          <w:kern w:val="0"/>
          <w:sz w:val="32"/>
          <w:szCs w:val="32"/>
          <w:lang w:val="en-US" w:eastAsia="zh-CN"/>
        </w:rPr>
        <w:t>车辆维修维护费用增加</w:t>
      </w:r>
      <w:r>
        <w:rPr>
          <w:rFonts w:hint="eastAsia" w:ascii="Times New Roman" w:hAnsi="Times New Roman" w:eastAsia="仿宋_GB2312" w:cs="Times New Roman"/>
          <w:kern w:val="0"/>
          <w:sz w:val="32"/>
          <w:szCs w:val="32"/>
        </w:rPr>
        <w:t>。其中：</w:t>
      </w:r>
    </w:p>
    <w:p w14:paraId="1C60BA9B">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因公出国（境）费支出预算为0万元，支出决算为0万元，决算数与预算数增减无变化，与上年相比增减无变化。</w:t>
      </w:r>
    </w:p>
    <w:p w14:paraId="7437C0F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公务接待费支出预算为</w:t>
      </w:r>
      <w:r>
        <w:rPr>
          <w:rFonts w:hint="eastAsia" w:ascii="Times New Roman" w:hAnsi="Times New Roman" w:eastAsia="仿宋_GB2312" w:cs="Times New Roman"/>
          <w:kern w:val="0"/>
          <w:sz w:val="32"/>
          <w:szCs w:val="32"/>
          <w:lang w:val="en-US" w:eastAsia="zh-CN"/>
        </w:rPr>
        <w:t>3</w:t>
      </w:r>
      <w:r>
        <w:rPr>
          <w:rFonts w:hint="eastAsia" w:ascii="Times New Roman" w:hAnsi="Times New Roman" w:eastAsia="仿宋_GB2312" w:cs="Times New Roman"/>
          <w:kern w:val="0"/>
          <w:sz w:val="32"/>
          <w:szCs w:val="32"/>
        </w:rPr>
        <w:t>万元，支出决算为</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万元，完成预算的0%，决算数小于预算数的主要原因是单位按照中央八项规定，坚持厉行节约，反对铺张浪费，从严控制公务支出，规范公务活动；与上年相比减少</w:t>
      </w:r>
      <w:r>
        <w:rPr>
          <w:rFonts w:hint="eastAsia" w:ascii="Times New Roman" w:hAnsi="Times New Roman" w:eastAsia="仿宋_GB2312" w:cs="Times New Roman"/>
          <w:kern w:val="0"/>
          <w:sz w:val="32"/>
          <w:szCs w:val="32"/>
          <w:lang w:val="en-US" w:eastAsia="zh-CN"/>
        </w:rPr>
        <w:t>0.14</w:t>
      </w:r>
      <w:r>
        <w:rPr>
          <w:rFonts w:hint="eastAsia" w:ascii="Times New Roman" w:hAnsi="Times New Roman" w:eastAsia="仿宋_GB2312" w:cs="Times New Roman"/>
          <w:kern w:val="0"/>
          <w:sz w:val="32"/>
          <w:szCs w:val="32"/>
        </w:rPr>
        <w:t>万元，减少</w:t>
      </w:r>
      <w:r>
        <w:rPr>
          <w:rFonts w:hint="eastAsia" w:ascii="Times New Roman" w:hAnsi="Times New Roman" w:eastAsia="仿宋_GB2312" w:cs="Times New Roman"/>
          <w:kern w:val="0"/>
          <w:sz w:val="32"/>
          <w:szCs w:val="32"/>
          <w:lang w:val="en-US" w:eastAsia="zh-CN"/>
        </w:rPr>
        <w:t>100</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减少的主要原因是从严控制公务支出，规范公务活动</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严控公务接待标准</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本年无公务接待支出</w:t>
      </w:r>
      <w:r>
        <w:rPr>
          <w:rFonts w:hint="eastAsia" w:ascii="Times New Roman" w:hAnsi="Times New Roman" w:eastAsia="仿宋_GB2312" w:cs="Times New Roman"/>
          <w:kern w:val="0"/>
          <w:sz w:val="32"/>
          <w:szCs w:val="32"/>
        </w:rPr>
        <w:t>。</w:t>
      </w:r>
    </w:p>
    <w:p w14:paraId="64C05BC4">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公务用车购置费支出预算为0万元，支出决算为0万元，决算数与预算数增减无变化，与上年相比增减无变化。</w:t>
      </w:r>
    </w:p>
    <w:p w14:paraId="62ABE98B">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公务用车运行维护费支出预算为</w:t>
      </w:r>
      <w:r>
        <w:rPr>
          <w:rFonts w:hint="eastAsia" w:ascii="Times New Roman" w:hAnsi="Times New Roman" w:eastAsia="仿宋_GB2312" w:cs="Times New Roman"/>
          <w:kern w:val="0"/>
          <w:sz w:val="32"/>
          <w:szCs w:val="32"/>
          <w:lang w:val="en-US" w:eastAsia="zh-CN"/>
        </w:rPr>
        <w:t>9</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6</w:t>
      </w:r>
      <w:r>
        <w:rPr>
          <w:rFonts w:hint="eastAsia" w:ascii="Times New Roman" w:hAnsi="Times New Roman" w:eastAsia="仿宋_GB2312" w:cs="Times New Roman"/>
          <w:kern w:val="0"/>
          <w:sz w:val="32"/>
          <w:szCs w:val="32"/>
        </w:rPr>
        <w:t>万元，支出决算为</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46</w:t>
      </w:r>
      <w:r>
        <w:rPr>
          <w:rFonts w:hint="eastAsia" w:ascii="Times New Roman" w:hAnsi="Times New Roman" w:eastAsia="仿宋_GB2312" w:cs="Times New Roman"/>
          <w:kern w:val="0"/>
          <w:sz w:val="32"/>
          <w:szCs w:val="32"/>
        </w:rPr>
        <w:t>万元，完成预算的</w:t>
      </w:r>
      <w:r>
        <w:rPr>
          <w:rFonts w:hint="eastAsia" w:ascii="Times New Roman" w:hAnsi="Times New Roman" w:eastAsia="仿宋_GB2312" w:cs="Times New Roman"/>
          <w:kern w:val="0"/>
          <w:sz w:val="32"/>
          <w:szCs w:val="32"/>
          <w:lang w:val="en-US" w:eastAsia="zh-CN"/>
        </w:rPr>
        <w:t>56</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88</w:t>
      </w:r>
      <w:r>
        <w:rPr>
          <w:rFonts w:hint="eastAsia" w:ascii="Times New Roman" w:hAnsi="Times New Roman" w:eastAsia="仿宋_GB2312" w:cs="Times New Roman"/>
          <w:kern w:val="0"/>
          <w:sz w:val="32"/>
          <w:szCs w:val="32"/>
        </w:rPr>
        <w:t>%，决算数小于预算数的主要原因进一步规范公务用车活动，对公务用车科学化管理。与上年相比增加0.</w:t>
      </w:r>
      <w:r>
        <w:rPr>
          <w:rFonts w:hint="eastAsia" w:ascii="Times New Roman" w:hAnsi="Times New Roman" w:eastAsia="仿宋_GB2312" w:cs="Times New Roman"/>
          <w:kern w:val="0"/>
          <w:sz w:val="32"/>
          <w:szCs w:val="32"/>
          <w:lang w:val="en-US" w:eastAsia="zh-CN"/>
        </w:rPr>
        <w:t>98</w:t>
      </w:r>
      <w:r>
        <w:rPr>
          <w:rFonts w:hint="eastAsia" w:ascii="Times New Roman" w:hAnsi="Times New Roman" w:eastAsia="仿宋_GB2312" w:cs="Times New Roman"/>
          <w:kern w:val="0"/>
          <w:sz w:val="32"/>
          <w:szCs w:val="32"/>
        </w:rPr>
        <w:t>万元，增长2</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88</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增长的主要原因车辆使用年限较久，维修维护费用较上年有所增长。</w:t>
      </w:r>
    </w:p>
    <w:p w14:paraId="16FF8F6F">
      <w:pPr>
        <w:pStyle w:val="16"/>
        <w:spacing w:line="600" w:lineRule="exact"/>
        <w:ind w:firstLine="643"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49764151">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年度“三公”经费财政拨款支出决算中，公务接待费支出决算</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万元，占</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因公出国（境）费支出决算0万元，占0%</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公务用车购置费及运行维护费支出决算</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46</w:t>
      </w:r>
      <w:r>
        <w:rPr>
          <w:rFonts w:hint="eastAsia" w:ascii="Times New Roman" w:hAnsi="Times New Roman" w:eastAsia="仿宋_GB2312" w:cs="Times New Roman"/>
          <w:kern w:val="0"/>
          <w:sz w:val="32"/>
          <w:szCs w:val="32"/>
        </w:rPr>
        <w:t>万元，占</w:t>
      </w:r>
      <w:r>
        <w:rPr>
          <w:rFonts w:hint="eastAsia" w:ascii="Times New Roman" w:hAnsi="Times New Roman" w:eastAsia="仿宋_GB2312" w:cs="Times New Roman"/>
          <w:kern w:val="0"/>
          <w:sz w:val="32"/>
          <w:szCs w:val="32"/>
          <w:lang w:val="en-US" w:eastAsia="zh-CN"/>
        </w:rPr>
        <w:t>100</w:t>
      </w:r>
      <w:r>
        <w:rPr>
          <w:rFonts w:hint="eastAsia" w:ascii="Times New Roman" w:hAnsi="Times New Roman" w:eastAsia="仿宋_GB2312" w:cs="Times New Roman"/>
          <w:kern w:val="0"/>
          <w:sz w:val="32"/>
          <w:szCs w:val="32"/>
        </w:rPr>
        <w:t>%。其中：</w:t>
      </w:r>
    </w:p>
    <w:p w14:paraId="4CA11358">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1、因公出国（境）费支出决算为0万元，全年安排因公出国（境）团组0个，累计0人次。我单位202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年度无因公出国（境）费支出。</w:t>
      </w:r>
    </w:p>
    <w:p w14:paraId="7F3C7BCA">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2、公务接待费支出决算为</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万元，全年共接待来访团组</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个、来宾</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人次。我单位202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年度无公务接待费支出。</w:t>
      </w:r>
    </w:p>
    <w:p w14:paraId="4C8551F4">
      <w:pPr>
        <w:pStyle w:val="16"/>
        <w:spacing w:line="600" w:lineRule="exact"/>
        <w:ind w:firstLine="640" w:firstLineChars="200"/>
        <w:rPr>
          <w:rFonts w:hint="eastAsia" w:ascii="Times New Roman" w:hAnsi="Times New Roman" w:eastAsia="仿宋_GB2312" w:cs="Times New Roman"/>
          <w:kern w:val="0"/>
          <w:sz w:val="32"/>
          <w:szCs w:val="32"/>
        </w:rPr>
      </w:pPr>
    </w:p>
    <w:p w14:paraId="1362163E">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3、公务用车购置费及运行维护费支出决算为</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46</w:t>
      </w:r>
      <w:r>
        <w:rPr>
          <w:rFonts w:hint="eastAsia" w:ascii="Times New Roman" w:hAnsi="Times New Roman" w:eastAsia="仿宋_GB2312" w:cs="Times New Roman"/>
          <w:kern w:val="0"/>
          <w:sz w:val="32"/>
          <w:szCs w:val="32"/>
        </w:rPr>
        <w:t>万元，其中：公务用车购置费0万元，湘潭县发展和改革局更新公务用车0辆。公务用车运行维护费</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46</w:t>
      </w:r>
      <w:r>
        <w:rPr>
          <w:rFonts w:hint="eastAsia" w:ascii="Times New Roman" w:hAnsi="Times New Roman" w:eastAsia="仿宋_GB2312" w:cs="Times New Roman"/>
          <w:kern w:val="0"/>
          <w:sz w:val="32"/>
          <w:szCs w:val="32"/>
        </w:rPr>
        <w:t>万元，主要是公务用车加油、维修费、过路过桥费等支出。截止202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年12月31日，我单位开支财政拨款的公务用车保有量为2辆。</w:t>
      </w:r>
    </w:p>
    <w:p w14:paraId="6886A9D9">
      <w:pPr>
        <w:pStyle w:val="16"/>
        <w:spacing w:line="600" w:lineRule="exact"/>
        <w:ind w:firstLine="643" w:firstLineChars="200"/>
        <w:outlineLvl w:val="0"/>
        <w:rPr>
          <w:rFonts w:hAnsi="黑体"/>
          <w:b/>
          <w:sz w:val="32"/>
          <w:szCs w:val="32"/>
        </w:rPr>
      </w:pPr>
      <w:r>
        <w:rPr>
          <w:rFonts w:hint="eastAsia" w:hAnsi="黑体"/>
          <w:b/>
          <w:sz w:val="32"/>
          <w:szCs w:val="32"/>
        </w:rPr>
        <w:t>八、政府性基金预算收入支出决算情况</w:t>
      </w:r>
    </w:p>
    <w:p w14:paraId="2B554806">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湘潭县发展和改革局202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年度没有政府性基金收入，也没有使用政府性基金安排的支出，并已公开空表。</w:t>
      </w:r>
    </w:p>
    <w:p w14:paraId="4F10E229">
      <w:pPr>
        <w:pStyle w:val="16"/>
        <w:spacing w:line="500" w:lineRule="exact"/>
        <w:ind w:firstLine="643" w:firstLineChars="200"/>
        <w:rPr>
          <w:rFonts w:ascii="仿宋" w:hAnsi="仿宋" w:eastAsia="仿宋" w:cs="仿宋"/>
          <w:sz w:val="28"/>
          <w:szCs w:val="28"/>
        </w:rPr>
      </w:pPr>
      <w:r>
        <w:rPr>
          <w:rFonts w:hint="eastAsia" w:hAnsi="黑体"/>
          <w:b/>
          <w:sz w:val="32"/>
          <w:szCs w:val="32"/>
        </w:rPr>
        <w:t>九、国有资本经营预算财政拨款支出决算情况</w:t>
      </w:r>
    </w:p>
    <w:p w14:paraId="1B1E538C">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湘潭县发展和改革局202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年度没有国有资本经营预算财政拨款支出，并已公开空表。</w:t>
      </w:r>
    </w:p>
    <w:p w14:paraId="13511F37">
      <w:pPr>
        <w:pStyle w:val="16"/>
        <w:spacing w:line="600" w:lineRule="exact"/>
        <w:ind w:firstLine="643" w:firstLineChars="200"/>
        <w:outlineLvl w:val="0"/>
        <w:rPr>
          <w:rFonts w:hAnsi="黑体"/>
          <w:b/>
          <w:sz w:val="32"/>
          <w:szCs w:val="32"/>
        </w:rPr>
      </w:pPr>
      <w:r>
        <w:rPr>
          <w:rFonts w:hint="eastAsia" w:hAnsi="黑体"/>
          <w:b/>
          <w:sz w:val="32"/>
          <w:szCs w:val="32"/>
        </w:rPr>
        <w:t>十、关于机关运行经费支出说明</w:t>
      </w:r>
    </w:p>
    <w:p w14:paraId="08430462">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湘潭县发展和改革局202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年度机关运行经费支出</w:t>
      </w:r>
      <w:r>
        <w:rPr>
          <w:rFonts w:hint="eastAsia" w:ascii="Times New Roman" w:hAnsi="Times New Roman" w:eastAsia="仿宋_GB2312" w:cs="Times New Roman"/>
          <w:kern w:val="0"/>
          <w:sz w:val="32"/>
          <w:szCs w:val="32"/>
          <w:lang w:val="en-US" w:eastAsia="zh-CN"/>
        </w:rPr>
        <w:t>176.32</w:t>
      </w:r>
      <w:r>
        <w:rPr>
          <w:rFonts w:hint="eastAsia" w:ascii="Times New Roman" w:hAnsi="Times New Roman" w:eastAsia="仿宋_GB2312" w:cs="Times New Roman"/>
          <w:kern w:val="0"/>
          <w:sz w:val="32"/>
          <w:szCs w:val="32"/>
        </w:rPr>
        <w:t>万元，比上年决算数增加</w:t>
      </w:r>
      <w:r>
        <w:rPr>
          <w:rFonts w:hint="eastAsia" w:ascii="Times New Roman" w:hAnsi="Times New Roman" w:eastAsia="仿宋_GB2312" w:cs="Times New Roman"/>
          <w:kern w:val="0"/>
          <w:sz w:val="32"/>
          <w:szCs w:val="32"/>
          <w:lang w:val="en-US" w:eastAsia="zh-CN"/>
        </w:rPr>
        <w:t>10.5</w:t>
      </w:r>
      <w:r>
        <w:rPr>
          <w:rFonts w:hint="eastAsia" w:ascii="Times New Roman" w:hAnsi="Times New Roman" w:eastAsia="仿宋_GB2312" w:cs="Times New Roman"/>
          <w:kern w:val="0"/>
          <w:sz w:val="32"/>
          <w:szCs w:val="32"/>
        </w:rPr>
        <w:t>万元，增长</w:t>
      </w:r>
      <w:r>
        <w:rPr>
          <w:rFonts w:hint="eastAsia" w:ascii="Times New Roman" w:hAnsi="Times New Roman" w:eastAsia="仿宋_GB2312" w:cs="Times New Roman"/>
          <w:kern w:val="0"/>
          <w:sz w:val="32"/>
          <w:szCs w:val="32"/>
          <w:lang w:val="en-US" w:eastAsia="zh-CN"/>
        </w:rPr>
        <w:t>6.33</w:t>
      </w:r>
      <w:r>
        <w:rPr>
          <w:rFonts w:hint="eastAsia" w:ascii="Times New Roman" w:hAnsi="Times New Roman" w:eastAsia="仿宋_GB2312" w:cs="Times New Roman"/>
          <w:kern w:val="0"/>
          <w:sz w:val="32"/>
          <w:szCs w:val="32"/>
        </w:rPr>
        <w:t>%。主要原因是</w:t>
      </w:r>
      <w:r>
        <w:rPr>
          <w:rFonts w:hint="eastAsia" w:ascii="Times New Roman" w:hAnsi="Times New Roman" w:eastAsia="仿宋_GB2312" w:cs="Times New Roman"/>
          <w:kern w:val="0"/>
          <w:sz w:val="32"/>
          <w:szCs w:val="32"/>
          <w:lang w:val="en-US" w:eastAsia="zh-CN"/>
        </w:rPr>
        <w:t>本年</w:t>
      </w:r>
      <w:r>
        <w:rPr>
          <w:rFonts w:hint="eastAsia" w:ascii="Times New Roman" w:hAnsi="Times New Roman" w:eastAsia="仿宋_GB2312" w:cs="Times New Roman"/>
          <w:kern w:val="0"/>
          <w:sz w:val="32"/>
          <w:szCs w:val="32"/>
        </w:rPr>
        <w:t>增加人员</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相应的日常公用经费较上年有所增长</w:t>
      </w:r>
      <w:r>
        <w:rPr>
          <w:rFonts w:hint="eastAsia" w:ascii="Times New Roman" w:hAnsi="Times New Roman" w:eastAsia="仿宋_GB2312" w:cs="Times New Roman"/>
          <w:kern w:val="0"/>
          <w:sz w:val="32"/>
          <w:szCs w:val="32"/>
        </w:rPr>
        <w:t>。</w:t>
      </w:r>
    </w:p>
    <w:p w14:paraId="43E91D09">
      <w:pPr>
        <w:pStyle w:val="16"/>
        <w:spacing w:line="600" w:lineRule="exact"/>
        <w:ind w:firstLine="643" w:firstLineChars="200"/>
        <w:rPr>
          <w:rFonts w:hAnsi="黑体"/>
          <w:b/>
          <w:sz w:val="32"/>
          <w:szCs w:val="32"/>
        </w:rPr>
      </w:pPr>
      <w:r>
        <w:rPr>
          <w:rFonts w:hint="eastAsia" w:hAnsi="黑体"/>
          <w:b/>
          <w:sz w:val="32"/>
          <w:szCs w:val="32"/>
        </w:rPr>
        <w:t>十一、一般性支出情况说明</w:t>
      </w:r>
    </w:p>
    <w:p w14:paraId="004AFBB9">
      <w:pPr>
        <w:pStyle w:val="16"/>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202</w:t>
      </w:r>
      <w:r>
        <w:rPr>
          <w:rFonts w:hint="eastAsia" w:ascii="Times New Roman" w:hAnsi="Times New Roman" w:eastAsia="仿宋_GB2312" w:cs="Times New Roman"/>
          <w:color w:val="auto"/>
          <w:kern w:val="0"/>
          <w:sz w:val="32"/>
          <w:szCs w:val="32"/>
          <w:lang w:val="en-US" w:eastAsia="zh-CN"/>
        </w:rPr>
        <w:t>4</w:t>
      </w:r>
      <w:r>
        <w:rPr>
          <w:rFonts w:hint="eastAsia" w:ascii="Times New Roman" w:hAnsi="Times New Roman" w:eastAsia="仿宋_GB2312" w:cs="Times New Roman"/>
          <w:color w:val="auto"/>
          <w:kern w:val="0"/>
          <w:sz w:val="32"/>
          <w:szCs w:val="32"/>
        </w:rPr>
        <w:t>年本部门开支</w:t>
      </w:r>
      <w:r>
        <w:rPr>
          <w:rFonts w:hint="eastAsia" w:ascii="Times New Roman" w:hAnsi="Times New Roman" w:eastAsia="仿宋_GB2312"/>
          <w:sz w:val="32"/>
          <w:szCs w:val="32"/>
        </w:rPr>
        <w:t>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w:t>
      </w:r>
      <w:r>
        <w:rPr>
          <w:rFonts w:hint="eastAsia" w:ascii="Times New Roman" w:hAnsi="Times New Roman" w:eastAsia="仿宋_GB2312" w:cs="Times New Roman"/>
          <w:color w:val="auto"/>
          <w:kern w:val="0"/>
          <w:sz w:val="32"/>
          <w:szCs w:val="32"/>
        </w:rPr>
        <w:t>；开支培训费</w:t>
      </w:r>
      <w:r>
        <w:rPr>
          <w:rFonts w:hint="eastAsia" w:ascii="Times New Roman" w:hAnsi="Times New Roman" w:eastAsia="仿宋_GB2312" w:cs="Times New Roman"/>
          <w:color w:val="auto"/>
          <w:kern w:val="0"/>
          <w:sz w:val="32"/>
          <w:szCs w:val="32"/>
          <w:lang w:val="en-US" w:eastAsia="zh-CN"/>
        </w:rPr>
        <w:t>0.26</w:t>
      </w:r>
      <w:r>
        <w:rPr>
          <w:rFonts w:hint="eastAsia" w:ascii="Times New Roman" w:hAnsi="Times New Roman" w:eastAsia="仿宋_GB2312" w:cs="Times New Roman"/>
          <w:color w:val="auto"/>
          <w:kern w:val="0"/>
          <w:sz w:val="32"/>
          <w:szCs w:val="32"/>
        </w:rPr>
        <w:t>万元，用于开展</w:t>
      </w:r>
      <w:r>
        <w:rPr>
          <w:rFonts w:hint="eastAsia" w:ascii="Times New Roman" w:hAnsi="Times New Roman" w:eastAsia="仿宋_GB2312" w:cs="Times New Roman"/>
          <w:color w:val="auto"/>
          <w:kern w:val="0"/>
          <w:sz w:val="32"/>
          <w:szCs w:val="32"/>
          <w:lang w:val="en-US" w:eastAsia="zh-CN"/>
        </w:rPr>
        <w:t>学习</w:t>
      </w:r>
      <w:r>
        <w:rPr>
          <w:rFonts w:hint="eastAsia" w:ascii="Times New Roman" w:hAnsi="Times New Roman" w:eastAsia="仿宋_GB2312" w:cs="Times New Roman"/>
          <w:color w:val="auto"/>
          <w:kern w:val="0"/>
          <w:sz w:val="32"/>
          <w:szCs w:val="32"/>
        </w:rPr>
        <w:t>培训，人数</w:t>
      </w:r>
      <w:r>
        <w:rPr>
          <w:rFonts w:hint="eastAsia" w:ascii="Times New Roman" w:hAnsi="Times New Roman" w:eastAsia="仿宋_GB2312" w:cs="Times New Roman"/>
          <w:color w:val="auto"/>
          <w:kern w:val="0"/>
          <w:sz w:val="32"/>
          <w:szCs w:val="32"/>
          <w:lang w:val="en-US" w:eastAsia="zh-CN"/>
        </w:rPr>
        <w:t>1</w:t>
      </w:r>
      <w:r>
        <w:rPr>
          <w:rFonts w:hint="eastAsia" w:ascii="Times New Roman" w:hAnsi="Times New Roman" w:eastAsia="仿宋_GB2312" w:cs="Times New Roman"/>
          <w:color w:val="auto"/>
          <w:kern w:val="0"/>
          <w:sz w:val="32"/>
          <w:szCs w:val="32"/>
        </w:rPr>
        <w:t>人，内容为</w:t>
      </w:r>
      <w:r>
        <w:rPr>
          <w:rFonts w:hint="eastAsia" w:ascii="Times New Roman" w:hAnsi="Times New Roman" w:eastAsia="仿宋_GB2312" w:cs="Times New Roman"/>
          <w:color w:val="auto"/>
          <w:kern w:val="0"/>
          <w:sz w:val="32"/>
          <w:szCs w:val="32"/>
          <w:lang w:val="en-US" w:eastAsia="zh-CN"/>
        </w:rPr>
        <w:t>青干班学习培训</w:t>
      </w:r>
      <w:r>
        <w:rPr>
          <w:rFonts w:hint="eastAsia" w:ascii="Times New Roman" w:hAnsi="Times New Roman" w:eastAsia="仿宋_GB2312" w:cs="Times New Roman"/>
          <w:color w:val="auto"/>
          <w:kern w:val="0"/>
          <w:sz w:val="32"/>
          <w:szCs w:val="32"/>
        </w:rPr>
        <w:t>；未举办节庆、晚会、论坛、赛事等活动，开支0万元。</w:t>
      </w:r>
    </w:p>
    <w:p w14:paraId="7A641C87">
      <w:pPr>
        <w:pStyle w:val="16"/>
        <w:spacing w:line="600" w:lineRule="exact"/>
        <w:ind w:firstLine="643" w:firstLineChars="200"/>
        <w:outlineLvl w:val="0"/>
        <w:rPr>
          <w:rFonts w:hAnsi="黑体"/>
          <w:b/>
          <w:sz w:val="32"/>
          <w:szCs w:val="32"/>
        </w:rPr>
      </w:pPr>
      <w:r>
        <w:rPr>
          <w:rFonts w:hint="eastAsia" w:hAnsi="黑体"/>
          <w:b/>
          <w:sz w:val="32"/>
          <w:szCs w:val="32"/>
        </w:rPr>
        <w:t>十二、关于政府采购支出说明</w:t>
      </w:r>
    </w:p>
    <w:p w14:paraId="1243C63A">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湘潭县发展和改革局202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年度政府采购支出总额</w:t>
      </w:r>
      <w:r>
        <w:rPr>
          <w:rFonts w:hint="eastAsia" w:ascii="Times New Roman" w:hAnsi="Times New Roman" w:eastAsia="仿宋_GB2312" w:cs="Times New Roman"/>
          <w:kern w:val="0"/>
          <w:sz w:val="32"/>
          <w:szCs w:val="32"/>
          <w:lang w:val="en-US" w:eastAsia="zh-CN"/>
        </w:rPr>
        <w:t>184.48</w:t>
      </w:r>
      <w:r>
        <w:rPr>
          <w:rFonts w:hint="eastAsia" w:ascii="Times New Roman" w:hAnsi="Times New Roman" w:eastAsia="仿宋_GB2312" w:cs="Times New Roman"/>
          <w:kern w:val="0"/>
          <w:sz w:val="32"/>
          <w:szCs w:val="32"/>
        </w:rPr>
        <w:t>万元，其中：政府采购货物支出16.79万元、政府采购工程支出0万元、政府采购服务支出167.68万元。授予中小企业合同金额184.48万元，占政府采购支出总额的</w:t>
      </w:r>
      <w:r>
        <w:rPr>
          <w:rFonts w:hint="eastAsia" w:ascii="Times New Roman" w:hAnsi="Times New Roman" w:eastAsia="仿宋_GB2312" w:cs="Times New Roman"/>
          <w:kern w:val="0"/>
          <w:sz w:val="32"/>
          <w:szCs w:val="32"/>
          <w:lang w:val="en-US" w:eastAsia="zh-CN"/>
        </w:rPr>
        <w:t>100</w:t>
      </w:r>
      <w:r>
        <w:rPr>
          <w:rFonts w:hint="eastAsia" w:ascii="Times New Roman" w:hAnsi="Times New Roman" w:eastAsia="仿宋_GB2312" w:cs="Times New Roman"/>
          <w:kern w:val="0"/>
          <w:sz w:val="32"/>
          <w:szCs w:val="32"/>
        </w:rPr>
        <w:t>%，其中：授予小微企业合同金额119.16万元，占政府采购支出总额的</w:t>
      </w:r>
      <w:r>
        <w:rPr>
          <w:rFonts w:hint="eastAsia" w:ascii="Times New Roman" w:hAnsi="Times New Roman" w:eastAsia="仿宋_GB2312" w:cs="Times New Roman"/>
          <w:kern w:val="0"/>
          <w:sz w:val="32"/>
          <w:szCs w:val="32"/>
          <w:lang w:val="en-US" w:eastAsia="zh-CN"/>
        </w:rPr>
        <w:t>64</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59</w:t>
      </w:r>
      <w:r>
        <w:rPr>
          <w:rFonts w:hint="eastAsia" w:ascii="Times New Roman" w:hAnsi="Times New Roman" w:eastAsia="仿宋_GB2312" w:cs="Times New Roman"/>
          <w:kern w:val="0"/>
          <w:sz w:val="32"/>
          <w:szCs w:val="32"/>
        </w:rPr>
        <w:t>%。货物采购授予中小企业合同金额占货物支出金额的100%，由于工程支出总额为0万元，无法计算工程采购授予中小企业合同金额占工程支出金额的百分比，服务采购授予中小企业合同金额占服务支出金额的</w:t>
      </w:r>
      <w:r>
        <w:rPr>
          <w:rFonts w:hint="eastAsia" w:ascii="Times New Roman" w:hAnsi="Times New Roman" w:eastAsia="仿宋_GB2312" w:cs="Times New Roman"/>
          <w:kern w:val="0"/>
          <w:sz w:val="32"/>
          <w:szCs w:val="32"/>
          <w:lang w:val="en-US" w:eastAsia="zh-CN"/>
        </w:rPr>
        <w:t>100</w:t>
      </w:r>
      <w:r>
        <w:rPr>
          <w:rFonts w:hint="eastAsia" w:ascii="Times New Roman" w:hAnsi="Times New Roman" w:eastAsia="仿宋_GB2312" w:cs="Times New Roman"/>
          <w:kern w:val="0"/>
          <w:sz w:val="32"/>
          <w:szCs w:val="32"/>
        </w:rPr>
        <w:t>%。</w:t>
      </w:r>
    </w:p>
    <w:p w14:paraId="4C56D2E7">
      <w:pPr>
        <w:pStyle w:val="16"/>
        <w:spacing w:line="600" w:lineRule="exact"/>
        <w:ind w:firstLine="643" w:firstLineChars="200"/>
        <w:outlineLvl w:val="0"/>
        <w:rPr>
          <w:rFonts w:hAnsi="黑体"/>
          <w:b/>
          <w:sz w:val="32"/>
          <w:szCs w:val="32"/>
        </w:rPr>
      </w:pPr>
      <w:r>
        <w:rPr>
          <w:rFonts w:hint="eastAsia" w:hAnsi="黑体"/>
          <w:b/>
          <w:sz w:val="32"/>
          <w:szCs w:val="32"/>
        </w:rPr>
        <w:t>十三、关于国有资产占用情况说明</w:t>
      </w:r>
    </w:p>
    <w:p w14:paraId="6F4A8E8F">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截至202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12月31日，湘潭县发展和改革局共有车辆2辆，其中，副部（省）级及以上领导用车0辆、主要负责人用车0辆、机要通信用车0辆、应急保障用车0辆、执法执勤用车0辆、特种专业技术用车0辆、离退休干部服务用车0辆、其他用车2辆，其他用车主要是处理突发应急事件、重要会议、紧急公务和工作调研等方面用车；单位价值100万元以上设备（不含车辆）0台（套）。</w:t>
      </w:r>
    </w:p>
    <w:p w14:paraId="1650DC76">
      <w:pPr>
        <w:pStyle w:val="16"/>
        <w:spacing w:line="600" w:lineRule="exact"/>
        <w:ind w:firstLine="640" w:firstLineChars="200"/>
        <w:rPr>
          <w:rFonts w:hint="eastAsia" w:hAnsi="黑体"/>
          <w:kern w:val="0"/>
          <w:sz w:val="32"/>
          <w:szCs w:val="32"/>
        </w:rPr>
      </w:pPr>
      <w:r>
        <w:rPr>
          <w:rFonts w:hint="eastAsia" w:hAnsi="黑体"/>
          <w:kern w:val="0"/>
          <w:sz w:val="32"/>
          <w:szCs w:val="32"/>
        </w:rPr>
        <w:t>十四、关于202</w:t>
      </w:r>
      <w:r>
        <w:rPr>
          <w:rFonts w:hint="eastAsia" w:hAnsi="黑体"/>
          <w:kern w:val="0"/>
          <w:sz w:val="32"/>
          <w:szCs w:val="32"/>
          <w:lang w:val="en-US" w:eastAsia="zh-CN"/>
        </w:rPr>
        <w:t>4</w:t>
      </w:r>
      <w:r>
        <w:rPr>
          <w:rFonts w:hint="eastAsia" w:hAnsi="黑体"/>
          <w:kern w:val="0"/>
          <w:sz w:val="32"/>
          <w:szCs w:val="32"/>
        </w:rPr>
        <w:t>年度预算绩效情况的说明</w:t>
      </w:r>
    </w:p>
    <w:p w14:paraId="1332BF48">
      <w:pPr>
        <w:pStyle w:val="16"/>
        <w:spacing w:line="58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rPr>
        <w:t>（一）绩效管理工作开展情况</w:t>
      </w:r>
    </w:p>
    <w:p w14:paraId="5A79F4B0">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我单位严格执行《湘潭县预算绩效管理实施办法》，加强财政资金的管理，提高财政资金使用的效益，做到了专款专用，收支平衡，保证了单位的正常运行，按要求完成了当年的绩效评价工作，并制定了《湘潭县发展和改革局预算绩效管理实施方案》，确定了我单位绩效管理及自评范围，按要求积极开展绩效自评，并将自评报告在湘潭县人民政府网站及单位官网进行了公开。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年度我单位</w:t>
      </w:r>
      <w:r>
        <w:rPr>
          <w:rFonts w:hint="eastAsia" w:ascii="Times New Roman" w:hAnsi="Times New Roman" w:eastAsia="仿宋_GB2312" w:cs="Times New Roman"/>
          <w:kern w:val="0"/>
          <w:sz w:val="32"/>
          <w:szCs w:val="32"/>
          <w:lang w:val="en-US" w:eastAsia="zh-CN"/>
        </w:rPr>
        <w:t>无</w:t>
      </w:r>
      <w:r>
        <w:rPr>
          <w:rFonts w:hint="eastAsia" w:ascii="Times New Roman" w:hAnsi="Times New Roman" w:eastAsia="仿宋_GB2312" w:cs="Times New Roman"/>
          <w:kern w:val="0"/>
          <w:sz w:val="32"/>
          <w:szCs w:val="32"/>
        </w:rPr>
        <w:t>重点绩效评价项目。</w:t>
      </w:r>
    </w:p>
    <w:p w14:paraId="11BAD975">
      <w:pPr>
        <w:pStyle w:val="16"/>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（二）部门（单位）整体支出绩效情况</w:t>
      </w:r>
    </w:p>
    <w:p w14:paraId="057C7DEF">
      <w:pPr>
        <w:pStyle w:val="16"/>
        <w:spacing w:line="600" w:lineRule="exact"/>
        <w:ind w:firstLine="640" w:firstLineChars="200"/>
        <w:rPr>
          <w:rFonts w:hint="eastAsia" w:ascii="Times New Roman" w:hAnsi="Times New Roman" w:eastAsia="仿宋_GB2312" w:cs="Times New Roman"/>
          <w:color w:val="FF0000"/>
          <w:kern w:val="0"/>
          <w:sz w:val="32"/>
          <w:szCs w:val="32"/>
        </w:rPr>
      </w:pPr>
      <w:r>
        <w:rPr>
          <w:rFonts w:hint="eastAsia" w:ascii="Times New Roman" w:hAnsi="Times New Roman" w:eastAsia="仿宋_GB2312" w:cs="Times New Roman"/>
          <w:kern w:val="0"/>
          <w:sz w:val="32"/>
          <w:szCs w:val="32"/>
        </w:rPr>
        <w:t>本</w:t>
      </w:r>
      <w:r>
        <w:rPr>
          <w:rFonts w:hint="eastAsia" w:ascii="Times New Roman" w:hAnsi="Times New Roman" w:eastAsia="仿宋_GB2312" w:cs="Times New Roman"/>
          <w:kern w:val="0"/>
          <w:sz w:val="32"/>
          <w:szCs w:val="32"/>
          <w:lang w:val="en-US" w:eastAsia="zh-CN"/>
        </w:rPr>
        <w:t>单位</w:t>
      </w:r>
      <w:r>
        <w:rPr>
          <w:rFonts w:hint="eastAsia"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年整体支出</w:t>
      </w:r>
      <w:r>
        <w:rPr>
          <w:rFonts w:hint="default" w:ascii="Times New Roman" w:hAnsi="Times New Roman" w:eastAsia="仿宋_GB2312" w:cs="Times New Roman"/>
          <w:kern w:val="0"/>
          <w:sz w:val="32"/>
          <w:szCs w:val="32"/>
        </w:rPr>
        <w:t>7,801.08</w:t>
      </w:r>
      <w:r>
        <w:rPr>
          <w:rFonts w:hint="eastAsia" w:ascii="Times New Roman" w:hAnsi="Times New Roman" w:eastAsia="仿宋_GB2312" w:cs="Times New Roman"/>
          <w:kern w:val="0"/>
          <w:sz w:val="32"/>
          <w:szCs w:val="32"/>
        </w:rPr>
        <w:t>万元，其中：基本支出984.53万元，项目支出6,816.55万元，三公经费控制率41.75%；我局在预算执行、预算管理及职责履行等方面执行情况较好，保障了正常运转以及各项业务工作的正常开展，产生了较好的社会效益，较好地完成了各项目标任务</w:t>
      </w:r>
      <w:r>
        <w:rPr>
          <w:rFonts w:hint="default" w:ascii="Times New Roman" w:hAnsi="Times New Roman" w:eastAsia="仿宋_GB2312" w:cs="Times New Roman"/>
          <w:kern w:val="0"/>
          <w:sz w:val="32"/>
          <w:szCs w:val="32"/>
        </w:rPr>
        <w:t>。</w:t>
      </w:r>
    </w:p>
    <w:p w14:paraId="2993E7A2">
      <w:pPr>
        <w:pStyle w:val="16"/>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 xml:space="preserve">（三）存在的问题及原因分析 </w:t>
      </w:r>
    </w:p>
    <w:p w14:paraId="239E6036">
      <w:pPr>
        <w:pStyle w:val="16"/>
        <w:spacing w:line="600" w:lineRule="exact"/>
        <w:ind w:firstLine="640" w:firstLineChars="200"/>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结转资金指标较多。因上年结转及年中追加中央、省、市专项资金，本年均通过我局一般公共预算资金进行拨付，造成项目经费支出超出年初预算数。</w:t>
      </w:r>
    </w:p>
    <w:p w14:paraId="342BF44C">
      <w:pPr>
        <w:pStyle w:val="16"/>
        <w:jc w:val="center"/>
        <w:rPr>
          <w:sz w:val="72"/>
          <w:szCs w:val="72"/>
        </w:rPr>
      </w:pPr>
    </w:p>
    <w:p w14:paraId="7E314158">
      <w:pPr>
        <w:pStyle w:val="16"/>
        <w:jc w:val="center"/>
        <w:rPr>
          <w:sz w:val="72"/>
          <w:szCs w:val="72"/>
        </w:rPr>
      </w:pPr>
    </w:p>
    <w:p w14:paraId="6986AC99">
      <w:pPr>
        <w:pStyle w:val="16"/>
        <w:jc w:val="center"/>
        <w:rPr>
          <w:sz w:val="72"/>
          <w:szCs w:val="72"/>
        </w:rPr>
      </w:pPr>
    </w:p>
    <w:p w14:paraId="5F0BB999">
      <w:pPr>
        <w:pStyle w:val="16"/>
        <w:jc w:val="center"/>
        <w:rPr>
          <w:sz w:val="72"/>
          <w:szCs w:val="72"/>
        </w:rPr>
      </w:pPr>
    </w:p>
    <w:p w14:paraId="3D8548B7">
      <w:pPr>
        <w:pStyle w:val="16"/>
        <w:jc w:val="center"/>
        <w:rPr>
          <w:sz w:val="72"/>
          <w:szCs w:val="72"/>
        </w:rPr>
      </w:pPr>
    </w:p>
    <w:p w14:paraId="5A0ABDB8">
      <w:pPr>
        <w:pStyle w:val="16"/>
        <w:jc w:val="center"/>
        <w:rPr>
          <w:sz w:val="72"/>
          <w:szCs w:val="72"/>
        </w:rPr>
      </w:pPr>
    </w:p>
    <w:p w14:paraId="49FC2576">
      <w:pPr>
        <w:pStyle w:val="16"/>
        <w:jc w:val="center"/>
        <w:rPr>
          <w:sz w:val="72"/>
          <w:szCs w:val="72"/>
        </w:rPr>
      </w:pPr>
    </w:p>
    <w:p w14:paraId="009035AF">
      <w:pPr>
        <w:pStyle w:val="16"/>
        <w:jc w:val="center"/>
        <w:rPr>
          <w:sz w:val="72"/>
          <w:szCs w:val="72"/>
        </w:rPr>
      </w:pPr>
    </w:p>
    <w:p w14:paraId="7DB79C39">
      <w:pPr>
        <w:pStyle w:val="16"/>
        <w:jc w:val="center"/>
        <w:rPr>
          <w:sz w:val="72"/>
          <w:szCs w:val="72"/>
        </w:rPr>
      </w:pPr>
    </w:p>
    <w:p w14:paraId="60ADC19A">
      <w:pPr>
        <w:pStyle w:val="16"/>
        <w:jc w:val="center"/>
        <w:rPr>
          <w:sz w:val="72"/>
          <w:szCs w:val="72"/>
        </w:rPr>
      </w:pPr>
    </w:p>
    <w:p w14:paraId="73F7ABC4">
      <w:pPr>
        <w:jc w:val="center"/>
        <w:rPr>
          <w:rFonts w:ascii="方正小标宋_GBK" w:hAnsi="方正小标宋_GBK" w:eastAsia="方正小标宋_GBK" w:cs="Times New Roman"/>
          <w:color w:val="000000"/>
          <w:kern w:val="0"/>
          <w:sz w:val="70"/>
          <w:szCs w:val="70"/>
        </w:rPr>
      </w:pPr>
    </w:p>
    <w:p w14:paraId="118CD029">
      <w:pPr>
        <w:jc w:val="center"/>
        <w:rPr>
          <w:rFonts w:hint="eastAsia" w:ascii="方正小标宋_GBK" w:hAnsi="方正小标宋_GBK" w:eastAsia="方正小标宋_GBK" w:cs="方正小标宋_GBK"/>
          <w:color w:val="000000"/>
          <w:kern w:val="0"/>
          <w:sz w:val="72"/>
          <w:szCs w:val="72"/>
          <w:lang w:val="en-US" w:eastAsia="zh-CN" w:bidi="ar-SA"/>
        </w:rPr>
      </w:pPr>
      <w:r>
        <w:rPr>
          <w:rFonts w:hint="eastAsia" w:ascii="方正小标宋_GBK" w:hAnsi="方正小标宋_GBK" w:eastAsia="方正小标宋_GBK" w:cs="方正小标宋_GBK"/>
          <w:color w:val="000000"/>
          <w:kern w:val="0"/>
          <w:sz w:val="72"/>
          <w:szCs w:val="72"/>
          <w:lang w:val="en-US" w:eastAsia="zh-CN" w:bidi="ar-SA"/>
        </w:rPr>
        <w:t>第四部分</w:t>
      </w:r>
    </w:p>
    <w:p w14:paraId="4444234C">
      <w:pPr>
        <w:jc w:val="center"/>
        <w:rPr>
          <w:rFonts w:hint="eastAsia" w:ascii="方正小标宋_GBK" w:hAnsi="方正小标宋_GBK" w:eastAsia="方正小标宋_GBK" w:cs="方正小标宋_GBK"/>
          <w:color w:val="000000"/>
          <w:kern w:val="0"/>
          <w:sz w:val="72"/>
          <w:szCs w:val="72"/>
          <w:lang w:val="en-US" w:eastAsia="zh-CN" w:bidi="ar-SA"/>
        </w:rPr>
      </w:pPr>
    </w:p>
    <w:p w14:paraId="1D587BCF">
      <w:pPr>
        <w:jc w:val="center"/>
        <w:rPr>
          <w:rFonts w:hint="eastAsia" w:ascii="方正小标宋_GBK" w:hAnsi="方正小标宋_GBK" w:eastAsia="方正小标宋_GBK" w:cs="方正小标宋_GBK"/>
          <w:color w:val="000000"/>
          <w:kern w:val="0"/>
          <w:sz w:val="72"/>
          <w:szCs w:val="72"/>
          <w:lang w:val="en-US" w:eastAsia="zh-CN" w:bidi="ar-SA"/>
        </w:rPr>
      </w:pPr>
      <w:r>
        <w:rPr>
          <w:rFonts w:hint="eastAsia" w:ascii="方正小标宋_GBK" w:hAnsi="方正小标宋_GBK" w:eastAsia="方正小标宋_GBK" w:cs="方正小标宋_GBK"/>
          <w:color w:val="000000"/>
          <w:kern w:val="0"/>
          <w:sz w:val="72"/>
          <w:szCs w:val="72"/>
          <w:lang w:val="en-US" w:eastAsia="zh-CN" w:bidi="ar-SA"/>
        </w:rPr>
        <w:t>名词解释</w:t>
      </w:r>
    </w:p>
    <w:p w14:paraId="6F622308">
      <w:pPr>
        <w:jc w:val="center"/>
        <w:rPr>
          <w:rFonts w:ascii="方正小标宋_GBK" w:hAnsi="方正小标宋_GBK" w:eastAsia="方正小标宋_GBK" w:cs="Times New Roman"/>
          <w:color w:val="000000"/>
          <w:kern w:val="0"/>
          <w:sz w:val="70"/>
          <w:szCs w:val="70"/>
        </w:rPr>
      </w:pPr>
      <w:r>
        <w:rPr>
          <w:rFonts w:ascii="方正小标宋_GBK" w:hAnsi="方正小标宋_GBK" w:eastAsia="方正小标宋_GBK" w:cs="Times New Roman"/>
          <w:color w:val="000000"/>
          <w:kern w:val="0"/>
          <w:sz w:val="70"/>
          <w:szCs w:val="70"/>
        </w:rPr>
        <w:br w:type="page"/>
      </w:r>
    </w:p>
    <w:p w14:paraId="6F4CE561">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财政拨款收入</w:t>
      </w:r>
      <w:r>
        <w:rPr>
          <w:rFonts w:hint="eastAsia" w:ascii="仿宋" w:hAnsi="仿宋" w:eastAsia="仿宋" w:cs="仿宋"/>
          <w:sz w:val="32"/>
          <w:szCs w:val="32"/>
        </w:rPr>
        <w:t>：指财政当年拨付的资金。包括一般公共预算财政拨款和政府性基金财政拨款。</w:t>
      </w:r>
    </w:p>
    <w:p w14:paraId="01C821C3">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上级补助收入</w:t>
      </w:r>
      <w:r>
        <w:rPr>
          <w:rFonts w:hint="eastAsia" w:ascii="仿宋" w:hAnsi="仿宋" w:eastAsia="仿宋" w:cs="仿宋"/>
          <w:sz w:val="32"/>
          <w:szCs w:val="32"/>
        </w:rPr>
        <w:t>：指事业单位从主管部门和上级单位取得的非财政补助收入。</w:t>
      </w:r>
    </w:p>
    <w:p w14:paraId="5834C1F2">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事业收入</w:t>
      </w:r>
      <w:r>
        <w:rPr>
          <w:rFonts w:hint="eastAsia" w:ascii="仿宋" w:hAnsi="仿宋" w:eastAsia="仿宋" w:cs="仿宋"/>
          <w:sz w:val="32"/>
          <w:szCs w:val="32"/>
        </w:rPr>
        <w:t>：指事业单位开展专业业务活动及辅助活动所取得的收入。</w:t>
      </w:r>
    </w:p>
    <w:p w14:paraId="3B3C35C6">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经营收入</w:t>
      </w:r>
      <w:r>
        <w:rPr>
          <w:rFonts w:hint="eastAsia" w:ascii="仿宋" w:hAnsi="仿宋" w:eastAsia="仿宋" w:cs="仿宋"/>
          <w:sz w:val="32"/>
          <w:szCs w:val="32"/>
        </w:rPr>
        <w:t>：指事业单位在专业业务活动及其辅助活动之外开展非独立核算经营活动取得的收入。</w:t>
      </w:r>
    </w:p>
    <w:p w14:paraId="02EC1EEF">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附属单位上缴收入</w:t>
      </w:r>
      <w:r>
        <w:rPr>
          <w:rFonts w:hint="eastAsia" w:ascii="仿宋" w:hAnsi="仿宋" w:eastAsia="仿宋" w:cs="仿宋"/>
          <w:sz w:val="32"/>
          <w:szCs w:val="32"/>
        </w:rPr>
        <w:t>：指事业单位附属独立核算单位按照有关规定上缴的收入。</w:t>
      </w:r>
    </w:p>
    <w:p w14:paraId="303BF8EC">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其他收入</w:t>
      </w:r>
      <w:r>
        <w:rPr>
          <w:rFonts w:hint="eastAsia" w:ascii="仿宋" w:hAnsi="仿宋" w:eastAsia="仿宋" w:cs="仿宋"/>
          <w:sz w:val="32"/>
          <w:szCs w:val="32"/>
        </w:rPr>
        <w:t>：指除上述“财政拨款收入”、“事业收入”、“经营收入”等以外的收入。</w:t>
      </w:r>
    </w:p>
    <w:p w14:paraId="472BC004">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用事业基金弥补收支差额</w:t>
      </w:r>
      <w:r>
        <w:rPr>
          <w:rFonts w:hint="eastAsia" w:ascii="仿宋" w:hAnsi="仿宋" w:eastAsia="仿宋" w:cs="仿宋"/>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432A9B92">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年初结转和结余</w:t>
      </w:r>
      <w:r>
        <w:rPr>
          <w:rFonts w:hint="eastAsia" w:ascii="仿宋" w:hAnsi="仿宋" w:eastAsia="仿宋" w:cs="仿宋"/>
          <w:sz w:val="32"/>
          <w:szCs w:val="32"/>
        </w:rPr>
        <w:t>：指以前年度尚未完成、结转到本年按有关规定继续使用的资金。</w:t>
      </w:r>
    </w:p>
    <w:p w14:paraId="184B0492">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结余分配</w:t>
      </w:r>
      <w:r>
        <w:rPr>
          <w:rFonts w:hint="eastAsia" w:ascii="仿宋" w:hAnsi="仿宋" w:eastAsia="仿宋" w:cs="仿宋"/>
          <w:sz w:val="32"/>
          <w:szCs w:val="32"/>
        </w:rPr>
        <w:t>：指事业单位按规定从非财政补助结余中分配的事业基金和职工福利基金等。</w:t>
      </w:r>
    </w:p>
    <w:p w14:paraId="217AAF67">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年末结转和结余</w:t>
      </w:r>
      <w:r>
        <w:rPr>
          <w:rFonts w:hint="eastAsia" w:ascii="仿宋" w:hAnsi="仿宋" w:eastAsia="仿宋" w:cs="仿宋"/>
          <w:sz w:val="32"/>
          <w:szCs w:val="32"/>
        </w:rPr>
        <w:t>：指本年度或以前年度预算安排、因客观条件发生变化无法按原计划实施，需要延迟到以后年度按有关规定继续使用的资金。</w:t>
      </w:r>
    </w:p>
    <w:p w14:paraId="70AF1359">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基本支出</w:t>
      </w:r>
      <w:r>
        <w:rPr>
          <w:rFonts w:hint="eastAsia" w:ascii="仿宋" w:hAnsi="仿宋" w:eastAsia="仿宋" w:cs="仿宋"/>
          <w:sz w:val="32"/>
          <w:szCs w:val="32"/>
        </w:rPr>
        <w:t>：指为保障机构正常运转、完成日常工作任务而发生的人员支出和公用支出。</w:t>
      </w:r>
    </w:p>
    <w:p w14:paraId="5002E6D6">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项目支出</w:t>
      </w:r>
      <w:r>
        <w:rPr>
          <w:rFonts w:hint="eastAsia" w:ascii="仿宋" w:hAnsi="仿宋" w:eastAsia="仿宋" w:cs="仿宋"/>
          <w:sz w:val="32"/>
          <w:szCs w:val="32"/>
        </w:rPr>
        <w:t>：指在基本支出之外为完成特定行政任务和事业发展目标所发生的支出。</w:t>
      </w:r>
    </w:p>
    <w:p w14:paraId="384E55C0">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经营支出</w:t>
      </w:r>
      <w:r>
        <w:rPr>
          <w:rFonts w:hint="eastAsia" w:ascii="仿宋" w:hAnsi="仿宋" w:eastAsia="仿宋" w:cs="仿宋"/>
          <w:sz w:val="32"/>
          <w:szCs w:val="32"/>
        </w:rPr>
        <w:t>：指事业单位在专业业务活动及其辅助活动之外开展非独立核算经营活动所发生的支出。</w:t>
      </w:r>
    </w:p>
    <w:p w14:paraId="142B30DD">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“三公”经费</w:t>
      </w:r>
      <w:r>
        <w:rPr>
          <w:rFonts w:hint="eastAsia" w:ascii="仿宋" w:hAnsi="仿宋" w:eastAsia="仿宋" w:cs="仿宋"/>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14:paraId="0294F1A2">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机关运行经费</w:t>
      </w:r>
      <w:r>
        <w:rPr>
          <w:rFonts w:hint="eastAsia" w:ascii="仿宋" w:hAnsi="仿宋" w:eastAsia="仿宋" w:cs="仿宋"/>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14:paraId="0B41426C">
      <w:pPr>
        <w:pStyle w:val="16"/>
        <w:spacing w:line="560" w:lineRule="exact"/>
        <w:jc w:val="center"/>
        <w:rPr>
          <w:rFonts w:ascii="仿宋" w:hAnsi="仿宋" w:eastAsia="仿宋" w:cs="仿宋"/>
          <w:color w:val="auto"/>
          <w:kern w:val="2"/>
          <w:sz w:val="32"/>
          <w:szCs w:val="32"/>
        </w:rPr>
      </w:pPr>
    </w:p>
    <w:p w14:paraId="2A491625">
      <w:pPr>
        <w:pStyle w:val="16"/>
        <w:spacing w:line="560" w:lineRule="exact"/>
        <w:jc w:val="center"/>
        <w:rPr>
          <w:rFonts w:ascii="仿宋" w:hAnsi="仿宋" w:eastAsia="仿宋" w:cs="仿宋"/>
          <w:color w:val="auto"/>
          <w:kern w:val="2"/>
          <w:sz w:val="32"/>
          <w:szCs w:val="32"/>
        </w:rPr>
      </w:pPr>
    </w:p>
    <w:p w14:paraId="28E2EC2C">
      <w:pPr>
        <w:pStyle w:val="16"/>
        <w:spacing w:line="560" w:lineRule="exact"/>
        <w:jc w:val="center"/>
        <w:rPr>
          <w:rFonts w:ascii="仿宋" w:hAnsi="仿宋" w:eastAsia="仿宋" w:cs="仿宋"/>
          <w:color w:val="auto"/>
          <w:kern w:val="2"/>
          <w:sz w:val="32"/>
          <w:szCs w:val="32"/>
        </w:rPr>
      </w:pPr>
    </w:p>
    <w:p w14:paraId="1C00D026">
      <w:pPr>
        <w:pStyle w:val="16"/>
        <w:spacing w:line="560" w:lineRule="exact"/>
        <w:jc w:val="center"/>
        <w:rPr>
          <w:rFonts w:ascii="仿宋" w:hAnsi="仿宋" w:eastAsia="仿宋" w:cs="仿宋"/>
          <w:color w:val="auto"/>
          <w:kern w:val="2"/>
          <w:sz w:val="32"/>
          <w:szCs w:val="32"/>
        </w:rPr>
      </w:pPr>
    </w:p>
    <w:p w14:paraId="799BE2C3">
      <w:pPr>
        <w:pStyle w:val="16"/>
        <w:spacing w:line="560" w:lineRule="exact"/>
        <w:jc w:val="center"/>
        <w:rPr>
          <w:rFonts w:ascii="仿宋" w:hAnsi="仿宋" w:eastAsia="仿宋" w:cs="仿宋"/>
          <w:color w:val="auto"/>
          <w:kern w:val="2"/>
          <w:sz w:val="32"/>
          <w:szCs w:val="32"/>
        </w:rPr>
      </w:pPr>
    </w:p>
    <w:p w14:paraId="409FAE6A">
      <w:pPr>
        <w:pStyle w:val="16"/>
        <w:spacing w:line="560" w:lineRule="exact"/>
        <w:jc w:val="center"/>
        <w:rPr>
          <w:rFonts w:ascii="仿宋" w:hAnsi="仿宋" w:eastAsia="仿宋" w:cs="仿宋"/>
          <w:color w:val="auto"/>
          <w:kern w:val="2"/>
          <w:sz w:val="32"/>
          <w:szCs w:val="32"/>
        </w:rPr>
      </w:pPr>
    </w:p>
    <w:p w14:paraId="5E1EA074">
      <w:pPr>
        <w:pStyle w:val="16"/>
        <w:spacing w:line="560" w:lineRule="exact"/>
        <w:jc w:val="center"/>
        <w:rPr>
          <w:rFonts w:ascii="仿宋" w:hAnsi="仿宋" w:eastAsia="仿宋" w:cs="仿宋"/>
          <w:color w:val="auto"/>
          <w:kern w:val="2"/>
          <w:sz w:val="32"/>
          <w:szCs w:val="32"/>
        </w:rPr>
      </w:pPr>
    </w:p>
    <w:p w14:paraId="06A8C078">
      <w:pPr>
        <w:pStyle w:val="16"/>
        <w:jc w:val="center"/>
        <w:rPr>
          <w:sz w:val="72"/>
          <w:szCs w:val="72"/>
        </w:rPr>
      </w:pPr>
    </w:p>
    <w:p w14:paraId="1E2F18F7">
      <w:pPr>
        <w:pStyle w:val="16"/>
        <w:jc w:val="center"/>
        <w:rPr>
          <w:sz w:val="72"/>
          <w:szCs w:val="72"/>
        </w:rPr>
      </w:pPr>
    </w:p>
    <w:p w14:paraId="591B90C8">
      <w:pPr>
        <w:pStyle w:val="16"/>
        <w:jc w:val="center"/>
        <w:rPr>
          <w:sz w:val="72"/>
          <w:szCs w:val="72"/>
        </w:rPr>
      </w:pPr>
    </w:p>
    <w:p w14:paraId="4ADF1088">
      <w:pPr>
        <w:pStyle w:val="16"/>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第五部分</w:t>
      </w:r>
    </w:p>
    <w:p w14:paraId="10499E26">
      <w:pPr>
        <w:pStyle w:val="16"/>
        <w:jc w:val="center"/>
        <w:rPr>
          <w:rFonts w:hint="eastAsia" w:ascii="方正小标宋_GBK" w:hAnsi="方正小标宋_GBK" w:eastAsia="方正小标宋_GBK" w:cs="方正小标宋_GBK"/>
          <w:kern w:val="0"/>
          <w:sz w:val="72"/>
          <w:szCs w:val="72"/>
        </w:rPr>
      </w:pPr>
    </w:p>
    <w:p w14:paraId="29EC3443">
      <w:pPr>
        <w:pStyle w:val="16"/>
        <w:jc w:val="center"/>
        <w:rPr>
          <w:rFonts w:hint="eastAsia" w:ascii="方正小标宋_GBK" w:hAnsi="方正小标宋_GBK" w:eastAsia="方正小标宋_GBK" w:cs="方正小标宋_GBK"/>
          <w:kern w:val="0"/>
          <w:sz w:val="72"/>
          <w:szCs w:val="72"/>
        </w:rPr>
      </w:pPr>
      <w:r>
        <w:rPr>
          <w:rFonts w:hint="eastAsia" w:ascii="方正小标宋_GBK" w:hAnsi="方正小标宋_GBK" w:eastAsia="方正小标宋_GBK" w:cs="方正小标宋_GBK"/>
          <w:kern w:val="0"/>
          <w:sz w:val="72"/>
          <w:szCs w:val="72"/>
        </w:rPr>
        <w:t>附件</w:t>
      </w:r>
    </w:p>
    <w:p w14:paraId="2AED8CCE">
      <w:pPr>
        <w:spacing w:line="576" w:lineRule="exact"/>
        <w:jc w:val="center"/>
        <w:rPr>
          <w:rFonts w:ascii="黑体" w:eastAsia="黑体" w:cs="黑体"/>
          <w:color w:val="000000"/>
          <w:kern w:val="0"/>
          <w:sz w:val="70"/>
          <w:szCs w:val="70"/>
        </w:rPr>
      </w:pPr>
    </w:p>
    <w:p w14:paraId="16A04D21">
      <w:pPr>
        <w:spacing w:line="576" w:lineRule="exact"/>
        <w:jc w:val="center"/>
        <w:rPr>
          <w:rFonts w:ascii="黑体" w:eastAsia="黑体" w:cs="黑体"/>
          <w:color w:val="000000"/>
          <w:kern w:val="0"/>
          <w:sz w:val="70"/>
          <w:szCs w:val="70"/>
        </w:rPr>
      </w:pPr>
      <w:r>
        <w:rPr>
          <w:rFonts w:ascii="黑体" w:eastAsia="黑体" w:cs="黑体"/>
          <w:color w:val="000000"/>
          <w:kern w:val="0"/>
          <w:sz w:val="70"/>
          <w:szCs w:val="70"/>
        </w:rPr>
        <w:br w:type="page"/>
      </w:r>
    </w:p>
    <w:p w14:paraId="29C2FC62">
      <w:pPr>
        <w:pStyle w:val="16"/>
        <w:spacing w:line="600" w:lineRule="exact"/>
        <w:rPr>
          <w:rFonts w:hint="eastAsia" w:ascii="Times New Roman" w:hAnsi="Times New Roman" w:eastAsia="仿宋_GB2312" w:cs="仿宋_GB2312"/>
          <w:sz w:val="32"/>
          <w:szCs w:val="32"/>
          <w:lang w:val="en-US" w:eastAsia="zh-CN"/>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w:t>
      </w:r>
      <w:r>
        <w:rPr>
          <w:rFonts w:hint="eastAsia" w:ascii="Times New Roman" w:hAnsi="Times New Roman" w:eastAsia="仿宋_GB2312" w:cs="仿宋_GB2312"/>
          <w:sz w:val="32"/>
          <w:szCs w:val="32"/>
          <w:lang w:val="en-US" w:eastAsia="zh-CN"/>
        </w:rPr>
        <w:t>湘潭县发展和改革局</w:t>
      </w:r>
      <w:r>
        <w:rPr>
          <w:rFonts w:hint="eastAsia" w:ascii="Times New Roman" w:hAnsi="Times New Roman" w:eastAsia="仿宋_GB2312" w:cs="仿宋_GB2312"/>
          <w:sz w:val="32"/>
          <w:szCs w:val="32"/>
        </w:rPr>
        <w:t>部门整体支出绩效自评报告。</w:t>
      </w:r>
      <w:r>
        <w:rPr>
          <w:rFonts w:hint="eastAsia" w:ascii="Times New Roman" w:hAnsi="Times New Roman" w:eastAsia="仿宋_GB2312" w:cs="仿宋_GB2312"/>
          <w:sz w:val="32"/>
          <w:szCs w:val="32"/>
          <w:lang w:val="en-US" w:eastAsia="zh-CN"/>
        </w:rPr>
        <w:t>详见：</w:t>
      </w:r>
    </w:p>
    <w:p w14:paraId="7D5FC0A1">
      <w:pPr>
        <w:pStyle w:val="16"/>
        <w:spacing w:line="600" w:lineRule="exact"/>
        <w:ind w:firstLine="640" w:firstLineChars="200"/>
        <w:rPr>
          <w:rFonts w:hint="eastAsia" w:ascii="Times New Roman" w:hAnsi="Times New Roman" w:eastAsia="仿宋_GB2312" w:cs="仿宋_GB2312"/>
          <w:sz w:val="32"/>
          <w:szCs w:val="32"/>
          <w:lang w:val="en-US" w:eastAsia="zh-CN"/>
        </w:rPr>
      </w:pPr>
    </w:p>
    <w:p w14:paraId="4F58EA5A">
      <w:pPr>
        <w:widowControl/>
        <w:jc w:val="left"/>
        <w:rPr>
          <w:rFonts w:ascii="黑体" w:eastAsia="黑体" w:cs="黑体"/>
          <w:color w:val="000000"/>
          <w:kern w:val="0"/>
          <w:sz w:val="36"/>
          <w:szCs w:val="36"/>
        </w:rPr>
      </w:pPr>
      <w:r>
        <w:rPr>
          <w:rFonts w:hint="eastAsia" w:ascii="黑体" w:eastAsia="黑体" w:cs="黑体"/>
          <w:color w:val="000000"/>
          <w:kern w:val="0"/>
          <w:sz w:val="36"/>
          <w:szCs w:val="36"/>
        </w:rPr>
        <w:t>https://www.xtx.gov.cn/9532/9545/9551/content_1375393.html</w:t>
      </w:r>
    </w:p>
    <w:sectPr>
      <w:pgSz w:w="11906" w:h="16838"/>
      <w:pgMar w:top="1417" w:right="1587" w:bottom="1417" w:left="1587" w:header="851" w:footer="992" w:gutter="0"/>
      <w:pgBorders>
        <w:top w:val="none" w:sz="0" w:space="0"/>
        <w:left w:val="none" w:sz="0" w:space="0"/>
        <w:bottom w:val="none" w:sz="0" w:space="0"/>
        <w:right w:val="none" w:sz="0" w:space="0"/>
      </w:pgBorders>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3068CE-657F-4293-A872-FDFCD8D9217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embedRegular r:id="rId2" w:fontKey="{C3B9A892-D26D-4AC8-AACE-073CDA83FC3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embedRegular r:id="rId3" w:fontKey="{26A2C3EE-2DE1-4B34-8B87-F1905DAD94A3}"/>
  </w:font>
  <w:font w:name="仿宋">
    <w:panose1 w:val="02010609060101010101"/>
    <w:charset w:val="86"/>
    <w:family w:val="modern"/>
    <w:pitch w:val="default"/>
    <w:sig w:usb0="800002BF" w:usb1="38CF7CFA" w:usb2="00000016" w:usb3="00000000" w:csb0="00040001" w:csb1="00000000"/>
    <w:embedRegular r:id="rId4" w:fontKey="{F71442DC-6813-4348-B0B2-9CEB9BC1EA6F}"/>
  </w:font>
  <w:font w:name="楷体">
    <w:panose1 w:val="02010609060101010101"/>
    <w:charset w:val="86"/>
    <w:family w:val="modern"/>
    <w:pitch w:val="default"/>
    <w:sig w:usb0="800002BF" w:usb1="38CF7CFA" w:usb2="00000016" w:usb3="00000000" w:csb0="00040001" w:csb1="00000000"/>
    <w:embedRegular r:id="rId5" w:fontKey="{7A747A31-DDCA-450C-BECA-4147E965933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21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OWMzNGNiZmU2NGVkOTVlNmRiN2M1M2YzNzVmMzQifQ=="/>
  </w:docVars>
  <w:rsids>
    <w:rsidRoot w:val="004506F9"/>
    <w:rsid w:val="00014CF9"/>
    <w:rsid w:val="000220DE"/>
    <w:rsid w:val="0002229B"/>
    <w:rsid w:val="000273BD"/>
    <w:rsid w:val="000415B7"/>
    <w:rsid w:val="00041E3F"/>
    <w:rsid w:val="0004788B"/>
    <w:rsid w:val="00055DAA"/>
    <w:rsid w:val="00061F7B"/>
    <w:rsid w:val="00062197"/>
    <w:rsid w:val="00062382"/>
    <w:rsid w:val="00064139"/>
    <w:rsid w:val="000658A3"/>
    <w:rsid w:val="00071795"/>
    <w:rsid w:val="00074155"/>
    <w:rsid w:val="00077507"/>
    <w:rsid w:val="00081DF7"/>
    <w:rsid w:val="00092A5A"/>
    <w:rsid w:val="00094EA9"/>
    <w:rsid w:val="000A3F69"/>
    <w:rsid w:val="000A4EFC"/>
    <w:rsid w:val="000B1B11"/>
    <w:rsid w:val="000E39D1"/>
    <w:rsid w:val="000F6009"/>
    <w:rsid w:val="00103957"/>
    <w:rsid w:val="00131E51"/>
    <w:rsid w:val="00136AD4"/>
    <w:rsid w:val="001527BC"/>
    <w:rsid w:val="00152C6D"/>
    <w:rsid w:val="00155FBC"/>
    <w:rsid w:val="00162D39"/>
    <w:rsid w:val="00166E32"/>
    <w:rsid w:val="001678BD"/>
    <w:rsid w:val="001737CD"/>
    <w:rsid w:val="00175488"/>
    <w:rsid w:val="001A67DB"/>
    <w:rsid w:val="001A7DE1"/>
    <w:rsid w:val="001C3C29"/>
    <w:rsid w:val="001C7957"/>
    <w:rsid w:val="001D51E5"/>
    <w:rsid w:val="001E080D"/>
    <w:rsid w:val="001E53D0"/>
    <w:rsid w:val="001F0C3B"/>
    <w:rsid w:val="00202C82"/>
    <w:rsid w:val="00214427"/>
    <w:rsid w:val="00226CB7"/>
    <w:rsid w:val="00234269"/>
    <w:rsid w:val="00245BCF"/>
    <w:rsid w:val="00264466"/>
    <w:rsid w:val="00264552"/>
    <w:rsid w:val="00264EF9"/>
    <w:rsid w:val="00265724"/>
    <w:rsid w:val="00273BA7"/>
    <w:rsid w:val="0027426B"/>
    <w:rsid w:val="002758E1"/>
    <w:rsid w:val="00285439"/>
    <w:rsid w:val="002B4BE3"/>
    <w:rsid w:val="002D2D3D"/>
    <w:rsid w:val="002D7D6F"/>
    <w:rsid w:val="002E0A30"/>
    <w:rsid w:val="00310C9A"/>
    <w:rsid w:val="003130C4"/>
    <w:rsid w:val="00316C4B"/>
    <w:rsid w:val="0032192B"/>
    <w:rsid w:val="00321D79"/>
    <w:rsid w:val="003226B4"/>
    <w:rsid w:val="00334E4F"/>
    <w:rsid w:val="003479BD"/>
    <w:rsid w:val="00350B87"/>
    <w:rsid w:val="00357C3F"/>
    <w:rsid w:val="0037197D"/>
    <w:rsid w:val="00375222"/>
    <w:rsid w:val="003768D5"/>
    <w:rsid w:val="00381597"/>
    <w:rsid w:val="0039002A"/>
    <w:rsid w:val="00396C61"/>
    <w:rsid w:val="003A59BC"/>
    <w:rsid w:val="003A6BF3"/>
    <w:rsid w:val="003C2D5D"/>
    <w:rsid w:val="003C47E6"/>
    <w:rsid w:val="003C4FC2"/>
    <w:rsid w:val="003D0417"/>
    <w:rsid w:val="003D1370"/>
    <w:rsid w:val="003D7920"/>
    <w:rsid w:val="003E0A7A"/>
    <w:rsid w:val="004144F9"/>
    <w:rsid w:val="00416E61"/>
    <w:rsid w:val="0042790C"/>
    <w:rsid w:val="004506F9"/>
    <w:rsid w:val="004717A2"/>
    <w:rsid w:val="00473DF3"/>
    <w:rsid w:val="00487911"/>
    <w:rsid w:val="00491741"/>
    <w:rsid w:val="004A5DAC"/>
    <w:rsid w:val="004F7477"/>
    <w:rsid w:val="00500E5F"/>
    <w:rsid w:val="005122EF"/>
    <w:rsid w:val="0051441A"/>
    <w:rsid w:val="00517C33"/>
    <w:rsid w:val="00523644"/>
    <w:rsid w:val="005373DE"/>
    <w:rsid w:val="00537FCD"/>
    <w:rsid w:val="0054069E"/>
    <w:rsid w:val="00544866"/>
    <w:rsid w:val="0057034F"/>
    <w:rsid w:val="0057546E"/>
    <w:rsid w:val="005767CC"/>
    <w:rsid w:val="00581E37"/>
    <w:rsid w:val="0058685A"/>
    <w:rsid w:val="00590D9F"/>
    <w:rsid w:val="00595D26"/>
    <w:rsid w:val="005A74E6"/>
    <w:rsid w:val="005B404E"/>
    <w:rsid w:val="005B6411"/>
    <w:rsid w:val="005C3372"/>
    <w:rsid w:val="005D46E2"/>
    <w:rsid w:val="005D4D55"/>
    <w:rsid w:val="005D5B59"/>
    <w:rsid w:val="005D6072"/>
    <w:rsid w:val="005E2CFB"/>
    <w:rsid w:val="005F3D1C"/>
    <w:rsid w:val="005F519C"/>
    <w:rsid w:val="006012A4"/>
    <w:rsid w:val="0062378F"/>
    <w:rsid w:val="00633634"/>
    <w:rsid w:val="00641842"/>
    <w:rsid w:val="00645B99"/>
    <w:rsid w:val="006519EB"/>
    <w:rsid w:val="00651EEC"/>
    <w:rsid w:val="006553BD"/>
    <w:rsid w:val="0067234E"/>
    <w:rsid w:val="00691E8C"/>
    <w:rsid w:val="006A22C4"/>
    <w:rsid w:val="006A351B"/>
    <w:rsid w:val="006B0422"/>
    <w:rsid w:val="006C1B53"/>
    <w:rsid w:val="006C530D"/>
    <w:rsid w:val="006D1F4A"/>
    <w:rsid w:val="006D7730"/>
    <w:rsid w:val="006E5284"/>
    <w:rsid w:val="006F3EB5"/>
    <w:rsid w:val="00702E34"/>
    <w:rsid w:val="00704395"/>
    <w:rsid w:val="00705B24"/>
    <w:rsid w:val="00717621"/>
    <w:rsid w:val="00720FF1"/>
    <w:rsid w:val="0072377C"/>
    <w:rsid w:val="007263BE"/>
    <w:rsid w:val="00727A53"/>
    <w:rsid w:val="007377D2"/>
    <w:rsid w:val="00737C78"/>
    <w:rsid w:val="00745560"/>
    <w:rsid w:val="007534C7"/>
    <w:rsid w:val="00753E98"/>
    <w:rsid w:val="00766A49"/>
    <w:rsid w:val="007705DD"/>
    <w:rsid w:val="00773C71"/>
    <w:rsid w:val="00780762"/>
    <w:rsid w:val="00787B42"/>
    <w:rsid w:val="007966B7"/>
    <w:rsid w:val="007B0A00"/>
    <w:rsid w:val="007B3302"/>
    <w:rsid w:val="007C4539"/>
    <w:rsid w:val="007F0A71"/>
    <w:rsid w:val="007F3657"/>
    <w:rsid w:val="007F6198"/>
    <w:rsid w:val="00812ED5"/>
    <w:rsid w:val="00814FF6"/>
    <w:rsid w:val="008265CC"/>
    <w:rsid w:val="00827006"/>
    <w:rsid w:val="008277D9"/>
    <w:rsid w:val="008349C5"/>
    <w:rsid w:val="0084478C"/>
    <w:rsid w:val="0085615F"/>
    <w:rsid w:val="0086638C"/>
    <w:rsid w:val="00870872"/>
    <w:rsid w:val="008A3E8D"/>
    <w:rsid w:val="008A7525"/>
    <w:rsid w:val="008B4800"/>
    <w:rsid w:val="008D6F79"/>
    <w:rsid w:val="008F2081"/>
    <w:rsid w:val="008F7A22"/>
    <w:rsid w:val="009237C4"/>
    <w:rsid w:val="00944C48"/>
    <w:rsid w:val="00950252"/>
    <w:rsid w:val="00967F5D"/>
    <w:rsid w:val="00971075"/>
    <w:rsid w:val="009A0F95"/>
    <w:rsid w:val="009B3ADF"/>
    <w:rsid w:val="009C3B52"/>
    <w:rsid w:val="009C7AEB"/>
    <w:rsid w:val="009D5F8C"/>
    <w:rsid w:val="009E6817"/>
    <w:rsid w:val="009E6A73"/>
    <w:rsid w:val="009E6E9A"/>
    <w:rsid w:val="009E742F"/>
    <w:rsid w:val="00A01D2B"/>
    <w:rsid w:val="00A039D7"/>
    <w:rsid w:val="00A05FE0"/>
    <w:rsid w:val="00A06840"/>
    <w:rsid w:val="00A36796"/>
    <w:rsid w:val="00A37536"/>
    <w:rsid w:val="00A42218"/>
    <w:rsid w:val="00A53A25"/>
    <w:rsid w:val="00A70249"/>
    <w:rsid w:val="00A70B02"/>
    <w:rsid w:val="00A71D9F"/>
    <w:rsid w:val="00A75A19"/>
    <w:rsid w:val="00A80354"/>
    <w:rsid w:val="00A92E9F"/>
    <w:rsid w:val="00AD3DAC"/>
    <w:rsid w:val="00AE360A"/>
    <w:rsid w:val="00AE6173"/>
    <w:rsid w:val="00AE623A"/>
    <w:rsid w:val="00AF036A"/>
    <w:rsid w:val="00B25969"/>
    <w:rsid w:val="00B33BEA"/>
    <w:rsid w:val="00B55035"/>
    <w:rsid w:val="00B57C9F"/>
    <w:rsid w:val="00B63572"/>
    <w:rsid w:val="00B845B3"/>
    <w:rsid w:val="00B84C90"/>
    <w:rsid w:val="00B85D8B"/>
    <w:rsid w:val="00BA1904"/>
    <w:rsid w:val="00BB3ACC"/>
    <w:rsid w:val="00BB4A40"/>
    <w:rsid w:val="00BD6C3E"/>
    <w:rsid w:val="00BE3674"/>
    <w:rsid w:val="00BF3B09"/>
    <w:rsid w:val="00C05FE5"/>
    <w:rsid w:val="00C10681"/>
    <w:rsid w:val="00C3049A"/>
    <w:rsid w:val="00C31B1E"/>
    <w:rsid w:val="00C44C3C"/>
    <w:rsid w:val="00C45FDD"/>
    <w:rsid w:val="00C51304"/>
    <w:rsid w:val="00C52397"/>
    <w:rsid w:val="00C6670C"/>
    <w:rsid w:val="00C77645"/>
    <w:rsid w:val="00CB35E5"/>
    <w:rsid w:val="00CB5FDE"/>
    <w:rsid w:val="00CB6E89"/>
    <w:rsid w:val="00CB6F7D"/>
    <w:rsid w:val="00CC6B3C"/>
    <w:rsid w:val="00CE04C3"/>
    <w:rsid w:val="00CE3241"/>
    <w:rsid w:val="00CE74C0"/>
    <w:rsid w:val="00CE76A0"/>
    <w:rsid w:val="00CF0223"/>
    <w:rsid w:val="00D048D6"/>
    <w:rsid w:val="00D148C6"/>
    <w:rsid w:val="00D17A8A"/>
    <w:rsid w:val="00D26DD3"/>
    <w:rsid w:val="00D30986"/>
    <w:rsid w:val="00D415BA"/>
    <w:rsid w:val="00D644EE"/>
    <w:rsid w:val="00D82DEF"/>
    <w:rsid w:val="00D94D62"/>
    <w:rsid w:val="00DD06FF"/>
    <w:rsid w:val="00DD5FE9"/>
    <w:rsid w:val="00DF7FC1"/>
    <w:rsid w:val="00E00C7A"/>
    <w:rsid w:val="00E03533"/>
    <w:rsid w:val="00E146C2"/>
    <w:rsid w:val="00E254E5"/>
    <w:rsid w:val="00E31FAE"/>
    <w:rsid w:val="00E37D6C"/>
    <w:rsid w:val="00E43A20"/>
    <w:rsid w:val="00E55B68"/>
    <w:rsid w:val="00E67BE6"/>
    <w:rsid w:val="00E828BC"/>
    <w:rsid w:val="00E8683C"/>
    <w:rsid w:val="00E90D83"/>
    <w:rsid w:val="00EA17BB"/>
    <w:rsid w:val="00EA2B72"/>
    <w:rsid w:val="00EB6743"/>
    <w:rsid w:val="00EC1B65"/>
    <w:rsid w:val="00EE4C4F"/>
    <w:rsid w:val="00F00CA2"/>
    <w:rsid w:val="00F05338"/>
    <w:rsid w:val="00F23261"/>
    <w:rsid w:val="00F6753E"/>
    <w:rsid w:val="00F74360"/>
    <w:rsid w:val="00F74C08"/>
    <w:rsid w:val="00F77F25"/>
    <w:rsid w:val="00FB031F"/>
    <w:rsid w:val="00FB462F"/>
    <w:rsid w:val="00FB540A"/>
    <w:rsid w:val="00FB7667"/>
    <w:rsid w:val="00FD1E4C"/>
    <w:rsid w:val="00FE09F9"/>
    <w:rsid w:val="00FE119A"/>
    <w:rsid w:val="00FE16FA"/>
    <w:rsid w:val="00FE328A"/>
    <w:rsid w:val="00FE6030"/>
    <w:rsid w:val="00FE6269"/>
    <w:rsid w:val="00FE79A6"/>
    <w:rsid w:val="013B45A6"/>
    <w:rsid w:val="024F78B5"/>
    <w:rsid w:val="028B4862"/>
    <w:rsid w:val="033B50CF"/>
    <w:rsid w:val="035E700F"/>
    <w:rsid w:val="03C74658"/>
    <w:rsid w:val="03D64DF8"/>
    <w:rsid w:val="03EE3926"/>
    <w:rsid w:val="04260FB1"/>
    <w:rsid w:val="044B07DB"/>
    <w:rsid w:val="05B35A28"/>
    <w:rsid w:val="05CB2C09"/>
    <w:rsid w:val="065C5C18"/>
    <w:rsid w:val="07506C6F"/>
    <w:rsid w:val="075B5D40"/>
    <w:rsid w:val="079714E4"/>
    <w:rsid w:val="08A52C48"/>
    <w:rsid w:val="09FB1114"/>
    <w:rsid w:val="0B8B28A0"/>
    <w:rsid w:val="0B9F1F73"/>
    <w:rsid w:val="0BBE241D"/>
    <w:rsid w:val="0C006EB6"/>
    <w:rsid w:val="0C1F2BBB"/>
    <w:rsid w:val="0C3C0E1E"/>
    <w:rsid w:val="0CCC04F1"/>
    <w:rsid w:val="0D906C46"/>
    <w:rsid w:val="0E387DB2"/>
    <w:rsid w:val="0E4D0DAE"/>
    <w:rsid w:val="0F277D2D"/>
    <w:rsid w:val="128D5516"/>
    <w:rsid w:val="13A16CBF"/>
    <w:rsid w:val="13B011C1"/>
    <w:rsid w:val="13F07810"/>
    <w:rsid w:val="169841F7"/>
    <w:rsid w:val="16DA6555"/>
    <w:rsid w:val="18463EA2"/>
    <w:rsid w:val="18F36B04"/>
    <w:rsid w:val="1AAE59C8"/>
    <w:rsid w:val="1AB47E8B"/>
    <w:rsid w:val="1BFB1946"/>
    <w:rsid w:val="1C5202B2"/>
    <w:rsid w:val="1D413725"/>
    <w:rsid w:val="1D4B5DF7"/>
    <w:rsid w:val="1E0008A6"/>
    <w:rsid w:val="1E401394"/>
    <w:rsid w:val="1E673B11"/>
    <w:rsid w:val="1EC77564"/>
    <w:rsid w:val="1FB27F56"/>
    <w:rsid w:val="20447EB6"/>
    <w:rsid w:val="204739EC"/>
    <w:rsid w:val="211D59BC"/>
    <w:rsid w:val="21521B0A"/>
    <w:rsid w:val="21644D58"/>
    <w:rsid w:val="22F95FB5"/>
    <w:rsid w:val="231837DC"/>
    <w:rsid w:val="23516B3F"/>
    <w:rsid w:val="23B64838"/>
    <w:rsid w:val="244A4D1A"/>
    <w:rsid w:val="244B2840"/>
    <w:rsid w:val="25621A2B"/>
    <w:rsid w:val="25D043BC"/>
    <w:rsid w:val="26123616"/>
    <w:rsid w:val="265F1340"/>
    <w:rsid w:val="266D24DE"/>
    <w:rsid w:val="29652B4F"/>
    <w:rsid w:val="2A091F98"/>
    <w:rsid w:val="2A742AF1"/>
    <w:rsid w:val="2AD976DE"/>
    <w:rsid w:val="2B5461BB"/>
    <w:rsid w:val="2BD60F07"/>
    <w:rsid w:val="2C05674F"/>
    <w:rsid w:val="2C4C3F30"/>
    <w:rsid w:val="2CFA6F22"/>
    <w:rsid w:val="2D594220"/>
    <w:rsid w:val="2D805D60"/>
    <w:rsid w:val="2DB402E6"/>
    <w:rsid w:val="2E2C4C28"/>
    <w:rsid w:val="2ECE479A"/>
    <w:rsid w:val="2F465183"/>
    <w:rsid w:val="2FF4402D"/>
    <w:rsid w:val="308F6174"/>
    <w:rsid w:val="313B15C8"/>
    <w:rsid w:val="31CD7110"/>
    <w:rsid w:val="31FF6978"/>
    <w:rsid w:val="3265738C"/>
    <w:rsid w:val="32F742BF"/>
    <w:rsid w:val="34330B43"/>
    <w:rsid w:val="343B01DB"/>
    <w:rsid w:val="34825821"/>
    <w:rsid w:val="34AF4725"/>
    <w:rsid w:val="36CB6E86"/>
    <w:rsid w:val="36CF7301"/>
    <w:rsid w:val="36FA19CF"/>
    <w:rsid w:val="37AB41E8"/>
    <w:rsid w:val="38C369F1"/>
    <w:rsid w:val="3AC058DE"/>
    <w:rsid w:val="3AC30F2B"/>
    <w:rsid w:val="3BAB2308"/>
    <w:rsid w:val="3BED44B1"/>
    <w:rsid w:val="3C77021F"/>
    <w:rsid w:val="3CDB255C"/>
    <w:rsid w:val="3E1B5959"/>
    <w:rsid w:val="3E285C74"/>
    <w:rsid w:val="3E440139"/>
    <w:rsid w:val="3F8A60AE"/>
    <w:rsid w:val="3FCF203E"/>
    <w:rsid w:val="400718BA"/>
    <w:rsid w:val="407D037A"/>
    <w:rsid w:val="40D4449F"/>
    <w:rsid w:val="414B3FAB"/>
    <w:rsid w:val="41F402F3"/>
    <w:rsid w:val="433C41A2"/>
    <w:rsid w:val="44801C3A"/>
    <w:rsid w:val="45066F11"/>
    <w:rsid w:val="45357ED5"/>
    <w:rsid w:val="46BC2C1F"/>
    <w:rsid w:val="47094169"/>
    <w:rsid w:val="47A0329E"/>
    <w:rsid w:val="47A67D7F"/>
    <w:rsid w:val="486C78B4"/>
    <w:rsid w:val="49ED476D"/>
    <w:rsid w:val="4A3E05CE"/>
    <w:rsid w:val="4A6859CC"/>
    <w:rsid w:val="4AB8212E"/>
    <w:rsid w:val="4B6334A8"/>
    <w:rsid w:val="4BC142C2"/>
    <w:rsid w:val="4C4D2043"/>
    <w:rsid w:val="4D7C5695"/>
    <w:rsid w:val="4DC4703C"/>
    <w:rsid w:val="4DC814FE"/>
    <w:rsid w:val="4FBF11AA"/>
    <w:rsid w:val="4FFA6D45"/>
    <w:rsid w:val="50744D49"/>
    <w:rsid w:val="542A1C84"/>
    <w:rsid w:val="555B3FA7"/>
    <w:rsid w:val="55EC35D4"/>
    <w:rsid w:val="56893385"/>
    <w:rsid w:val="56CA2972"/>
    <w:rsid w:val="57A51C8C"/>
    <w:rsid w:val="588C15CC"/>
    <w:rsid w:val="58973300"/>
    <w:rsid w:val="59715F35"/>
    <w:rsid w:val="599975CF"/>
    <w:rsid w:val="5A0E6CE5"/>
    <w:rsid w:val="5A490FF5"/>
    <w:rsid w:val="5A574B13"/>
    <w:rsid w:val="5B4517BC"/>
    <w:rsid w:val="5C060914"/>
    <w:rsid w:val="5C0A0310"/>
    <w:rsid w:val="5C4467BA"/>
    <w:rsid w:val="5D236733"/>
    <w:rsid w:val="5DDD2180"/>
    <w:rsid w:val="5E6A467A"/>
    <w:rsid w:val="5EB6652D"/>
    <w:rsid w:val="5F891FDB"/>
    <w:rsid w:val="617F59DF"/>
    <w:rsid w:val="61E1377C"/>
    <w:rsid w:val="63302D52"/>
    <w:rsid w:val="64F617CF"/>
    <w:rsid w:val="655140DF"/>
    <w:rsid w:val="66061E56"/>
    <w:rsid w:val="66527698"/>
    <w:rsid w:val="66D31BFA"/>
    <w:rsid w:val="67FD51CC"/>
    <w:rsid w:val="68DB550E"/>
    <w:rsid w:val="69CB5582"/>
    <w:rsid w:val="69CC6D87"/>
    <w:rsid w:val="69F85FA8"/>
    <w:rsid w:val="6C2A6D62"/>
    <w:rsid w:val="6C8528C8"/>
    <w:rsid w:val="6FC83DE4"/>
    <w:rsid w:val="707443C6"/>
    <w:rsid w:val="712A0D03"/>
    <w:rsid w:val="714A76D4"/>
    <w:rsid w:val="716A5681"/>
    <w:rsid w:val="72953EE9"/>
    <w:rsid w:val="73851F3E"/>
    <w:rsid w:val="738B5D82"/>
    <w:rsid w:val="73AE4989"/>
    <w:rsid w:val="75354E5A"/>
    <w:rsid w:val="777110D9"/>
    <w:rsid w:val="778117ED"/>
    <w:rsid w:val="79014D9D"/>
    <w:rsid w:val="79766B8D"/>
    <w:rsid w:val="79D00993"/>
    <w:rsid w:val="7A703A1A"/>
    <w:rsid w:val="7B2E5B8B"/>
    <w:rsid w:val="7BCE5BCC"/>
    <w:rsid w:val="7C946A3E"/>
    <w:rsid w:val="7CC4169E"/>
    <w:rsid w:val="7CE75583"/>
    <w:rsid w:val="7E4E7BA3"/>
    <w:rsid w:val="7E567286"/>
    <w:rsid w:val="7E8F38CA"/>
    <w:rsid w:val="7EC16AFC"/>
    <w:rsid w:val="7F0200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Body Text Indent"/>
    <w:basedOn w:val="1"/>
    <w:next w:val="4"/>
    <w:semiHidden/>
    <w:qFormat/>
    <w:uiPriority w:val="99"/>
    <w:pPr>
      <w:spacing w:after="120"/>
      <w:ind w:left="420" w:leftChars="200"/>
    </w:pPr>
  </w:style>
  <w:style w:type="paragraph" w:styleId="4">
    <w:name w:val="Body Text First Indent 2"/>
    <w:basedOn w:val="3"/>
    <w:next w:val="1"/>
    <w:unhideWhenUsed/>
    <w:qFormat/>
    <w:uiPriority w:val="99"/>
    <w:pPr>
      <w:spacing w:before="100" w:beforeAutospacing="1"/>
      <w:ind w:firstLine="420"/>
    </w:pPr>
    <w:rPr>
      <w:sz w:val="22"/>
    </w:rPr>
  </w:style>
  <w:style w:type="paragraph" w:styleId="5">
    <w:name w:val="Balloon Text"/>
    <w:basedOn w:val="1"/>
    <w:link w:val="18"/>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22"/>
    <w:rPr>
      <w:b/>
    </w:rPr>
  </w:style>
  <w:style w:type="character" w:styleId="13">
    <w:name w:val="Hyperlink"/>
    <w:basedOn w:val="11"/>
    <w:semiHidden/>
    <w:unhideWhenUsed/>
    <w:qFormat/>
    <w:uiPriority w:val="99"/>
    <w:rPr>
      <w:color w:val="0000FF"/>
      <w:u w:val="single"/>
    </w:rPr>
  </w:style>
  <w:style w:type="character" w:customStyle="1" w:styleId="14">
    <w:name w:val="页眉 Char"/>
    <w:basedOn w:val="11"/>
    <w:link w:val="7"/>
    <w:qFormat/>
    <w:uiPriority w:val="99"/>
    <w:rPr>
      <w:sz w:val="18"/>
      <w:szCs w:val="18"/>
    </w:rPr>
  </w:style>
  <w:style w:type="character" w:customStyle="1" w:styleId="15">
    <w:name w:val="页脚 Char"/>
    <w:basedOn w:val="11"/>
    <w:link w:val="6"/>
    <w:qFormat/>
    <w:uiPriority w:val="99"/>
    <w:rPr>
      <w:sz w:val="18"/>
      <w:szCs w:val="18"/>
    </w:rPr>
  </w:style>
  <w:style w:type="paragraph" w:customStyle="1" w:styleId="16">
    <w:name w:val="Default"/>
    <w:qFormat/>
    <w:uiPriority w:val="99"/>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7">
    <w:name w:val="List Paragraph"/>
    <w:basedOn w:val="1"/>
    <w:qFormat/>
    <w:uiPriority w:val="34"/>
    <w:pPr>
      <w:ind w:firstLine="420" w:firstLineChars="200"/>
    </w:pPr>
  </w:style>
  <w:style w:type="character" w:customStyle="1" w:styleId="18">
    <w:name w:val="批注框文本 Char"/>
    <w:basedOn w:val="11"/>
    <w:link w:val="5"/>
    <w:semiHidden/>
    <w:qFormat/>
    <w:uiPriority w:val="99"/>
    <w:rPr>
      <w:sz w:val="18"/>
      <w:szCs w:val="18"/>
    </w:rPr>
  </w:style>
  <w:style w:type="character" w:customStyle="1" w:styleId="19">
    <w:name w:val="文档结构图 Char"/>
    <w:basedOn w:val="11"/>
    <w:link w:val="2"/>
    <w:semiHidden/>
    <w:qFormat/>
    <w:uiPriority w:val="99"/>
    <w:rPr>
      <w:rFonts w:ascii="宋体" w:hAnsiTheme="minorHAnsi" w:cstheme="minorBidi"/>
      <w:kern w:val="2"/>
      <w:sz w:val="18"/>
      <w:szCs w:val="18"/>
    </w:rPr>
  </w:style>
  <w:style w:type="character" w:customStyle="1" w:styleId="20">
    <w:name w:val="font31"/>
    <w:basedOn w:val="1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43</Pages>
  <Words>5922</Words>
  <Characters>7835</Characters>
  <Lines>185</Lines>
  <Paragraphs>52</Paragraphs>
  <TotalTime>36</TotalTime>
  <ScaleCrop>false</ScaleCrop>
  <LinksUpToDate>false</LinksUpToDate>
  <CharactersWithSpaces>8061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2023-08-02T16:00:00Z</dcterms:created>
  <dc:creator>李航 null</dc:creator>
  <cp:lastModifiedBy>Administrator</cp:lastModifiedBy>
  <cp:lastPrinted>2024-08-01T15:29:00Z</cp:lastPrinted>
  <dcterms:modified xsi:type="dcterms:W3CDTF">2025-09-26T01:24:35Z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E12DA12A311949E79DD377D3AD98CF8E_13</vt:lpwstr>
  </property>
  <property fmtid="{D5CDD505-2E9C-101B-9397-08002B2CF9AE}" pid="4" name="KSOTemplateDocerSaveRecord">
    <vt:lpwstr>eyJoZGlkIjoiZTM4OWMzNGNiZmU2NGVkOTVlNmRiN2M1M2YzNzVmMzQifQ==</vt:lpwstr>
  </property>
</Properties>
</file>