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lang w:eastAsia="zh-CN"/>
        </w:rPr>
        <w:t>2024</w:t>
      </w:r>
      <w:r>
        <w:rPr>
          <w:rFonts w:hint="eastAsia" w:ascii="方正小标宋_GBK" w:hAnsi="方正小标宋_GBK" w:eastAsia="方正小标宋_GBK" w:cs="方正小标宋_GBK"/>
          <w:kern w:val="0"/>
          <w:sz w:val="84"/>
          <w:szCs w:val="84"/>
        </w:rPr>
        <w:t>年度</w:t>
      </w:r>
    </w:p>
    <w:p>
      <w:pPr>
        <w:pStyle w:val="18"/>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湘潭县工商业联合会部门决算</w:t>
      </w: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center"/>
        <w:rPr>
          <w:b/>
          <w:bCs/>
          <w:sz w:val="36"/>
          <w:szCs w:val="36"/>
        </w:rPr>
      </w:pPr>
    </w:p>
    <w:p>
      <w:pPr>
        <w:pStyle w:val="18"/>
        <w:spacing w:line="500" w:lineRule="exact"/>
        <w:jc w:val="both"/>
        <w:rPr>
          <w:b/>
          <w:bCs/>
          <w:sz w:val="36"/>
          <w:szCs w:val="36"/>
        </w:rPr>
      </w:pPr>
    </w:p>
    <w:p>
      <w:pPr>
        <w:pStyle w:val="18"/>
        <w:spacing w:line="500" w:lineRule="exact"/>
        <w:jc w:val="center"/>
        <w:rPr>
          <w:rFonts w:cs="Times New Roman"/>
          <w:b/>
          <w:bCs/>
          <w:sz w:val="36"/>
          <w:szCs w:val="36"/>
        </w:rPr>
      </w:pPr>
      <w:r>
        <w:rPr>
          <w:rFonts w:hint="eastAsia"/>
          <w:b/>
          <w:bCs/>
          <w:sz w:val="36"/>
          <w:szCs w:val="36"/>
        </w:rPr>
        <w:t>目 录</w:t>
      </w:r>
    </w:p>
    <w:p>
      <w:pPr>
        <w:pStyle w:val="18"/>
        <w:spacing w:line="460" w:lineRule="exact"/>
        <w:rPr>
          <w:rFonts w:hAnsi="黑体"/>
          <w:b/>
          <w:bCs/>
          <w:color w:val="auto"/>
          <w:sz w:val="32"/>
          <w:szCs w:val="32"/>
        </w:rPr>
      </w:pPr>
    </w:p>
    <w:p>
      <w:pPr>
        <w:pStyle w:val="18"/>
        <w:spacing w:line="500" w:lineRule="exact"/>
        <w:rPr>
          <w:rFonts w:hint="eastAsia" w:ascii="黑体" w:hAnsi="黑体" w:eastAsia="黑体" w:cs="黑体"/>
          <w:b w:val="0"/>
          <w:bCs/>
          <w:kern w:val="0"/>
          <w:sz w:val="28"/>
          <w:szCs w:val="28"/>
        </w:rPr>
      </w:pPr>
      <w:r>
        <w:rPr>
          <w:rFonts w:hint="eastAsia" w:ascii="黑体" w:hAnsi="黑体" w:eastAsia="黑体" w:cs="黑体"/>
          <w:b w:val="0"/>
          <w:bCs/>
          <w:kern w:val="0"/>
          <w:sz w:val="28"/>
          <w:szCs w:val="28"/>
        </w:rPr>
        <w:t>第一部分 湘潭县工商业联合会单位概况</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一、部门职责</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二、机构设置</w:t>
      </w:r>
    </w:p>
    <w:p>
      <w:pPr>
        <w:pStyle w:val="18"/>
        <w:spacing w:line="500" w:lineRule="exact"/>
        <w:rPr>
          <w:rFonts w:hint="eastAsia" w:ascii="黑体" w:hAnsi="黑体" w:eastAsia="黑体" w:cs="黑体"/>
          <w:b w:val="0"/>
          <w:bCs/>
          <w:kern w:val="0"/>
          <w:sz w:val="28"/>
          <w:szCs w:val="28"/>
        </w:rPr>
      </w:pPr>
      <w:r>
        <w:rPr>
          <w:rFonts w:hint="eastAsia" w:ascii="黑体" w:hAnsi="黑体" w:eastAsia="黑体" w:cs="黑体"/>
          <w:b w:val="0"/>
          <w:bCs/>
          <w:kern w:val="0"/>
          <w:sz w:val="28"/>
          <w:szCs w:val="28"/>
        </w:rPr>
        <w:t xml:space="preserve">第二部分 </w:t>
      </w:r>
      <w:r>
        <w:rPr>
          <w:rFonts w:hint="eastAsia" w:hAnsi="黑体" w:cs="黑体"/>
          <w:b w:val="0"/>
          <w:bCs/>
          <w:kern w:val="0"/>
          <w:sz w:val="28"/>
          <w:szCs w:val="28"/>
          <w:lang w:eastAsia="zh-CN"/>
        </w:rPr>
        <w:t>2024</w:t>
      </w:r>
      <w:r>
        <w:rPr>
          <w:rFonts w:hint="eastAsia" w:ascii="黑体" w:hAnsi="黑体" w:eastAsia="黑体" w:cs="黑体"/>
          <w:b w:val="0"/>
          <w:bCs/>
          <w:kern w:val="0"/>
          <w:sz w:val="28"/>
          <w:szCs w:val="28"/>
        </w:rPr>
        <w:t>年度部门决算表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一、收入支出决算总表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二、收入决算表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三、支出决算表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四、财政拨款收入支出决算总表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五、一般公共预算财政拨款支出决算表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六、一般公共预算财政拨款基本支出决算表</w:t>
      </w:r>
    </w:p>
    <w:p>
      <w:pPr>
        <w:pStyle w:val="18"/>
        <w:spacing w:line="500" w:lineRule="exact"/>
        <w:ind w:firstLine="700" w:firstLineChars="250"/>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七、政府性基金预算财政拨款收入支出决算表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八、国有资本经营预算财政拨款支出决算表</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九、财政拨款“三公”经费支出决算表</w:t>
      </w:r>
    </w:p>
    <w:p>
      <w:pPr>
        <w:pStyle w:val="18"/>
        <w:spacing w:line="500" w:lineRule="exact"/>
        <w:rPr>
          <w:rFonts w:hint="eastAsia" w:ascii="黑体" w:hAnsi="黑体" w:eastAsia="黑体" w:cs="黑体"/>
          <w:b w:val="0"/>
          <w:bCs/>
          <w:kern w:val="0"/>
          <w:sz w:val="28"/>
          <w:szCs w:val="28"/>
        </w:rPr>
      </w:pPr>
      <w:r>
        <w:rPr>
          <w:rFonts w:hint="eastAsia" w:ascii="黑体" w:hAnsi="黑体" w:eastAsia="黑体" w:cs="黑体"/>
          <w:b w:val="0"/>
          <w:bCs/>
          <w:kern w:val="0"/>
          <w:sz w:val="28"/>
          <w:szCs w:val="28"/>
        </w:rPr>
        <w:t xml:space="preserve">第三部分 </w:t>
      </w:r>
      <w:r>
        <w:rPr>
          <w:rFonts w:hint="eastAsia" w:hAnsi="黑体" w:cs="黑体"/>
          <w:b w:val="0"/>
          <w:bCs/>
          <w:kern w:val="0"/>
          <w:sz w:val="28"/>
          <w:szCs w:val="28"/>
          <w:lang w:eastAsia="zh-CN"/>
        </w:rPr>
        <w:t>2024</w:t>
      </w:r>
      <w:r>
        <w:rPr>
          <w:rFonts w:hint="eastAsia" w:ascii="黑体" w:hAnsi="黑体" w:eastAsia="黑体" w:cs="黑体"/>
          <w:b w:val="0"/>
          <w:bCs/>
          <w:kern w:val="0"/>
          <w:sz w:val="28"/>
          <w:szCs w:val="28"/>
        </w:rPr>
        <w:t>年度部门决算情况说明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一、收入支出决算总体情况说明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二、收入决算情况说明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三、支出决算情况说明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四、财政拨款收入支出决算总体情况说明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五、一般公共预算财政拨款支出决算情况说明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六、一般公共预算财政拨款基本支出决算情况说明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七、一般公共预算财政拨款</w:t>
      </w:r>
      <w:r>
        <w:rPr>
          <w:rFonts w:hint="eastAsia" w:ascii="仿宋_GB2312" w:hAnsi="仿宋_GB2312" w:eastAsia="仿宋_GB2312" w:cs="仿宋_GB2312"/>
          <w:kern w:val="0"/>
          <w:sz w:val="28"/>
          <w:szCs w:val="28"/>
          <w:lang w:eastAsia="zh-CN"/>
        </w:rPr>
        <w:t>“三公”经费</w:t>
      </w:r>
      <w:r>
        <w:rPr>
          <w:rFonts w:hint="eastAsia" w:ascii="仿宋_GB2312" w:hAnsi="仿宋_GB2312" w:eastAsia="仿宋_GB2312" w:cs="仿宋_GB2312"/>
          <w:kern w:val="0"/>
          <w:sz w:val="28"/>
          <w:szCs w:val="28"/>
        </w:rPr>
        <w:t>支出决算情况说明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八、政府性基金预算收入支出决算情况</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九、关于机关运行经费支出说明</w:t>
      </w:r>
    </w:p>
    <w:p>
      <w:pPr>
        <w:pStyle w:val="18"/>
        <w:spacing w:line="500" w:lineRule="exact"/>
        <w:ind w:firstLine="700" w:firstLineChars="25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十、一般性支出情况</w:t>
      </w:r>
      <w:r>
        <w:rPr>
          <w:rFonts w:hint="eastAsia" w:ascii="仿宋_GB2312" w:hAnsi="仿宋_GB2312" w:eastAsia="仿宋_GB2312" w:cs="仿宋_GB2312"/>
          <w:kern w:val="0"/>
          <w:sz w:val="28"/>
          <w:szCs w:val="28"/>
          <w:lang w:val="en-US" w:eastAsia="zh-CN"/>
        </w:rPr>
        <w:t>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十一、关于政府采购支出说明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十二、关于国有资产占用情况说明</w:t>
      </w:r>
    </w:p>
    <w:p>
      <w:pPr>
        <w:pStyle w:val="18"/>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十三、关于</w:t>
      </w:r>
      <w:r>
        <w:rPr>
          <w:rFonts w:hint="eastAsia" w:ascii="仿宋_GB2312" w:hAnsi="仿宋_GB2312" w:eastAsia="仿宋_GB2312" w:cs="仿宋_GB2312"/>
          <w:kern w:val="0"/>
          <w:sz w:val="28"/>
          <w:szCs w:val="28"/>
          <w:lang w:eastAsia="zh-CN"/>
        </w:rPr>
        <w:t>2024</w:t>
      </w:r>
      <w:r>
        <w:rPr>
          <w:rFonts w:hint="eastAsia" w:ascii="仿宋_GB2312" w:hAnsi="仿宋_GB2312" w:eastAsia="仿宋_GB2312" w:cs="仿宋_GB2312"/>
          <w:kern w:val="0"/>
          <w:sz w:val="28"/>
          <w:szCs w:val="28"/>
        </w:rPr>
        <w:t>年度预算绩效情况的说明</w:t>
      </w:r>
    </w:p>
    <w:p>
      <w:pPr>
        <w:pStyle w:val="18"/>
        <w:spacing w:line="500" w:lineRule="exact"/>
        <w:rPr>
          <w:rFonts w:hint="eastAsia" w:ascii="黑体" w:hAnsi="黑体" w:eastAsia="黑体" w:cs="黑体"/>
          <w:b w:val="0"/>
          <w:bCs/>
          <w:kern w:val="0"/>
          <w:sz w:val="28"/>
          <w:szCs w:val="28"/>
        </w:rPr>
      </w:pPr>
      <w:r>
        <w:rPr>
          <w:rFonts w:hint="eastAsia" w:ascii="黑体" w:hAnsi="黑体" w:eastAsia="黑体" w:cs="黑体"/>
          <w:b w:val="0"/>
          <w:bCs/>
          <w:kern w:val="0"/>
          <w:sz w:val="28"/>
          <w:szCs w:val="28"/>
        </w:rPr>
        <w:t>第四部分 名词解释</w:t>
      </w:r>
    </w:p>
    <w:p>
      <w:pPr>
        <w:pStyle w:val="18"/>
        <w:spacing w:line="500" w:lineRule="exact"/>
        <w:rPr>
          <w:rFonts w:hint="eastAsia" w:ascii="黑体" w:hAnsi="黑体" w:eastAsia="黑体" w:cs="黑体"/>
          <w:b w:val="0"/>
          <w:bCs/>
          <w:kern w:val="0"/>
          <w:sz w:val="28"/>
          <w:szCs w:val="28"/>
        </w:rPr>
      </w:pPr>
      <w:r>
        <w:rPr>
          <w:rFonts w:hint="eastAsia" w:ascii="黑体" w:hAnsi="黑体" w:eastAsia="黑体" w:cs="黑体"/>
          <w:b w:val="0"/>
          <w:bCs/>
          <w:kern w:val="0"/>
          <w:sz w:val="28"/>
          <w:szCs w:val="28"/>
        </w:rPr>
        <w:t>第五部分 附件</w:t>
      </w: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widowControl/>
        <w:spacing w:line="600" w:lineRule="exact"/>
        <w:jc w:val="center"/>
        <w:outlineLvl w:val="0"/>
        <w:rPr>
          <w:rFonts w:ascii="黑体" w:hAnsi="黑体" w:eastAsia="黑体" w:cs="黑体"/>
          <w:b/>
          <w:kern w:val="0"/>
          <w:sz w:val="44"/>
          <w:szCs w:val="44"/>
        </w:rPr>
      </w:pPr>
    </w:p>
    <w:p>
      <w:pPr>
        <w:pStyle w:val="14"/>
        <w:rPr>
          <w:rFonts w:ascii="黑体" w:hAnsi="黑体" w:eastAsia="黑体" w:cs="黑体"/>
          <w:b/>
          <w:kern w:val="0"/>
          <w:sz w:val="44"/>
          <w:szCs w:val="44"/>
        </w:rPr>
      </w:pPr>
    </w:p>
    <w:p>
      <w:pPr>
        <w:pStyle w:val="14"/>
        <w:rPr>
          <w:rFonts w:ascii="黑体" w:hAnsi="黑体" w:eastAsia="黑体" w:cs="黑体"/>
          <w:b/>
          <w:kern w:val="0"/>
          <w:sz w:val="44"/>
          <w:szCs w:val="44"/>
        </w:rPr>
      </w:pPr>
    </w:p>
    <w:p>
      <w:pPr>
        <w:pStyle w:val="18"/>
        <w:jc w:val="center"/>
        <w:rPr>
          <w:rFonts w:hint="eastAsia" w:ascii="方正小标宋_GBK" w:hAnsi="方正小标宋_GBK" w:eastAsia="方正小标宋_GBK" w:cs="方正小标宋_GBK"/>
          <w:kern w:val="0"/>
          <w:sz w:val="84"/>
          <w:szCs w:val="84"/>
        </w:rPr>
      </w:pPr>
    </w:p>
    <w:p>
      <w:pPr>
        <w:pStyle w:val="18"/>
        <w:jc w:val="center"/>
        <w:rPr>
          <w:rFonts w:hint="eastAsia" w:ascii="方正小标宋_GBK" w:hAnsi="方正小标宋_GBK" w:eastAsia="方正小标宋_GBK" w:cs="方正小标宋_GBK"/>
          <w:kern w:val="0"/>
          <w:sz w:val="84"/>
          <w:szCs w:val="84"/>
        </w:rPr>
      </w:pPr>
    </w:p>
    <w:p>
      <w:pPr>
        <w:pStyle w:val="18"/>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 xml:space="preserve">第一部分 </w:t>
      </w:r>
    </w:p>
    <w:p>
      <w:pPr>
        <w:pStyle w:val="18"/>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湘潭县工商业联合会单位概况</w:t>
      </w:r>
    </w:p>
    <w:p>
      <w:pPr>
        <w:pStyle w:val="19"/>
        <w:ind w:left="720" w:firstLine="0" w:firstLineChars="0"/>
        <w:jc w:val="left"/>
        <w:rPr>
          <w:rFonts w:ascii="黑体" w:hAnsi="黑体" w:eastAsia="黑体" w:cs="Times New Roman"/>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rPr>
          <w:rFonts w:hint="eastAsia" w:ascii="黑体" w:hAnsi="黑体" w:eastAsia="黑体"/>
          <w:bCs/>
          <w:kern w:val="0"/>
          <w:sz w:val="32"/>
          <w:szCs w:val="32"/>
        </w:rPr>
      </w:pPr>
    </w:p>
    <w:p>
      <w:pPr>
        <w:ind w:firstLine="640" w:firstLineChars="200"/>
        <w:rPr>
          <w:rFonts w:ascii="黑体" w:hAnsi="黑体" w:eastAsia="黑体" w:cs="Times New Roman"/>
          <w:bCs/>
          <w:kern w:val="0"/>
          <w:sz w:val="32"/>
          <w:szCs w:val="32"/>
        </w:rPr>
      </w:pPr>
      <w:r>
        <w:rPr>
          <w:rFonts w:hint="eastAsia" w:ascii="黑体" w:hAnsi="黑体" w:eastAsia="黑体"/>
          <w:bCs/>
          <w:kern w:val="0"/>
          <w:sz w:val="32"/>
          <w:szCs w:val="32"/>
        </w:rPr>
        <w:t>一、部门</w:t>
      </w:r>
      <w:r>
        <w:rPr>
          <w:rFonts w:hint="eastAsia" w:ascii="黑体" w:hAnsi="黑体" w:eastAsia="黑体" w:cs="Times New Roman"/>
          <w:bCs/>
          <w:kern w:val="0"/>
          <w:sz w:val="32"/>
          <w:szCs w:val="32"/>
        </w:rPr>
        <w:t>职责</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（一）参与全县经济和社会发展中的重要问题的政治协商，发挥民主监督的作用，参政议政；</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（二）引导会员积极参加国家经济建设，推动社会主义市场经济体制逐步完善，促进社会全面发展；</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（三）做工商界代表人士的政治安排、推荐工作；</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（四）宣传贯彻党和国家的方针政策，加强和改进思想政治工作，提高会员素质，培养积极分子队伍；</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（五）代表并维护会员的合法权益，反映会员的意见、要求和建议；</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（六）为会员提供信息和科技、管理、法律、会计、审计、融资、咨询等服务；</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（七）开展专业知识培训；</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（八）组织会员参加各种对外交流活动，组织会员考察访问，帮助会员开拓国内、国际市场。</w:t>
      </w:r>
    </w:p>
    <w:p>
      <w:pPr>
        <w:widowControl/>
        <w:spacing w:line="600" w:lineRule="exact"/>
        <w:ind w:firstLine="640" w:firstLineChars="200"/>
        <w:outlineLvl w:val="1"/>
        <w:rPr>
          <w:rFonts w:ascii="黑体" w:hAnsi="黑体" w:eastAsia="黑体" w:cs="Times New Roman"/>
          <w:bCs/>
          <w:kern w:val="0"/>
          <w:sz w:val="32"/>
          <w:szCs w:val="32"/>
        </w:rPr>
      </w:pPr>
      <w:r>
        <w:rPr>
          <w:rFonts w:hint="eastAsia" w:ascii="黑体" w:hAnsi="黑体" w:eastAsia="黑体" w:cs="Times New Roman"/>
          <w:bCs/>
          <w:kern w:val="0"/>
          <w:sz w:val="32"/>
          <w:szCs w:val="32"/>
        </w:rPr>
        <w:t>二、机构设置及决算单位构成</w:t>
      </w:r>
    </w:p>
    <w:p>
      <w:pPr>
        <w:widowControl/>
        <w:spacing w:line="600" w:lineRule="exact"/>
        <w:ind w:firstLine="643" w:firstLineChars="200"/>
        <w:rPr>
          <w:rFonts w:ascii="Times New Roman" w:hAnsi="Times New Roman" w:eastAsia="仿宋_GB2312" w:cs="Times New Roman"/>
          <w:bCs/>
          <w:kern w:val="0"/>
          <w:sz w:val="32"/>
          <w:szCs w:val="32"/>
        </w:rPr>
      </w:pPr>
      <w:r>
        <w:rPr>
          <w:rFonts w:hint="eastAsia" w:ascii="Times New Roman" w:hAnsi="Times New Roman" w:eastAsia="仿宋_GB2312" w:cs="Times New Roman"/>
          <w:b/>
          <w:kern w:val="0"/>
          <w:sz w:val="32"/>
          <w:szCs w:val="32"/>
        </w:rPr>
        <w:t>（一）内设机构设置。</w:t>
      </w:r>
      <w:r>
        <w:rPr>
          <w:rFonts w:hint="eastAsia" w:ascii="Times New Roman" w:hAnsi="Times New Roman" w:eastAsia="仿宋_GB2312" w:cs="Times New Roman"/>
          <w:bCs/>
          <w:kern w:val="0"/>
          <w:sz w:val="32"/>
          <w:szCs w:val="32"/>
        </w:rPr>
        <w:t>湘潭县工商业联合会单位内设机构包括：湘潭县工商业联合会机关编制</w:t>
      </w:r>
      <w:r>
        <w:rPr>
          <w:rFonts w:hint="eastAsia" w:ascii="Times New Roman" w:hAnsi="Times New Roman" w:eastAsia="仿宋_GB2312" w:cs="Times New Roman"/>
          <w:bCs/>
          <w:kern w:val="0"/>
          <w:sz w:val="32"/>
          <w:szCs w:val="32"/>
          <w:lang w:val="en-US" w:eastAsia="zh-CN"/>
        </w:rPr>
        <w:t>9</w:t>
      </w:r>
      <w:r>
        <w:rPr>
          <w:rFonts w:hint="eastAsia" w:ascii="Times New Roman" w:hAnsi="Times New Roman" w:eastAsia="仿宋_GB2312" w:cs="Times New Roman"/>
          <w:bCs/>
          <w:kern w:val="0"/>
          <w:sz w:val="32"/>
          <w:szCs w:val="32"/>
        </w:rPr>
        <w:t>名</w:t>
      </w:r>
      <w:r>
        <w:rPr>
          <w:rFonts w:hint="eastAsia" w:ascii="Times New Roman" w:hAnsi="Times New Roman" w:eastAsia="仿宋_GB2312" w:cs="Times New Roman"/>
          <w:bCs/>
          <w:kern w:val="0"/>
          <w:sz w:val="32"/>
          <w:szCs w:val="32"/>
          <w:lang w:eastAsia="zh-CN"/>
        </w:rPr>
        <w:t>，</w:t>
      </w:r>
      <w:r>
        <w:rPr>
          <w:rFonts w:hint="eastAsia" w:ascii="Times New Roman" w:hAnsi="Times New Roman" w:eastAsia="仿宋_GB2312" w:cs="Times New Roman"/>
          <w:bCs/>
          <w:kern w:val="0"/>
          <w:sz w:val="32"/>
          <w:szCs w:val="32"/>
        </w:rPr>
        <w:t>实有在职人员</w:t>
      </w:r>
      <w:r>
        <w:rPr>
          <w:rFonts w:hint="eastAsia" w:ascii="Times New Roman" w:hAnsi="Times New Roman" w:eastAsia="仿宋_GB2312" w:cs="Times New Roman"/>
          <w:bCs/>
          <w:kern w:val="0"/>
          <w:sz w:val="32"/>
          <w:szCs w:val="32"/>
          <w:lang w:val="en-US" w:eastAsia="zh-CN"/>
        </w:rPr>
        <w:t>10</w:t>
      </w:r>
      <w:r>
        <w:rPr>
          <w:rFonts w:hint="eastAsia" w:ascii="Times New Roman" w:hAnsi="Times New Roman" w:eastAsia="仿宋_GB2312" w:cs="Times New Roman"/>
          <w:bCs/>
          <w:kern w:val="0"/>
          <w:sz w:val="32"/>
          <w:szCs w:val="32"/>
        </w:rPr>
        <w:t>人</w:t>
      </w:r>
      <w:r>
        <w:rPr>
          <w:rFonts w:hint="eastAsia" w:ascii="Times New Roman" w:hAnsi="Times New Roman" w:eastAsia="仿宋_GB2312" w:cs="Times New Roman"/>
          <w:bCs/>
          <w:kern w:val="0"/>
          <w:sz w:val="32"/>
          <w:szCs w:val="32"/>
          <w:lang w:eastAsia="zh-CN"/>
        </w:rPr>
        <w:t>（其中人事代理人员</w:t>
      </w:r>
      <w:r>
        <w:rPr>
          <w:rFonts w:hint="eastAsia" w:ascii="Times New Roman" w:hAnsi="Times New Roman" w:eastAsia="仿宋_GB2312" w:cs="Times New Roman"/>
          <w:bCs/>
          <w:kern w:val="0"/>
          <w:sz w:val="32"/>
          <w:szCs w:val="32"/>
          <w:lang w:val="en-US" w:eastAsia="zh-CN"/>
        </w:rPr>
        <w:t>1人），退休人员10人</w:t>
      </w:r>
      <w:r>
        <w:rPr>
          <w:rFonts w:hint="eastAsia" w:ascii="Times New Roman" w:hAnsi="Times New Roman" w:eastAsia="仿宋_GB2312" w:cs="Times New Roman"/>
          <w:bCs/>
          <w:kern w:val="0"/>
          <w:sz w:val="32"/>
          <w:szCs w:val="32"/>
        </w:rPr>
        <w:t>。领导组成：主席1人、党组书记（兼副会长）1人、副主席</w:t>
      </w:r>
      <w:r>
        <w:rPr>
          <w:rFonts w:hint="eastAsia" w:ascii="Times New Roman" w:hAnsi="Times New Roman" w:eastAsia="仿宋_GB2312" w:cs="Times New Roman"/>
          <w:bCs/>
          <w:kern w:val="0"/>
          <w:sz w:val="32"/>
          <w:szCs w:val="32"/>
          <w:lang w:eastAsia="zh-CN"/>
        </w:rPr>
        <w:t>（兼副会长）</w:t>
      </w:r>
      <w:r>
        <w:rPr>
          <w:rFonts w:hint="eastAsia" w:ascii="Times New Roman" w:hAnsi="Times New Roman" w:eastAsia="仿宋_GB2312" w:cs="Times New Roman"/>
          <w:bCs/>
          <w:kern w:val="0"/>
          <w:sz w:val="32"/>
          <w:szCs w:val="32"/>
        </w:rPr>
        <w:t>1人，下设办公室。</w:t>
      </w:r>
    </w:p>
    <w:p>
      <w:pPr>
        <w:widowControl/>
        <w:spacing w:line="600" w:lineRule="exact"/>
        <w:ind w:firstLine="643" w:firstLineChars="200"/>
        <w:rPr>
          <w:rFonts w:ascii="Times New Roman" w:hAnsi="Times New Roman" w:eastAsia="仿宋_GB2312" w:cs="Times New Roman"/>
          <w:bCs/>
          <w:kern w:val="0"/>
          <w:sz w:val="32"/>
          <w:szCs w:val="32"/>
        </w:rPr>
      </w:pPr>
      <w:r>
        <w:rPr>
          <w:rFonts w:hint="eastAsia" w:ascii="Times New Roman" w:hAnsi="Times New Roman" w:eastAsia="仿宋_GB2312" w:cs="Times New Roman"/>
          <w:b/>
          <w:kern w:val="0"/>
          <w:sz w:val="32"/>
          <w:szCs w:val="32"/>
        </w:rPr>
        <w:t>（二）决算单位构成。</w:t>
      </w:r>
      <w:r>
        <w:rPr>
          <w:rFonts w:hint="eastAsia" w:ascii="Times New Roman" w:hAnsi="Times New Roman" w:eastAsia="仿宋_GB2312" w:cs="Times New Roman"/>
          <w:bCs/>
          <w:kern w:val="0"/>
          <w:sz w:val="32"/>
          <w:szCs w:val="32"/>
        </w:rPr>
        <w:t>湘潭县工商业联合会</w:t>
      </w:r>
      <w:r>
        <w:rPr>
          <w:rFonts w:hint="eastAsia" w:ascii="Times New Roman" w:hAnsi="Times New Roman" w:eastAsia="仿宋_GB2312" w:cs="Times New Roman"/>
          <w:bCs/>
          <w:kern w:val="0"/>
          <w:sz w:val="32"/>
          <w:szCs w:val="32"/>
          <w:lang w:eastAsia="zh-CN"/>
        </w:rPr>
        <w:t>2024</w:t>
      </w:r>
      <w:r>
        <w:rPr>
          <w:rFonts w:hint="eastAsia" w:ascii="Times New Roman" w:hAnsi="Times New Roman" w:eastAsia="仿宋_GB2312" w:cs="Times New Roman"/>
          <w:bCs/>
          <w:kern w:val="0"/>
          <w:sz w:val="32"/>
          <w:szCs w:val="32"/>
        </w:rPr>
        <w:t>年部门决算汇总公开单位构成包括：湘潭县工商业联合会本级。</w:t>
      </w:r>
    </w:p>
    <w:p>
      <w:pPr>
        <w:jc w:val="center"/>
        <w:rPr>
          <w:rFonts w:ascii="黑体" w:hAnsi="黑体" w:eastAsia="黑体" w:cs="Times New Roman"/>
          <w:sz w:val="28"/>
          <w:szCs w:val="28"/>
        </w:rPr>
      </w:pPr>
      <w:r>
        <w:rPr>
          <w:rFonts w:ascii="宋体" w:hAnsi="宋体" w:cs="宋体"/>
          <w:kern w:val="0"/>
          <w:sz w:val="32"/>
          <w:szCs w:val="32"/>
        </w:rPr>
        <w:br w:type="page"/>
      </w:r>
    </w:p>
    <w:p>
      <w:pPr>
        <w:pStyle w:val="18"/>
        <w:jc w:val="center"/>
        <w:rPr>
          <w:rFonts w:hint="eastAsia" w:ascii="方正小标宋_GBK" w:hAnsi="方正小标宋_GBK" w:eastAsia="方正小标宋_GBK" w:cs="方正小标宋_GBK"/>
          <w:kern w:val="0"/>
          <w:sz w:val="84"/>
          <w:szCs w:val="84"/>
        </w:rPr>
      </w:pPr>
    </w:p>
    <w:p>
      <w:pPr>
        <w:pStyle w:val="18"/>
        <w:jc w:val="center"/>
        <w:rPr>
          <w:rFonts w:hint="eastAsia" w:ascii="方正小标宋_GBK" w:hAnsi="方正小标宋_GBK" w:eastAsia="方正小标宋_GBK" w:cs="方正小标宋_GBK"/>
          <w:kern w:val="0"/>
          <w:sz w:val="84"/>
          <w:szCs w:val="84"/>
        </w:rPr>
      </w:pPr>
    </w:p>
    <w:p>
      <w:pPr>
        <w:pStyle w:val="18"/>
        <w:jc w:val="center"/>
        <w:rPr>
          <w:rFonts w:hint="eastAsia" w:ascii="方正小标宋_GBK" w:hAnsi="方正小标宋_GBK" w:eastAsia="方正小标宋_GBK" w:cs="方正小标宋_GBK"/>
          <w:kern w:val="0"/>
          <w:sz w:val="84"/>
          <w:szCs w:val="84"/>
        </w:rPr>
      </w:pPr>
    </w:p>
    <w:p>
      <w:pPr>
        <w:pStyle w:val="18"/>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 xml:space="preserve">第二部分 </w:t>
      </w:r>
    </w:p>
    <w:p>
      <w:pPr>
        <w:pStyle w:val="18"/>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部门决算表</w:t>
      </w: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12"/>
        <w:tblW w:w="14081" w:type="dxa"/>
        <w:tblInd w:w="-106" w:type="dxa"/>
        <w:tblLayout w:type="fixed"/>
        <w:tblCellMar>
          <w:top w:w="0" w:type="dxa"/>
          <w:left w:w="108" w:type="dxa"/>
          <w:bottom w:w="0" w:type="dxa"/>
          <w:right w:w="108" w:type="dxa"/>
        </w:tblCellMar>
      </w:tblPr>
      <w:tblGrid>
        <w:gridCol w:w="4126"/>
        <w:gridCol w:w="449"/>
        <w:gridCol w:w="631"/>
        <w:gridCol w:w="697"/>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黑体" w:hAnsi="黑体" w:eastAsia="黑体" w:cs="黑体"/>
                <w:sz w:val="36"/>
                <w:szCs w:val="32"/>
              </w:rPr>
              <w:t>部门收支决算总表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rPr>
              <w:t>湘潭县工商业联合会</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cs="宋体"/>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903"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178"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32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32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lang w:eastAsia="zh-CN"/>
              </w:rPr>
              <w:t>194.62</w:t>
            </w: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31</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lang w:eastAsia="zh-CN"/>
              </w:rPr>
            </w:pPr>
            <w:r>
              <w:rPr>
                <w:rFonts w:hint="eastAsia" w:ascii="宋体" w:hAnsi="宋体" w:cs="宋体"/>
                <w:kern w:val="0"/>
                <w:sz w:val="22"/>
                <w:szCs w:val="22"/>
                <w:lang w:eastAsia="zh-CN"/>
              </w:rPr>
              <w:t>152.68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w:t>
            </w:r>
          </w:p>
        </w:tc>
        <w:tc>
          <w:tcPr>
            <w:tcW w:w="1328"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32</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3</w:t>
            </w:r>
          </w:p>
        </w:tc>
        <w:tc>
          <w:tcPr>
            <w:tcW w:w="1328"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33</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4</w:t>
            </w:r>
          </w:p>
        </w:tc>
        <w:tc>
          <w:tcPr>
            <w:tcW w:w="1328"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5</w:t>
            </w:r>
          </w:p>
        </w:tc>
        <w:tc>
          <w:tcPr>
            <w:tcW w:w="1328"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6</w:t>
            </w:r>
          </w:p>
        </w:tc>
        <w:tc>
          <w:tcPr>
            <w:tcW w:w="1328"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37</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328" w:type="dxa"/>
            <w:gridSpan w:val="2"/>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0.16</w:t>
            </w: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38</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21.5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39</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8.18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40</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41</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42</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43</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44</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45</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46</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328"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84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47</w:t>
            </w:r>
          </w:p>
        </w:tc>
        <w:tc>
          <w:tcPr>
            <w:tcW w:w="3633"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328" w:type="dxa"/>
            <w:gridSpan w:val="2"/>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single" w:color="auto" w:sz="4" w:space="0"/>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845"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48</w:t>
            </w:r>
          </w:p>
        </w:tc>
        <w:tc>
          <w:tcPr>
            <w:tcW w:w="3633" w:type="dxa"/>
            <w:gridSpan w:val="3"/>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49</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12.26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50</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51</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22</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52</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23</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53</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24</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54</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25</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55</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仿宋"/>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26</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56</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27</w:t>
            </w:r>
          </w:p>
        </w:tc>
        <w:tc>
          <w:tcPr>
            <w:tcW w:w="1328" w:type="dxa"/>
            <w:gridSpan w:val="2"/>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b/>
                <w:bCs/>
                <w:kern w:val="0"/>
                <w:sz w:val="22"/>
                <w:szCs w:val="22"/>
                <w:lang w:eastAsia="zh-CN"/>
              </w:rPr>
              <w:t>194.78</w:t>
            </w:r>
          </w:p>
        </w:tc>
        <w:tc>
          <w:tcPr>
            <w:tcW w:w="3700"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57</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194.62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28</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58</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29</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59</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0.16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30</w:t>
            </w:r>
          </w:p>
        </w:tc>
        <w:tc>
          <w:tcPr>
            <w:tcW w:w="1328" w:type="dxa"/>
            <w:gridSpan w:val="2"/>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b/>
                <w:bCs/>
                <w:kern w:val="0"/>
                <w:sz w:val="22"/>
                <w:szCs w:val="22"/>
                <w:lang w:eastAsia="zh-CN"/>
              </w:rPr>
              <w:t>194.78</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60</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b/>
                <w:bCs/>
                <w:kern w:val="0"/>
                <w:sz w:val="22"/>
                <w:szCs w:val="22"/>
                <w:lang w:eastAsia="zh-CN"/>
              </w:rPr>
            </w:pPr>
            <w:r>
              <w:rPr>
                <w:rFonts w:hint="eastAsia" w:ascii="仿宋" w:hAnsi="仿宋" w:eastAsia="仿宋" w:cs="仿宋"/>
                <w:b/>
                <w:bCs/>
                <w:kern w:val="0"/>
                <w:sz w:val="22"/>
                <w:szCs w:val="22"/>
                <w:lang w:eastAsia="zh-CN"/>
              </w:rPr>
              <w:t>194.78</w:t>
            </w:r>
          </w:p>
        </w:tc>
      </w:tr>
      <w:tr>
        <w:tblPrEx>
          <w:tblCellMar>
            <w:top w:w="0" w:type="dxa"/>
            <w:left w:w="108" w:type="dxa"/>
            <w:bottom w:w="0" w:type="dxa"/>
            <w:right w:w="108" w:type="dxa"/>
          </w:tblCellMar>
        </w:tblPrEx>
        <w:trPr>
          <w:trHeight w:val="1020" w:hRule="atLeast"/>
        </w:trPr>
        <w:tc>
          <w:tcPr>
            <w:tcW w:w="14081" w:type="dxa"/>
            <w:gridSpan w:val="10"/>
            <w:tcBorders>
              <w:top w:val="nil"/>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12"/>
        <w:tblW w:w="14796" w:type="dxa"/>
        <w:tblInd w:w="2" w:type="dxa"/>
        <w:tblLayout w:type="fixed"/>
        <w:tblCellMar>
          <w:top w:w="0" w:type="dxa"/>
          <w:left w:w="0" w:type="dxa"/>
          <w:bottom w:w="0" w:type="dxa"/>
          <w:right w:w="0" w:type="dxa"/>
        </w:tblCellMar>
      </w:tblPr>
      <w:tblGrid>
        <w:gridCol w:w="90"/>
        <w:gridCol w:w="1810"/>
        <w:gridCol w:w="358"/>
        <w:gridCol w:w="1866"/>
        <w:gridCol w:w="178"/>
        <w:gridCol w:w="1098"/>
        <w:gridCol w:w="333"/>
        <w:gridCol w:w="1084"/>
        <w:gridCol w:w="16"/>
        <w:gridCol w:w="1025"/>
        <w:gridCol w:w="377"/>
        <w:gridCol w:w="798"/>
        <w:gridCol w:w="619"/>
        <w:gridCol w:w="323"/>
        <w:gridCol w:w="358"/>
        <w:gridCol w:w="737"/>
        <w:gridCol w:w="1022"/>
        <w:gridCol w:w="821"/>
        <w:gridCol w:w="1883"/>
      </w:tblGrid>
      <w:tr>
        <w:tblPrEx>
          <w:tblCellMar>
            <w:top w:w="0" w:type="dxa"/>
            <w:left w:w="0" w:type="dxa"/>
            <w:bottom w:w="0" w:type="dxa"/>
            <w:right w:w="0" w:type="dxa"/>
          </w:tblCellMar>
        </w:tblPrEx>
        <w:trPr>
          <w:trHeight w:val="435" w:hRule="atLeast"/>
        </w:trPr>
        <w:tc>
          <w:tcPr>
            <w:tcW w:w="14796" w:type="dxa"/>
            <w:gridSpan w:val="19"/>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黑体" w:hAnsi="黑体" w:eastAsia="黑体" w:cs="黑体"/>
                <w:sz w:val="36"/>
                <w:szCs w:val="32"/>
              </w:rPr>
              <w:t>部门收入决算表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70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ind w:right="400"/>
              <w:jc w:val="right"/>
              <w:rPr>
                <w:rFonts w:ascii="宋体" w:cs="Times New Roman"/>
                <w:color w:val="000000"/>
                <w:sz w:val="20"/>
                <w:szCs w:val="20"/>
              </w:rPr>
            </w:pPr>
            <w:r>
              <w:rPr>
                <w:rFonts w:hint="eastAsia" w:cs="宋体"/>
                <w:color w:val="000000"/>
                <w:sz w:val="20"/>
                <w:szCs w:val="20"/>
              </w:rPr>
              <w:t xml:space="preserve">             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trHeight w:val="285" w:hRule="atLeast"/>
        </w:trPr>
        <w:tc>
          <w:tcPr>
            <w:tcW w:w="4124"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ascii="宋体" w:hAnsi="宋体" w:cs="宋体"/>
                <w:color w:val="000000"/>
                <w:sz w:val="20"/>
                <w:szCs w:val="20"/>
              </w:rPr>
              <w:t>部门：</w:t>
            </w:r>
            <w:r>
              <w:rPr>
                <w:rFonts w:hint="eastAsia" w:ascii="宋体" w:hAnsi="宋体" w:cs="宋体"/>
                <w:color w:val="000000"/>
                <w:kern w:val="0"/>
              </w:rPr>
              <w:t>湘潭县工商业联合会</w:t>
            </w:r>
            <w:r>
              <w:rPr>
                <w:rFonts w:hint="eastAsia" w:ascii="宋体" w:hAnsi="宋体" w:cs="宋体"/>
              </w:rPr>
              <w:t>　</w:t>
            </w:r>
          </w:p>
        </w:tc>
        <w:tc>
          <w:tcPr>
            <w:tcW w:w="127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17"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18"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417"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2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938"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trHeight w:val="450" w:hRule="atLeast"/>
        </w:trPr>
        <w:tc>
          <w:tcPr>
            <w:tcW w:w="412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27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41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418"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41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418"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84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18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222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27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8"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8"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4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224"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27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8"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8"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4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412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2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41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418"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41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418"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84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18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trHeight w:val="450" w:hRule="atLeast"/>
        </w:trPr>
        <w:tc>
          <w:tcPr>
            <w:tcW w:w="412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eastAsia="zh-CN"/>
              </w:rPr>
              <w:t>194.78</w:t>
            </w:r>
            <w:r>
              <w:rPr>
                <w:rFonts w:hint="eastAsia" w:cs="宋体"/>
              </w:rPr>
              <w:t>　</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eastAsia="zh-CN"/>
              </w:rPr>
              <w:t>194.62</w:t>
            </w:r>
            <w:r>
              <w:rPr>
                <w:rFonts w:hint="eastAsia" w:cs="宋体"/>
              </w:rPr>
              <w:t>　</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eastAsia="宋体" w:cs="Times New Roman"/>
                <w:sz w:val="24"/>
                <w:szCs w:val="24"/>
                <w:lang w:eastAsia="zh-CN"/>
              </w:rPr>
            </w:pPr>
            <w:r>
              <w:rPr>
                <w:rFonts w:hint="eastAsia" w:cs="宋体"/>
                <w:lang w:eastAsia="zh-CN"/>
              </w:rPr>
              <w:t>0.16</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cs="Times New Roman"/>
                <w:b/>
                <w:bCs/>
                <w:sz w:val="24"/>
                <w:szCs w:val="24"/>
              </w:rPr>
            </w:pPr>
            <w:r>
              <w:rPr>
                <w:rFonts w:hint="eastAsia" w:cs="宋体"/>
                <w:b/>
                <w:bCs/>
              </w:rPr>
              <w:t>　</w:t>
            </w:r>
            <w:r>
              <w:rPr>
                <w:rFonts w:cs="宋体"/>
                <w:b/>
                <w:bCs/>
              </w:rPr>
              <w:t>201</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一般公共服务支出</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b/>
                <w:bCs/>
                <w:sz w:val="24"/>
                <w:szCs w:val="24"/>
              </w:rPr>
            </w:pPr>
            <w:r>
              <w:rPr>
                <w:rFonts w:hint="eastAsia" w:cs="宋体"/>
                <w:b/>
                <w:bCs/>
                <w:lang w:val="en-US" w:eastAsia="zh-CN"/>
              </w:rPr>
              <w:t>152.84</w:t>
            </w:r>
            <w:r>
              <w:rPr>
                <w:rFonts w:hint="eastAsia" w:cs="宋体"/>
                <w:b/>
                <w:bCs/>
              </w:rPr>
              <w:t>　</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b/>
                <w:bCs/>
                <w:sz w:val="24"/>
                <w:szCs w:val="24"/>
              </w:rPr>
            </w:pPr>
            <w:r>
              <w:rPr>
                <w:rFonts w:hint="eastAsia" w:cs="宋体"/>
                <w:b/>
                <w:bCs/>
                <w:lang w:val="en-US" w:eastAsia="zh-CN"/>
              </w:rPr>
              <w:t>152.68</w:t>
            </w:r>
            <w:r>
              <w:rPr>
                <w:rFonts w:hint="eastAsia" w:cs="宋体"/>
                <w:b/>
                <w:bCs/>
              </w:rPr>
              <w:t>　</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eastAsia="宋体" w:cs="Times New Roman"/>
                <w:sz w:val="24"/>
                <w:szCs w:val="24"/>
                <w:lang w:eastAsia="zh-CN"/>
              </w:rPr>
            </w:pPr>
            <w:r>
              <w:rPr>
                <w:rFonts w:hint="eastAsia" w:cs="宋体"/>
                <w:lang w:eastAsia="zh-CN"/>
              </w:rPr>
              <w:t>0.16</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cs="Times New Roman"/>
                <w:b/>
                <w:bCs/>
                <w:sz w:val="24"/>
                <w:szCs w:val="24"/>
              </w:rPr>
            </w:pPr>
            <w:r>
              <w:rPr>
                <w:rFonts w:hint="eastAsia" w:cs="宋体"/>
                <w:b/>
                <w:bCs/>
              </w:rPr>
              <w:t>　</w:t>
            </w:r>
            <w:r>
              <w:rPr>
                <w:rFonts w:cs="宋体"/>
                <w:b/>
                <w:bCs/>
              </w:rPr>
              <w:t>20128</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民主党派及工商联事务</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华文中宋" w:hAnsi="华文中宋" w:eastAsia="华文中宋" w:cs="Times New Roman"/>
                <w:b/>
                <w:bCs/>
                <w:sz w:val="24"/>
                <w:szCs w:val="24"/>
              </w:rPr>
            </w:pPr>
            <w:r>
              <w:rPr>
                <w:rFonts w:hint="eastAsia" w:cs="宋体"/>
                <w:b/>
                <w:bCs/>
                <w:lang w:val="en-US" w:eastAsia="zh-CN"/>
              </w:rPr>
              <w:t>152.84</w:t>
            </w:r>
            <w:r>
              <w:rPr>
                <w:rFonts w:hint="eastAsia" w:cs="宋体"/>
                <w:b/>
                <w:bCs/>
              </w:rPr>
              <w:t>　</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b/>
                <w:bCs/>
                <w:sz w:val="24"/>
                <w:szCs w:val="24"/>
              </w:rPr>
            </w:pPr>
            <w:r>
              <w:rPr>
                <w:rFonts w:hint="eastAsia" w:cs="宋体"/>
                <w:b/>
                <w:bCs/>
                <w:lang w:val="en-US" w:eastAsia="zh-CN"/>
              </w:rPr>
              <w:t>152.68</w:t>
            </w:r>
            <w:r>
              <w:rPr>
                <w:rFonts w:hint="eastAsia" w:cs="宋体"/>
                <w:b/>
                <w:bCs/>
              </w:rPr>
              <w:t>　</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eastAsia="宋体" w:cs="Times New Roman"/>
                <w:sz w:val="24"/>
                <w:szCs w:val="24"/>
                <w:lang w:eastAsia="zh-CN"/>
              </w:rPr>
            </w:pPr>
            <w:r>
              <w:rPr>
                <w:rFonts w:hint="eastAsia" w:cs="宋体"/>
                <w:lang w:eastAsia="zh-CN"/>
              </w:rPr>
              <w:t>0.16</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cs="Times New Roman"/>
                <w:sz w:val="24"/>
                <w:szCs w:val="24"/>
              </w:rPr>
            </w:pPr>
            <w:r>
              <w:rPr>
                <w:rFonts w:hint="eastAsia" w:cs="宋体"/>
              </w:rPr>
              <w:t>　</w:t>
            </w:r>
            <w:r>
              <w:rPr>
                <w:rFonts w:cs="宋体"/>
              </w:rPr>
              <w:t>2012801</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121.57</w:t>
            </w:r>
            <w:r>
              <w:rPr>
                <w:rFonts w:hint="eastAsia" w:cs="宋体"/>
              </w:rPr>
              <w:t>　</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121.41</w:t>
            </w:r>
            <w:r>
              <w:rPr>
                <w:rFonts w:hint="eastAsia" w:cs="宋体"/>
              </w:rPr>
              <w:t>　</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eastAsia="宋体" w:cs="Times New Roman"/>
                <w:sz w:val="24"/>
                <w:szCs w:val="24"/>
                <w:lang w:eastAsia="zh-CN"/>
              </w:rPr>
            </w:pPr>
            <w:r>
              <w:rPr>
                <w:rFonts w:hint="eastAsia" w:cs="宋体"/>
                <w:lang w:eastAsia="zh-CN"/>
              </w:rPr>
              <w:t>0.16</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default" w:eastAsia="宋体" w:cs="宋体"/>
                <w:lang w:val="en-US" w:eastAsia="zh-CN"/>
              </w:rPr>
            </w:pPr>
            <w:r>
              <w:rPr>
                <w:rFonts w:hint="eastAsia" w:cs="宋体"/>
                <w:lang w:val="en-US" w:eastAsia="zh-CN"/>
              </w:rPr>
              <w:t xml:space="preserve">  2012802</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 xml:space="preserve">  一般行政管理事务</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13.51</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cs="宋体"/>
                <w:lang w:val="en-US" w:eastAsia="zh-CN"/>
              </w:rPr>
            </w:pPr>
            <w:r>
              <w:rPr>
                <w:rFonts w:hint="eastAsia" w:cs="宋体"/>
                <w:lang w:val="en-US" w:eastAsia="zh-CN"/>
              </w:rPr>
              <w:t>13.51</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lang w:eastAsia="zh-CN"/>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cs="宋体"/>
              </w:rPr>
            </w:pPr>
            <w:r>
              <w:rPr>
                <w:rFonts w:hint="eastAsia" w:cs="宋体"/>
              </w:rPr>
              <w:t>2012899</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其他民主党派及工商联事务支出</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lang w:eastAsia="zh-CN"/>
              </w:rPr>
            </w:pPr>
            <w:r>
              <w:rPr>
                <w:rFonts w:hint="eastAsia" w:cs="宋体"/>
                <w:lang w:val="en-US" w:eastAsia="zh-CN"/>
              </w:rPr>
              <w:t>17.76</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17.76</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1" w:firstLineChars="100"/>
              <w:jc w:val="left"/>
              <w:rPr>
                <w:rFonts w:cs="宋体"/>
                <w:b/>
                <w:bCs/>
              </w:rPr>
            </w:pPr>
            <w:r>
              <w:rPr>
                <w:rFonts w:hint="eastAsia" w:cs="宋体"/>
                <w:b/>
                <w:bCs/>
              </w:rPr>
              <w:t>208</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社会保障和就业支出</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21.5</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21.5</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1" w:firstLineChars="100"/>
              <w:jc w:val="left"/>
              <w:rPr>
                <w:rFonts w:cs="宋体"/>
                <w:b/>
                <w:bCs/>
              </w:rPr>
            </w:pPr>
            <w:r>
              <w:rPr>
                <w:rFonts w:hint="eastAsia" w:cs="宋体"/>
                <w:b/>
                <w:bCs/>
              </w:rPr>
              <w:t>20805</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行政事业单位养老支出</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21.5</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21.5</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cs="宋体"/>
              </w:rPr>
            </w:pPr>
            <w:r>
              <w:rPr>
                <w:rFonts w:hint="eastAsia" w:cs="宋体"/>
              </w:rPr>
              <w:t>2080505</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机关事业单位基本养老保险缴费支出</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r>
              <w:rPr>
                <w:rFonts w:hint="eastAsia" w:cs="宋体"/>
                <w:lang w:val="en-US" w:eastAsia="zh-CN"/>
              </w:rPr>
              <w:t>12.94</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12.94</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cs="宋体"/>
              </w:rPr>
            </w:pPr>
            <w:r>
              <w:rPr>
                <w:rFonts w:hint="eastAsia" w:cs="宋体"/>
              </w:rPr>
              <w:t>2080506</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20" w:firstLineChars="100"/>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机关事业单位职业年金缴费支出</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r>
              <w:rPr>
                <w:rFonts w:hint="eastAsia" w:cs="宋体"/>
                <w:lang w:val="en-US" w:eastAsia="zh-CN"/>
              </w:rPr>
              <w:t>8.56</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8.56</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1" w:firstLineChars="100"/>
              <w:jc w:val="left"/>
              <w:rPr>
                <w:rFonts w:cs="宋体"/>
                <w:b/>
                <w:bCs/>
              </w:rPr>
            </w:pPr>
            <w:r>
              <w:rPr>
                <w:rFonts w:hint="eastAsia" w:cs="宋体"/>
                <w:b/>
                <w:bCs/>
              </w:rPr>
              <w:t>210</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卫生健康支出</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8.18</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8.18</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1" w:firstLineChars="100"/>
              <w:jc w:val="left"/>
              <w:rPr>
                <w:rFonts w:cs="宋体"/>
                <w:b/>
                <w:bCs/>
              </w:rPr>
            </w:pPr>
            <w:r>
              <w:rPr>
                <w:rFonts w:hint="eastAsia" w:cs="宋体"/>
                <w:b/>
                <w:bCs/>
              </w:rPr>
              <w:t>21011</w:t>
            </w:r>
          </w:p>
        </w:tc>
        <w:tc>
          <w:tcPr>
            <w:tcW w:w="222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行政事业单位医疗</w:t>
            </w:r>
          </w:p>
        </w:tc>
        <w:tc>
          <w:tcPr>
            <w:tcW w:w="127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8.18</w:t>
            </w: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8.18</w:t>
            </w: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cs="宋体"/>
              </w:rPr>
            </w:pPr>
            <w:r>
              <w:rPr>
                <w:rFonts w:hint="eastAsia" w:cs="宋体"/>
              </w:rPr>
              <w:t>2101101</w:t>
            </w:r>
          </w:p>
        </w:tc>
        <w:tc>
          <w:tcPr>
            <w:tcW w:w="222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行政单位医疗</w:t>
            </w:r>
          </w:p>
        </w:tc>
        <w:tc>
          <w:tcPr>
            <w:tcW w:w="1276"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lang w:eastAsia="zh-CN"/>
              </w:rPr>
            </w:pPr>
            <w:r>
              <w:rPr>
                <w:rFonts w:hint="eastAsia" w:cs="宋体"/>
                <w:lang w:eastAsia="zh-CN"/>
              </w:rPr>
              <w:t>8.18</w:t>
            </w:r>
          </w:p>
        </w:tc>
        <w:tc>
          <w:tcPr>
            <w:tcW w:w="1417"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lang w:eastAsia="zh-CN"/>
              </w:rPr>
            </w:pPr>
            <w:r>
              <w:rPr>
                <w:rFonts w:hint="eastAsia" w:cs="宋体"/>
                <w:lang w:eastAsia="zh-CN"/>
              </w:rPr>
              <w:t>8.18</w:t>
            </w:r>
          </w:p>
        </w:tc>
        <w:tc>
          <w:tcPr>
            <w:tcW w:w="1418"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1" w:firstLineChars="100"/>
              <w:jc w:val="left"/>
              <w:rPr>
                <w:rFonts w:cs="宋体"/>
                <w:b/>
                <w:bCs/>
              </w:rPr>
            </w:pPr>
            <w:r>
              <w:rPr>
                <w:rFonts w:hint="eastAsia" w:cs="宋体"/>
                <w:b/>
                <w:bCs/>
              </w:rPr>
              <w:t>221</w:t>
            </w:r>
          </w:p>
        </w:tc>
        <w:tc>
          <w:tcPr>
            <w:tcW w:w="2224" w:type="dxa"/>
            <w:gridSpan w:val="2"/>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住房保障支出</w:t>
            </w:r>
          </w:p>
        </w:tc>
        <w:tc>
          <w:tcPr>
            <w:tcW w:w="1276" w:type="dxa"/>
            <w:gridSpan w:val="2"/>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12.26</w:t>
            </w:r>
          </w:p>
        </w:tc>
        <w:tc>
          <w:tcPr>
            <w:tcW w:w="1417" w:type="dxa"/>
            <w:gridSpan w:val="2"/>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12.26</w:t>
            </w:r>
          </w:p>
        </w:tc>
        <w:tc>
          <w:tcPr>
            <w:tcW w:w="1418" w:type="dxa"/>
            <w:gridSpan w:val="3"/>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418" w:type="dxa"/>
            <w:gridSpan w:val="3"/>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43" w:type="dxa"/>
            <w:gridSpan w:val="2"/>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c>
          <w:tcPr>
            <w:tcW w:w="1883"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1" w:firstLineChars="100"/>
              <w:jc w:val="left"/>
              <w:rPr>
                <w:rFonts w:cs="宋体"/>
                <w:b/>
                <w:bCs/>
              </w:rPr>
            </w:pPr>
            <w:r>
              <w:rPr>
                <w:rFonts w:hint="eastAsia" w:cs="宋体"/>
                <w:b/>
                <w:bCs/>
              </w:rPr>
              <w:t>22102</w:t>
            </w:r>
          </w:p>
        </w:tc>
        <w:tc>
          <w:tcPr>
            <w:tcW w:w="222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住房改革支出</w:t>
            </w:r>
          </w:p>
        </w:tc>
        <w:tc>
          <w:tcPr>
            <w:tcW w:w="1276"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12.26</w:t>
            </w:r>
          </w:p>
        </w:tc>
        <w:tc>
          <w:tcPr>
            <w:tcW w:w="1417"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b/>
                <w:bCs/>
                <w:lang w:eastAsia="zh-CN"/>
              </w:rPr>
            </w:pPr>
            <w:r>
              <w:rPr>
                <w:rFonts w:hint="eastAsia" w:cs="宋体"/>
                <w:b/>
                <w:bCs/>
                <w:lang w:eastAsia="zh-CN"/>
              </w:rPr>
              <w:t>12.26</w:t>
            </w:r>
          </w:p>
        </w:tc>
        <w:tc>
          <w:tcPr>
            <w:tcW w:w="1418"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cs="宋体"/>
              </w:rPr>
            </w:pPr>
            <w:r>
              <w:rPr>
                <w:rFonts w:hint="eastAsia" w:cs="宋体"/>
              </w:rPr>
              <w:t>2210201</w:t>
            </w:r>
          </w:p>
        </w:tc>
        <w:tc>
          <w:tcPr>
            <w:tcW w:w="222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住房公积金</w:t>
            </w:r>
          </w:p>
        </w:tc>
        <w:tc>
          <w:tcPr>
            <w:tcW w:w="1276"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lang w:eastAsia="zh-CN"/>
              </w:rPr>
            </w:pPr>
            <w:r>
              <w:rPr>
                <w:rFonts w:hint="eastAsia" w:cs="宋体"/>
                <w:lang w:eastAsia="zh-CN"/>
              </w:rPr>
              <w:t>12.26</w:t>
            </w:r>
          </w:p>
        </w:tc>
        <w:tc>
          <w:tcPr>
            <w:tcW w:w="1417"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eastAsia="宋体" w:cs="宋体"/>
                <w:lang w:eastAsia="zh-CN"/>
              </w:rPr>
            </w:pPr>
            <w:r>
              <w:rPr>
                <w:rFonts w:hint="eastAsia" w:cs="宋体"/>
                <w:lang w:eastAsia="zh-CN"/>
              </w:rPr>
              <w:t>12.26</w:t>
            </w:r>
          </w:p>
        </w:tc>
        <w:tc>
          <w:tcPr>
            <w:tcW w:w="1418"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7"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418"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43"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c>
          <w:tcPr>
            <w:tcW w:w="188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cs="宋体"/>
              </w:rPr>
            </w:pPr>
          </w:p>
        </w:tc>
      </w:tr>
      <w:tr>
        <w:tblPrEx>
          <w:tblCellMar>
            <w:top w:w="0" w:type="dxa"/>
            <w:left w:w="0" w:type="dxa"/>
            <w:bottom w:w="0" w:type="dxa"/>
            <w:right w:w="0" w:type="dxa"/>
          </w:tblCellMar>
        </w:tblPrEx>
        <w:trPr>
          <w:trHeight w:val="615" w:hRule="atLeast"/>
        </w:trPr>
        <w:tc>
          <w:tcPr>
            <w:tcW w:w="14796" w:type="dxa"/>
            <w:gridSpan w:val="19"/>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12"/>
        <w:tblW w:w="14057" w:type="dxa"/>
        <w:tblInd w:w="-106" w:type="dxa"/>
        <w:tblLayout w:type="fixed"/>
        <w:tblCellMar>
          <w:top w:w="0" w:type="dxa"/>
          <w:left w:w="108" w:type="dxa"/>
          <w:bottom w:w="0" w:type="dxa"/>
          <w:right w:w="108" w:type="dxa"/>
        </w:tblCellMar>
      </w:tblPr>
      <w:tblGrid>
        <w:gridCol w:w="616"/>
        <w:gridCol w:w="884"/>
        <w:gridCol w:w="2585"/>
        <w:gridCol w:w="1751"/>
        <w:gridCol w:w="1201"/>
        <w:gridCol w:w="1320"/>
        <w:gridCol w:w="1800"/>
        <w:gridCol w:w="1524"/>
        <w:gridCol w:w="2376"/>
      </w:tblGrid>
      <w:tr>
        <w:tblPrEx>
          <w:tblCellMar>
            <w:top w:w="0" w:type="dxa"/>
            <w:left w:w="108" w:type="dxa"/>
            <w:bottom w:w="0" w:type="dxa"/>
            <w:right w:w="108" w:type="dxa"/>
          </w:tblCellMar>
        </w:tblPrEx>
        <w:trPr>
          <w:trHeight w:val="591" w:hRule="atLeast"/>
        </w:trPr>
        <w:tc>
          <w:tcPr>
            <w:tcW w:w="14057"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黑体" w:hAnsi="黑体" w:eastAsia="黑体" w:cs="黑体"/>
                <w:color w:val="000000"/>
                <w:kern w:val="0"/>
                <w:sz w:val="36"/>
                <w:szCs w:val="36"/>
              </w:rPr>
              <w:t>部门支出决算表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tcPr>
          <w:p>
            <w:pPr>
              <w:widowControl/>
              <w:rPr>
                <w:rFonts w:ascii="宋体" w:cs="Times New Roman"/>
                <w:kern w:val="0"/>
                <w:sz w:val="24"/>
                <w:szCs w:val="24"/>
              </w:rPr>
            </w:pPr>
          </w:p>
        </w:tc>
        <w:tc>
          <w:tcPr>
            <w:tcW w:w="884" w:type="dxa"/>
            <w:tcBorders>
              <w:top w:val="nil"/>
              <w:left w:val="nil"/>
              <w:bottom w:val="nil"/>
              <w:right w:val="nil"/>
            </w:tcBorders>
            <w:shd w:val="clear" w:color="000000" w:fill="FFFFFF"/>
            <w:noWrap/>
          </w:tcPr>
          <w:p>
            <w:pPr>
              <w:widowControl/>
              <w:rPr>
                <w:rFonts w:ascii="宋体" w:cs="Times New Roman"/>
                <w:kern w:val="0"/>
                <w:sz w:val="24"/>
                <w:szCs w:val="24"/>
              </w:rPr>
            </w:pPr>
          </w:p>
        </w:tc>
        <w:tc>
          <w:tcPr>
            <w:tcW w:w="6857" w:type="dxa"/>
            <w:gridSpan w:val="4"/>
            <w:tcBorders>
              <w:top w:val="nil"/>
              <w:left w:val="nil"/>
              <w:bottom w:val="nil"/>
              <w:right w:val="nil"/>
            </w:tcBorders>
            <w:shd w:val="clear" w:color="000000" w:fill="FFFFFF"/>
            <w:noWrap/>
          </w:tcPr>
          <w:p>
            <w:pPr>
              <w:widowControl/>
              <w:rPr>
                <w:rFonts w:ascii="宋体" w:cs="Times New Roman"/>
                <w:kern w:val="0"/>
                <w:sz w:val="24"/>
                <w:szCs w:val="24"/>
              </w:rPr>
            </w:pPr>
          </w:p>
        </w:tc>
        <w:tc>
          <w:tcPr>
            <w:tcW w:w="180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p>
        </w:tc>
        <w:tc>
          <w:tcPr>
            <w:tcW w:w="152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p>
        </w:tc>
        <w:tc>
          <w:tcPr>
            <w:tcW w:w="2376" w:type="dxa"/>
            <w:tcBorders>
              <w:top w:val="nil"/>
              <w:left w:val="nil"/>
              <w:bottom w:val="nil"/>
              <w:right w:val="nil"/>
            </w:tcBorders>
            <w:shd w:val="clear" w:color="000000" w:fill="FFFFFF"/>
            <w:noWrap/>
            <w:vAlign w:val="center"/>
          </w:tcPr>
          <w:p>
            <w:pPr>
              <w:widowControl/>
              <w:ind w:right="500" w:firstLine="420" w:firstLineChars="200"/>
              <w:rPr>
                <w:rFonts w:ascii="宋体" w:hAnsi="宋体" w:cs="宋体"/>
                <w:color w:val="000000"/>
                <w:kern w:val="0"/>
                <w:sz w:val="20"/>
                <w:szCs w:val="20"/>
              </w:rPr>
            </w:pPr>
            <w:r>
              <w:rPr>
                <w:rFonts w:hint="eastAsia" w:eastAsia="仿宋_GB2312"/>
                <w:color w:val="000000"/>
                <w:kern w:val="0"/>
              </w:rPr>
              <w:t>公开</w:t>
            </w:r>
            <w:r>
              <w:rPr>
                <w:rFonts w:eastAsia="仿宋_GB2312"/>
                <w:color w:val="000000"/>
                <w:kern w:val="0"/>
              </w:rPr>
              <w:t>0</w:t>
            </w:r>
            <w:r>
              <w:rPr>
                <w:rFonts w:hint="eastAsia" w:eastAsia="仿宋_GB2312"/>
                <w:color w:val="000000"/>
                <w:kern w:val="0"/>
              </w:rPr>
              <w:t>3表</w:t>
            </w:r>
          </w:p>
        </w:tc>
      </w:tr>
      <w:tr>
        <w:tblPrEx>
          <w:tblCellMar>
            <w:top w:w="0" w:type="dxa"/>
            <w:left w:w="108" w:type="dxa"/>
            <w:bottom w:w="0" w:type="dxa"/>
            <w:right w:w="108" w:type="dxa"/>
          </w:tblCellMar>
        </w:tblPrEx>
        <w:trPr>
          <w:trHeight w:val="285" w:hRule="atLeast"/>
        </w:trPr>
        <w:tc>
          <w:tcPr>
            <w:tcW w:w="5836" w:type="dxa"/>
            <w:gridSpan w:val="4"/>
            <w:tcBorders>
              <w:top w:val="nil"/>
              <w:left w:val="nil"/>
              <w:bottom w:val="nil"/>
              <w:right w:val="nil"/>
            </w:tcBorders>
            <w:shd w:val="clear" w:color="000000" w:fill="FFFFFF"/>
            <w:noWrap/>
          </w:tcPr>
          <w:p>
            <w:pPr>
              <w:widowControl/>
              <w:jc w:val="left"/>
              <w:rPr>
                <w:rFonts w:ascii="宋体" w:cs="Times New Roman"/>
                <w:kern w:val="0"/>
                <w:sz w:val="24"/>
                <w:szCs w:val="24"/>
              </w:rPr>
            </w:pPr>
            <w:r>
              <w:rPr>
                <w:rFonts w:hint="eastAsia" w:ascii="宋体" w:hAnsi="宋体" w:cs="宋体"/>
                <w:color w:val="000000"/>
                <w:sz w:val="20"/>
                <w:szCs w:val="20"/>
              </w:rPr>
              <w:t>部门：</w:t>
            </w:r>
            <w:r>
              <w:rPr>
                <w:rFonts w:hint="eastAsia" w:ascii="宋体" w:hAnsi="宋体" w:cs="宋体"/>
                <w:color w:val="000000"/>
                <w:kern w:val="0"/>
              </w:rPr>
              <w:t>湘潭县工商业联合会</w:t>
            </w:r>
            <w:r>
              <w:rPr>
                <w:rFonts w:hint="eastAsia" w:ascii="宋体" w:hAnsi="宋体" w:cs="宋体"/>
              </w:rPr>
              <w:t>　</w:t>
            </w:r>
          </w:p>
        </w:tc>
        <w:tc>
          <w:tcPr>
            <w:tcW w:w="1201"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p>
        </w:tc>
        <w:tc>
          <w:tcPr>
            <w:tcW w:w="1320"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p>
        </w:tc>
        <w:tc>
          <w:tcPr>
            <w:tcW w:w="180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p>
        </w:tc>
        <w:tc>
          <w:tcPr>
            <w:tcW w:w="152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p>
        </w:tc>
        <w:tc>
          <w:tcPr>
            <w:tcW w:w="2376" w:type="dxa"/>
            <w:tcBorders>
              <w:top w:val="nil"/>
              <w:left w:val="nil"/>
              <w:bottom w:val="nil"/>
              <w:right w:val="nil"/>
            </w:tcBorders>
            <w:shd w:val="clear" w:color="000000" w:fill="FFFFFF"/>
            <w:noWrap/>
            <w:vAlign w:val="center"/>
          </w:tcPr>
          <w:p>
            <w:pPr>
              <w:widowControl/>
              <w:ind w:right="1200" w:firstLine="315" w:firstLineChars="150"/>
              <w:jc w:val="right"/>
              <w:rPr>
                <w:rFonts w:ascii="宋体" w:cs="Times New Roman"/>
                <w:color w:val="000000"/>
                <w:kern w:val="0"/>
                <w:sz w:val="20"/>
                <w:szCs w:val="20"/>
              </w:rPr>
            </w:pPr>
            <w:r>
              <w:rPr>
                <w:rFonts w:hint="eastAsia" w:eastAsia="仿宋_GB2312"/>
                <w:color w:val="000000"/>
                <w:kern w:val="0"/>
              </w:rPr>
              <w:t>单位：万元</w:t>
            </w:r>
          </w:p>
        </w:tc>
      </w:tr>
      <w:tr>
        <w:tblPrEx>
          <w:tblCellMar>
            <w:top w:w="0" w:type="dxa"/>
            <w:left w:w="108" w:type="dxa"/>
            <w:bottom w:w="0" w:type="dxa"/>
            <w:right w:w="108" w:type="dxa"/>
          </w:tblCellMar>
        </w:tblPrEx>
        <w:trPr>
          <w:trHeight w:val="450" w:hRule="atLeast"/>
        </w:trPr>
        <w:tc>
          <w:tcPr>
            <w:tcW w:w="408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75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3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52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3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58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7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3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8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7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3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408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75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20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8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37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408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751" w:type="dxa"/>
            <w:tcBorders>
              <w:top w:val="nil"/>
              <w:left w:val="nil"/>
              <w:bottom w:val="single" w:color="auto" w:sz="4" w:space="0"/>
              <w:right w:val="single" w:color="auto" w:sz="4" w:space="0"/>
            </w:tcBorders>
            <w:noWrap/>
            <w:vAlign w:val="center"/>
          </w:tcPr>
          <w:p>
            <w:pPr>
              <w:widowControl/>
              <w:jc w:val="right"/>
              <w:rPr>
                <w:rFonts w:ascii="宋体" w:cs="Times New Roman"/>
                <w:b/>
                <w:bCs/>
                <w:kern w:val="0"/>
              </w:rPr>
            </w:pPr>
            <w:r>
              <w:rPr>
                <w:rFonts w:hint="eastAsia" w:ascii="宋体" w:hAnsi="宋体" w:cs="宋体"/>
                <w:b/>
                <w:bCs/>
                <w:kern w:val="0"/>
                <w:lang w:val="en-US" w:eastAsia="zh-CN"/>
              </w:rPr>
              <w:t>194.62</w:t>
            </w:r>
            <w:r>
              <w:rPr>
                <w:rFonts w:hint="eastAsia" w:ascii="宋体" w:hAnsi="宋体" w:cs="宋体"/>
                <w:b/>
                <w:bCs/>
                <w:kern w:val="0"/>
              </w:rPr>
              <w:t>　</w:t>
            </w:r>
          </w:p>
        </w:tc>
        <w:tc>
          <w:tcPr>
            <w:tcW w:w="1201" w:type="dxa"/>
            <w:tcBorders>
              <w:top w:val="nil"/>
              <w:left w:val="nil"/>
              <w:bottom w:val="single" w:color="auto" w:sz="4" w:space="0"/>
              <w:right w:val="single" w:color="auto" w:sz="4" w:space="0"/>
            </w:tcBorders>
            <w:noWrap/>
            <w:vAlign w:val="center"/>
          </w:tcPr>
          <w:p>
            <w:pPr>
              <w:widowControl/>
              <w:jc w:val="right"/>
              <w:rPr>
                <w:rFonts w:ascii="宋体" w:cs="Times New Roman"/>
                <w:b/>
                <w:bCs/>
                <w:kern w:val="0"/>
              </w:rPr>
            </w:pPr>
            <w:r>
              <w:rPr>
                <w:rFonts w:hint="eastAsia" w:ascii="宋体" w:hAnsi="宋体" w:cs="宋体"/>
                <w:b/>
                <w:bCs/>
                <w:kern w:val="0"/>
                <w:lang w:val="en-US" w:eastAsia="zh-CN"/>
              </w:rPr>
              <w:t>166.23</w:t>
            </w:r>
            <w:r>
              <w:rPr>
                <w:rFonts w:hint="eastAsia" w:ascii="宋体" w:hAnsi="宋体" w:cs="宋体"/>
                <w:b/>
                <w:bCs/>
                <w:kern w:val="0"/>
              </w:rPr>
              <w:t>　</w:t>
            </w:r>
          </w:p>
        </w:tc>
        <w:tc>
          <w:tcPr>
            <w:tcW w:w="1320" w:type="dxa"/>
            <w:tcBorders>
              <w:top w:val="nil"/>
              <w:left w:val="nil"/>
              <w:bottom w:val="single" w:color="auto" w:sz="4" w:space="0"/>
              <w:right w:val="single" w:color="auto" w:sz="4" w:space="0"/>
            </w:tcBorders>
            <w:noWrap/>
            <w:vAlign w:val="center"/>
          </w:tcPr>
          <w:p>
            <w:pPr>
              <w:widowControl/>
              <w:jc w:val="right"/>
              <w:rPr>
                <w:rFonts w:ascii="宋体" w:cs="Times New Roman"/>
                <w:b/>
                <w:bCs/>
                <w:kern w:val="0"/>
              </w:rPr>
            </w:pPr>
            <w:r>
              <w:rPr>
                <w:rFonts w:hint="eastAsia" w:ascii="宋体" w:hAnsi="宋体" w:cs="宋体"/>
                <w:b/>
                <w:bCs/>
                <w:kern w:val="0"/>
                <w:lang w:val="en-US" w:eastAsia="zh-CN"/>
              </w:rPr>
              <w:t>28.39</w:t>
            </w:r>
            <w:r>
              <w:rPr>
                <w:rFonts w:hint="eastAsia" w:ascii="宋体" w:hAnsi="宋体" w:cs="宋体"/>
                <w:b/>
                <w:bCs/>
                <w:kern w:val="0"/>
              </w:rPr>
              <w:t>　</w:t>
            </w:r>
          </w:p>
        </w:tc>
        <w:tc>
          <w:tcPr>
            <w:tcW w:w="180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Times New Roman"/>
                <w:b/>
                <w:bCs/>
                <w:sz w:val="24"/>
                <w:szCs w:val="24"/>
              </w:rPr>
            </w:pPr>
            <w:r>
              <w:rPr>
                <w:rFonts w:hint="eastAsia" w:cs="宋体"/>
                <w:b/>
                <w:bCs/>
              </w:rPr>
              <w:t>　</w:t>
            </w:r>
            <w:r>
              <w:rPr>
                <w:rFonts w:cs="宋体"/>
                <w:b/>
                <w:bCs/>
              </w:rPr>
              <w:t>201</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一般公共服务支出</w:t>
            </w:r>
          </w:p>
        </w:tc>
        <w:tc>
          <w:tcPr>
            <w:tcW w:w="1751" w:type="dxa"/>
            <w:tcBorders>
              <w:top w:val="nil"/>
              <w:left w:val="nil"/>
              <w:bottom w:val="single" w:color="auto" w:sz="4" w:space="0"/>
              <w:right w:val="single" w:color="auto" w:sz="4" w:space="0"/>
            </w:tcBorders>
            <w:noWrap/>
            <w:vAlign w:val="center"/>
          </w:tcPr>
          <w:p>
            <w:pPr>
              <w:widowControl/>
              <w:jc w:val="right"/>
              <w:rPr>
                <w:rFonts w:hint="eastAsia" w:ascii="宋体" w:eastAsia="宋体" w:cs="Times New Roman"/>
                <w:b/>
                <w:bCs/>
                <w:kern w:val="0"/>
                <w:lang w:eastAsia="zh-CN"/>
              </w:rPr>
            </w:pPr>
            <w:r>
              <w:rPr>
                <w:rFonts w:hint="eastAsia" w:ascii="宋体" w:hAnsi="宋体" w:cs="宋体"/>
                <w:b/>
                <w:bCs/>
                <w:kern w:val="0"/>
                <w:lang w:eastAsia="zh-CN"/>
              </w:rPr>
              <w:t>152.68</w:t>
            </w:r>
          </w:p>
        </w:tc>
        <w:tc>
          <w:tcPr>
            <w:tcW w:w="1201" w:type="dxa"/>
            <w:tcBorders>
              <w:top w:val="nil"/>
              <w:left w:val="nil"/>
              <w:bottom w:val="single" w:color="auto" w:sz="4" w:space="0"/>
              <w:right w:val="single" w:color="auto" w:sz="4" w:space="0"/>
            </w:tcBorders>
            <w:noWrap/>
            <w:vAlign w:val="center"/>
          </w:tcPr>
          <w:p>
            <w:pPr>
              <w:widowControl/>
              <w:jc w:val="right"/>
              <w:rPr>
                <w:rFonts w:ascii="宋体" w:cs="Times New Roman"/>
                <w:b/>
                <w:bCs/>
                <w:kern w:val="0"/>
              </w:rPr>
            </w:pPr>
            <w:r>
              <w:rPr>
                <w:rFonts w:hint="eastAsia" w:ascii="宋体" w:hAnsi="宋体" w:cs="宋体"/>
                <w:b/>
                <w:bCs/>
                <w:kern w:val="0"/>
                <w:lang w:val="en-US" w:eastAsia="zh-CN"/>
              </w:rPr>
              <w:t>125.4</w:t>
            </w:r>
            <w:r>
              <w:rPr>
                <w:rFonts w:hint="eastAsia" w:ascii="宋体" w:hAnsi="宋体" w:cs="宋体"/>
                <w:b/>
                <w:bCs/>
                <w:kern w:val="0"/>
              </w:rPr>
              <w:t>　</w:t>
            </w:r>
          </w:p>
        </w:tc>
        <w:tc>
          <w:tcPr>
            <w:tcW w:w="1320" w:type="dxa"/>
            <w:tcBorders>
              <w:top w:val="nil"/>
              <w:left w:val="nil"/>
              <w:bottom w:val="single" w:color="auto" w:sz="4" w:space="0"/>
              <w:right w:val="single" w:color="auto" w:sz="4" w:space="0"/>
            </w:tcBorders>
            <w:noWrap/>
            <w:vAlign w:val="center"/>
          </w:tcPr>
          <w:p>
            <w:pPr>
              <w:widowControl/>
              <w:jc w:val="right"/>
              <w:rPr>
                <w:rFonts w:ascii="宋体" w:cs="Times New Roman"/>
                <w:b/>
                <w:bCs/>
                <w:kern w:val="0"/>
              </w:rPr>
            </w:pPr>
            <w:r>
              <w:rPr>
                <w:rFonts w:hint="eastAsia" w:ascii="宋体" w:hAnsi="宋体" w:cs="宋体"/>
                <w:b/>
                <w:bCs/>
                <w:kern w:val="0"/>
                <w:lang w:val="en-US" w:eastAsia="zh-CN"/>
              </w:rPr>
              <w:t>27.28</w:t>
            </w:r>
            <w:r>
              <w:rPr>
                <w:rFonts w:hint="eastAsia" w:ascii="宋体" w:hAnsi="宋体" w:cs="宋体"/>
                <w:b/>
                <w:bCs/>
                <w:kern w:val="0"/>
              </w:rPr>
              <w:t>　</w:t>
            </w:r>
          </w:p>
        </w:tc>
        <w:tc>
          <w:tcPr>
            <w:tcW w:w="180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Times New Roman"/>
                <w:b/>
                <w:bCs/>
                <w:sz w:val="24"/>
                <w:szCs w:val="24"/>
              </w:rPr>
            </w:pPr>
            <w:r>
              <w:rPr>
                <w:rFonts w:hint="eastAsia" w:cs="宋体"/>
                <w:b/>
                <w:bCs/>
              </w:rPr>
              <w:t>　</w:t>
            </w:r>
            <w:r>
              <w:rPr>
                <w:rFonts w:cs="宋体"/>
                <w:b/>
                <w:bCs/>
              </w:rPr>
              <w:t>20128</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民主党派及工商联事务</w:t>
            </w:r>
          </w:p>
        </w:tc>
        <w:tc>
          <w:tcPr>
            <w:tcW w:w="1751" w:type="dxa"/>
            <w:tcBorders>
              <w:top w:val="nil"/>
              <w:left w:val="nil"/>
              <w:bottom w:val="single" w:color="auto" w:sz="4" w:space="0"/>
              <w:right w:val="single" w:color="auto" w:sz="4" w:space="0"/>
            </w:tcBorders>
            <w:noWrap/>
            <w:vAlign w:val="center"/>
          </w:tcPr>
          <w:p>
            <w:pPr>
              <w:jc w:val="right"/>
              <w:rPr>
                <w:rFonts w:hint="default" w:ascii="宋体" w:hAnsi="宋体" w:eastAsia="宋体" w:cs="宋体"/>
                <w:b/>
                <w:kern w:val="0"/>
                <w:lang w:val="en-US" w:eastAsia="zh-CN"/>
              </w:rPr>
            </w:pPr>
            <w:r>
              <w:rPr>
                <w:rFonts w:hint="eastAsia" w:ascii="宋体" w:hAnsi="宋体" w:cs="宋体"/>
                <w:b/>
                <w:kern w:val="0"/>
                <w:lang w:val="en-US" w:eastAsia="zh-CN"/>
              </w:rPr>
              <w:t>152.68</w:t>
            </w:r>
          </w:p>
        </w:tc>
        <w:tc>
          <w:tcPr>
            <w:tcW w:w="1201"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b/>
                <w:kern w:val="0"/>
                <w:lang w:val="en-US" w:eastAsia="zh-CN"/>
              </w:rPr>
            </w:pPr>
            <w:r>
              <w:rPr>
                <w:rFonts w:hint="eastAsia" w:ascii="宋体" w:hAnsi="宋体" w:cs="宋体"/>
                <w:b/>
                <w:kern w:val="0"/>
                <w:lang w:val="en-US" w:eastAsia="zh-CN"/>
              </w:rPr>
              <w:t>125.4</w:t>
            </w:r>
          </w:p>
        </w:tc>
        <w:tc>
          <w:tcPr>
            <w:tcW w:w="132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b/>
                <w:kern w:val="0"/>
                <w:lang w:val="en-US" w:eastAsia="zh-CN"/>
              </w:rPr>
            </w:pPr>
            <w:r>
              <w:rPr>
                <w:rFonts w:hint="eastAsia" w:ascii="宋体" w:hAnsi="宋体" w:cs="宋体"/>
                <w:b/>
                <w:kern w:val="0"/>
                <w:lang w:val="en-US" w:eastAsia="zh-CN"/>
              </w:rPr>
              <w:t>27.28</w:t>
            </w:r>
          </w:p>
        </w:tc>
        <w:tc>
          <w:tcPr>
            <w:tcW w:w="1800"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cs="Times New Roman"/>
                <w:sz w:val="24"/>
                <w:szCs w:val="24"/>
              </w:rPr>
            </w:pPr>
            <w:r>
              <w:rPr>
                <w:rFonts w:hint="eastAsia" w:cs="宋体"/>
              </w:rPr>
              <w:t>　</w:t>
            </w:r>
            <w:r>
              <w:rPr>
                <w:rFonts w:cs="宋体"/>
              </w:rPr>
              <w:t>2012801</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751" w:type="dxa"/>
            <w:tcBorders>
              <w:top w:val="nil"/>
              <w:left w:val="nil"/>
              <w:bottom w:val="single" w:color="auto" w:sz="4" w:space="0"/>
              <w:right w:val="single" w:color="auto" w:sz="4" w:space="0"/>
            </w:tcBorders>
            <w:noWrap/>
            <w:vAlign w:val="center"/>
          </w:tcPr>
          <w:p>
            <w:pPr>
              <w:widowControl/>
              <w:jc w:val="right"/>
              <w:rPr>
                <w:rFonts w:ascii="宋体" w:hAnsi="宋体" w:cs="宋体"/>
                <w:kern w:val="0"/>
              </w:rPr>
            </w:pPr>
            <w:r>
              <w:rPr>
                <w:rFonts w:hint="eastAsia" w:ascii="宋体" w:hAnsi="宋体" w:cs="宋体"/>
                <w:kern w:val="0"/>
                <w:lang w:val="en-US" w:eastAsia="zh-CN"/>
              </w:rPr>
              <w:t>121.41</w:t>
            </w:r>
          </w:p>
        </w:tc>
        <w:tc>
          <w:tcPr>
            <w:tcW w:w="1201"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lang w:val="en-US" w:eastAsia="zh-CN"/>
              </w:rPr>
            </w:pPr>
            <w:r>
              <w:rPr>
                <w:rFonts w:hint="eastAsia" w:ascii="宋体" w:hAnsi="宋体" w:cs="宋体"/>
                <w:kern w:val="0"/>
                <w:lang w:val="en-US" w:eastAsia="zh-CN"/>
              </w:rPr>
              <w:t>121.41</w:t>
            </w:r>
          </w:p>
        </w:tc>
        <w:tc>
          <w:tcPr>
            <w:tcW w:w="1320" w:type="dxa"/>
            <w:tcBorders>
              <w:top w:val="nil"/>
              <w:left w:val="nil"/>
              <w:bottom w:val="single" w:color="auto" w:sz="4" w:space="0"/>
              <w:right w:val="single" w:color="auto" w:sz="4" w:space="0"/>
            </w:tcBorders>
            <w:noWrap/>
            <w:vAlign w:val="center"/>
          </w:tcPr>
          <w:p>
            <w:pPr>
              <w:widowControl/>
              <w:jc w:val="right"/>
              <w:rPr>
                <w:rFonts w:ascii="宋体" w:hAnsi="宋体" w:cs="宋体"/>
                <w:kern w:val="0"/>
              </w:rPr>
            </w:pPr>
          </w:p>
        </w:tc>
        <w:tc>
          <w:tcPr>
            <w:tcW w:w="1800"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Calibri" w:hAnsi="Calibri" w:eastAsia="宋体" w:cs="宋体"/>
                <w:kern w:val="2"/>
                <w:sz w:val="21"/>
                <w:szCs w:val="21"/>
                <w:lang w:val="en-US" w:eastAsia="zh-CN" w:bidi="ar-SA"/>
              </w:rPr>
            </w:pPr>
            <w:r>
              <w:rPr>
                <w:rFonts w:hint="eastAsia" w:cs="宋体"/>
                <w:lang w:val="en-US" w:eastAsia="zh-CN"/>
              </w:rPr>
              <w:t xml:space="preserve">  2012802</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 xml:space="preserve">  一般行政管理事务</w:t>
            </w:r>
          </w:p>
        </w:tc>
        <w:tc>
          <w:tcPr>
            <w:tcW w:w="1751"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lang w:val="en-US" w:eastAsia="zh-CN"/>
              </w:rPr>
            </w:pPr>
            <w:r>
              <w:rPr>
                <w:rFonts w:hint="eastAsia" w:ascii="宋体" w:hAnsi="宋体" w:cs="宋体"/>
                <w:kern w:val="0"/>
                <w:lang w:val="en-US" w:eastAsia="zh-CN"/>
              </w:rPr>
              <w:t>13.51</w:t>
            </w:r>
          </w:p>
        </w:tc>
        <w:tc>
          <w:tcPr>
            <w:tcW w:w="1201"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rPr>
            </w:pPr>
          </w:p>
        </w:tc>
        <w:tc>
          <w:tcPr>
            <w:tcW w:w="132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lang w:val="en-US" w:eastAsia="zh-CN"/>
              </w:rPr>
            </w:pPr>
            <w:r>
              <w:rPr>
                <w:rFonts w:hint="eastAsia" w:ascii="宋体" w:hAnsi="宋体" w:cs="宋体"/>
                <w:kern w:val="0"/>
                <w:lang w:val="en-US" w:eastAsia="zh-CN"/>
              </w:rPr>
              <w:t>13.51</w:t>
            </w:r>
          </w:p>
        </w:tc>
        <w:tc>
          <w:tcPr>
            <w:tcW w:w="1800"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0" w:firstLineChars="100"/>
              <w:jc w:val="left"/>
              <w:rPr>
                <w:rFonts w:cs="宋体"/>
              </w:rPr>
            </w:pPr>
            <w:r>
              <w:rPr>
                <w:rFonts w:hint="eastAsia" w:cs="宋体"/>
              </w:rPr>
              <w:t>2012899</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其他民主党派及工商联事务支出</w:t>
            </w:r>
          </w:p>
        </w:tc>
        <w:tc>
          <w:tcPr>
            <w:tcW w:w="1751"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bCs/>
                <w:kern w:val="0"/>
                <w:lang w:val="en-US" w:eastAsia="zh-CN"/>
              </w:rPr>
            </w:pPr>
            <w:r>
              <w:rPr>
                <w:rFonts w:hint="eastAsia" w:ascii="宋体" w:hAnsi="宋体" w:cs="宋体"/>
                <w:bCs/>
                <w:kern w:val="0"/>
                <w:lang w:val="en-US" w:eastAsia="zh-CN"/>
              </w:rPr>
              <w:t>17.76</w:t>
            </w:r>
          </w:p>
        </w:tc>
        <w:tc>
          <w:tcPr>
            <w:tcW w:w="1201"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bCs/>
                <w:kern w:val="0"/>
                <w:lang w:val="en-US" w:eastAsia="zh-CN"/>
              </w:rPr>
            </w:pPr>
            <w:r>
              <w:rPr>
                <w:rFonts w:hint="eastAsia" w:ascii="宋体" w:hAnsi="宋体" w:cs="宋体"/>
                <w:bCs/>
                <w:kern w:val="0"/>
                <w:lang w:val="en-US" w:eastAsia="zh-CN"/>
              </w:rPr>
              <w:t>3.99</w:t>
            </w:r>
          </w:p>
        </w:tc>
        <w:tc>
          <w:tcPr>
            <w:tcW w:w="132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lang w:val="en-US" w:eastAsia="zh-CN"/>
              </w:rPr>
            </w:pPr>
            <w:r>
              <w:rPr>
                <w:rFonts w:hint="eastAsia" w:ascii="宋体" w:hAnsi="宋体" w:cs="宋体"/>
                <w:kern w:val="0"/>
                <w:lang w:val="en-US" w:eastAsia="zh-CN"/>
              </w:rPr>
              <w:t>13.77</w:t>
            </w:r>
          </w:p>
        </w:tc>
        <w:tc>
          <w:tcPr>
            <w:tcW w:w="1800"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1" w:firstLineChars="100"/>
              <w:jc w:val="left"/>
              <w:rPr>
                <w:rFonts w:cs="宋体"/>
                <w:b/>
                <w:bCs/>
              </w:rPr>
            </w:pPr>
            <w:r>
              <w:rPr>
                <w:rFonts w:hint="eastAsia" w:cs="宋体"/>
                <w:b/>
                <w:bCs/>
              </w:rPr>
              <w:t>208</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社会保障和就业支出</w:t>
            </w:r>
          </w:p>
        </w:tc>
        <w:tc>
          <w:tcPr>
            <w:tcW w:w="1751" w:type="dxa"/>
            <w:tcBorders>
              <w:top w:val="nil"/>
              <w:left w:val="nil"/>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eastAsia="zh-CN"/>
              </w:rPr>
              <w:t>21.5</w:t>
            </w:r>
          </w:p>
        </w:tc>
        <w:tc>
          <w:tcPr>
            <w:tcW w:w="1201" w:type="dxa"/>
            <w:tcBorders>
              <w:top w:val="nil"/>
              <w:left w:val="nil"/>
              <w:bottom w:val="single" w:color="auto" w:sz="4" w:space="0"/>
              <w:right w:val="single" w:color="auto" w:sz="4" w:space="0"/>
            </w:tcBorders>
            <w:noWrap/>
            <w:vAlign w:val="center"/>
          </w:tcPr>
          <w:p>
            <w:pPr>
              <w:jc w:val="right"/>
              <w:rPr>
                <w:rFonts w:cs="宋体"/>
                <w:b/>
                <w:bCs/>
              </w:rPr>
            </w:pPr>
            <w:r>
              <w:rPr>
                <w:rFonts w:hint="eastAsia" w:cs="宋体"/>
                <w:b/>
                <w:bCs/>
                <w:lang w:val="en-US" w:eastAsia="zh-CN"/>
              </w:rPr>
              <w:t>20.97</w:t>
            </w:r>
          </w:p>
        </w:tc>
        <w:tc>
          <w:tcPr>
            <w:tcW w:w="1320" w:type="dxa"/>
            <w:tcBorders>
              <w:top w:val="nil"/>
              <w:left w:val="nil"/>
              <w:bottom w:val="single" w:color="auto" w:sz="4" w:space="0"/>
              <w:right w:val="single" w:color="auto" w:sz="4" w:space="0"/>
            </w:tcBorders>
            <w:noWrap/>
            <w:vAlign w:val="center"/>
          </w:tcPr>
          <w:p>
            <w:pPr>
              <w:widowControl/>
              <w:jc w:val="right"/>
              <w:rPr>
                <w:rFonts w:ascii="宋体" w:hAnsi="宋体" w:cs="宋体"/>
                <w:b/>
                <w:kern w:val="0"/>
              </w:rPr>
            </w:pPr>
            <w:r>
              <w:rPr>
                <w:rFonts w:hint="eastAsia" w:ascii="宋体" w:hAnsi="宋体" w:cs="宋体"/>
                <w:b/>
                <w:kern w:val="0"/>
                <w:lang w:val="en-US" w:eastAsia="zh-CN"/>
              </w:rPr>
              <w:t>0.53</w:t>
            </w:r>
          </w:p>
        </w:tc>
        <w:tc>
          <w:tcPr>
            <w:tcW w:w="1800"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1" w:firstLineChars="100"/>
              <w:jc w:val="left"/>
              <w:rPr>
                <w:rFonts w:cs="宋体"/>
                <w:b/>
                <w:bCs/>
              </w:rPr>
            </w:pPr>
            <w:r>
              <w:rPr>
                <w:rFonts w:hint="eastAsia" w:cs="宋体"/>
                <w:b/>
                <w:bCs/>
              </w:rPr>
              <w:t>20805</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行政事业单位养老支出</w:t>
            </w:r>
          </w:p>
        </w:tc>
        <w:tc>
          <w:tcPr>
            <w:tcW w:w="1751" w:type="dxa"/>
            <w:tcBorders>
              <w:top w:val="nil"/>
              <w:left w:val="nil"/>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eastAsia="zh-CN"/>
              </w:rPr>
              <w:t>21.5</w:t>
            </w:r>
          </w:p>
        </w:tc>
        <w:tc>
          <w:tcPr>
            <w:tcW w:w="1201" w:type="dxa"/>
            <w:tcBorders>
              <w:top w:val="nil"/>
              <w:left w:val="nil"/>
              <w:bottom w:val="single" w:color="auto" w:sz="4" w:space="0"/>
              <w:right w:val="single" w:color="auto" w:sz="4" w:space="0"/>
            </w:tcBorders>
            <w:noWrap/>
            <w:vAlign w:val="center"/>
          </w:tcPr>
          <w:p>
            <w:pPr>
              <w:jc w:val="right"/>
              <w:rPr>
                <w:rFonts w:hint="default" w:eastAsia="宋体" w:cs="宋体"/>
                <w:b/>
                <w:bCs/>
                <w:lang w:val="en-US" w:eastAsia="zh-CN"/>
              </w:rPr>
            </w:pPr>
            <w:r>
              <w:rPr>
                <w:rFonts w:hint="eastAsia" w:cs="宋体"/>
                <w:b/>
                <w:bCs/>
                <w:lang w:val="en-US" w:eastAsia="zh-CN"/>
              </w:rPr>
              <w:t>20.97</w:t>
            </w:r>
          </w:p>
        </w:tc>
        <w:tc>
          <w:tcPr>
            <w:tcW w:w="132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b/>
                <w:kern w:val="0"/>
                <w:lang w:val="en-US" w:eastAsia="zh-CN"/>
              </w:rPr>
            </w:pPr>
            <w:r>
              <w:rPr>
                <w:rFonts w:hint="eastAsia" w:ascii="宋体" w:hAnsi="宋体" w:cs="宋体"/>
                <w:b/>
                <w:kern w:val="0"/>
                <w:lang w:val="en-US" w:eastAsia="zh-CN"/>
              </w:rPr>
              <w:t>0.53</w:t>
            </w:r>
          </w:p>
        </w:tc>
        <w:tc>
          <w:tcPr>
            <w:tcW w:w="1800"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0" w:firstLineChars="100"/>
              <w:jc w:val="left"/>
              <w:rPr>
                <w:rFonts w:cs="宋体"/>
              </w:rPr>
            </w:pPr>
            <w:r>
              <w:rPr>
                <w:rFonts w:hint="eastAsia" w:cs="宋体"/>
              </w:rPr>
              <w:t>2080505</w:t>
            </w:r>
          </w:p>
        </w:tc>
        <w:tc>
          <w:tcPr>
            <w:tcW w:w="25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机关事业单位基本养老保险缴费支出</w:t>
            </w:r>
          </w:p>
        </w:tc>
        <w:tc>
          <w:tcPr>
            <w:tcW w:w="1751" w:type="dxa"/>
            <w:tcBorders>
              <w:top w:val="nil"/>
              <w:left w:val="nil"/>
              <w:bottom w:val="single" w:color="auto" w:sz="4" w:space="0"/>
              <w:right w:val="single" w:color="auto" w:sz="4" w:space="0"/>
            </w:tcBorders>
            <w:noWrap/>
            <w:vAlign w:val="center"/>
          </w:tcPr>
          <w:p>
            <w:pPr>
              <w:jc w:val="right"/>
              <w:rPr>
                <w:rFonts w:hint="default" w:eastAsia="宋体" w:cs="宋体"/>
                <w:lang w:val="en-US" w:eastAsia="zh-CN"/>
              </w:rPr>
            </w:pPr>
            <w:r>
              <w:rPr>
                <w:rFonts w:hint="eastAsia" w:cs="宋体"/>
                <w:lang w:val="en-US" w:eastAsia="zh-CN"/>
              </w:rPr>
              <w:t>12.94</w:t>
            </w:r>
          </w:p>
        </w:tc>
        <w:tc>
          <w:tcPr>
            <w:tcW w:w="1201" w:type="dxa"/>
            <w:tcBorders>
              <w:top w:val="nil"/>
              <w:left w:val="nil"/>
              <w:bottom w:val="single" w:color="auto" w:sz="4" w:space="0"/>
              <w:right w:val="single" w:color="auto" w:sz="4" w:space="0"/>
            </w:tcBorders>
            <w:noWrap/>
            <w:vAlign w:val="center"/>
          </w:tcPr>
          <w:p>
            <w:pPr>
              <w:jc w:val="right"/>
              <w:rPr>
                <w:rFonts w:hint="default" w:eastAsia="宋体" w:cs="宋体"/>
                <w:lang w:val="en-US" w:eastAsia="zh-CN"/>
              </w:rPr>
            </w:pPr>
            <w:r>
              <w:rPr>
                <w:rFonts w:hint="eastAsia" w:cs="宋体"/>
                <w:lang w:val="en-US" w:eastAsia="zh-CN"/>
              </w:rPr>
              <w:t>12.41</w:t>
            </w:r>
          </w:p>
        </w:tc>
        <w:tc>
          <w:tcPr>
            <w:tcW w:w="1320"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lang w:val="en-US" w:eastAsia="zh-CN"/>
              </w:rPr>
            </w:pPr>
            <w:r>
              <w:rPr>
                <w:rFonts w:hint="eastAsia" w:ascii="宋体" w:hAnsi="宋体" w:cs="宋体"/>
                <w:kern w:val="0"/>
                <w:lang w:val="en-US" w:eastAsia="zh-CN"/>
              </w:rPr>
              <w:t>0.53</w:t>
            </w:r>
          </w:p>
        </w:tc>
        <w:tc>
          <w:tcPr>
            <w:tcW w:w="1800"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0" w:firstLineChars="100"/>
              <w:jc w:val="left"/>
              <w:rPr>
                <w:rFonts w:cs="宋体"/>
              </w:rPr>
            </w:pPr>
            <w:r>
              <w:rPr>
                <w:rFonts w:hint="eastAsia" w:cs="宋体"/>
              </w:rPr>
              <w:t>2080506</w:t>
            </w:r>
          </w:p>
        </w:tc>
        <w:tc>
          <w:tcPr>
            <w:tcW w:w="258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220" w:firstLineChars="100"/>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机关事业单位职业年金缴费支出</w:t>
            </w:r>
          </w:p>
        </w:tc>
        <w:tc>
          <w:tcPr>
            <w:tcW w:w="1751" w:type="dxa"/>
            <w:tcBorders>
              <w:top w:val="single" w:color="auto" w:sz="4" w:space="0"/>
              <w:left w:val="single" w:color="auto" w:sz="4" w:space="0"/>
              <w:bottom w:val="single" w:color="auto" w:sz="4" w:space="0"/>
              <w:right w:val="single" w:color="auto" w:sz="4" w:space="0"/>
            </w:tcBorders>
            <w:noWrap/>
            <w:vAlign w:val="center"/>
          </w:tcPr>
          <w:p>
            <w:pPr>
              <w:jc w:val="right"/>
              <w:rPr>
                <w:rFonts w:cs="宋体"/>
              </w:rPr>
            </w:pPr>
            <w:r>
              <w:rPr>
                <w:rFonts w:hint="eastAsia" w:cs="宋体"/>
                <w:lang w:val="en-US" w:eastAsia="zh-CN"/>
              </w:rPr>
              <w:t>8.56</w:t>
            </w:r>
          </w:p>
        </w:tc>
        <w:tc>
          <w:tcPr>
            <w:tcW w:w="1201"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eastAsia="宋体" w:cs="宋体"/>
                <w:lang w:val="en-US" w:eastAsia="zh-CN"/>
              </w:rPr>
            </w:pPr>
            <w:r>
              <w:rPr>
                <w:rFonts w:hint="eastAsia" w:cs="宋体"/>
                <w:lang w:val="en-US" w:eastAsia="zh-CN"/>
              </w:rPr>
              <w:t>8.56</w:t>
            </w:r>
          </w:p>
        </w:tc>
        <w:tc>
          <w:tcPr>
            <w:tcW w:w="13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rPr>
            </w:pPr>
          </w:p>
        </w:tc>
        <w:tc>
          <w:tcPr>
            <w:tcW w:w="180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1" w:firstLineChars="100"/>
              <w:jc w:val="left"/>
              <w:rPr>
                <w:rFonts w:cs="宋体"/>
                <w:b/>
                <w:bCs/>
              </w:rPr>
            </w:pPr>
            <w:r>
              <w:rPr>
                <w:rFonts w:hint="eastAsia" w:cs="宋体"/>
                <w:b/>
                <w:bCs/>
              </w:rPr>
              <w:t>210</w:t>
            </w:r>
          </w:p>
        </w:tc>
        <w:tc>
          <w:tcPr>
            <w:tcW w:w="258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卫生健康支出</w:t>
            </w:r>
          </w:p>
        </w:tc>
        <w:tc>
          <w:tcPr>
            <w:tcW w:w="1751" w:type="dxa"/>
            <w:tcBorders>
              <w:top w:val="single" w:color="auto" w:sz="4" w:space="0"/>
              <w:left w:val="nil"/>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eastAsia="zh-CN"/>
              </w:rPr>
              <w:t>8.18</w:t>
            </w:r>
          </w:p>
        </w:tc>
        <w:tc>
          <w:tcPr>
            <w:tcW w:w="1201" w:type="dxa"/>
            <w:tcBorders>
              <w:top w:val="single" w:color="auto" w:sz="4" w:space="0"/>
              <w:left w:val="nil"/>
              <w:bottom w:val="single" w:color="auto" w:sz="4" w:space="0"/>
              <w:right w:val="single" w:color="auto" w:sz="4" w:space="0"/>
            </w:tcBorders>
            <w:noWrap/>
            <w:vAlign w:val="center"/>
          </w:tcPr>
          <w:p>
            <w:pPr>
              <w:jc w:val="right"/>
              <w:rPr>
                <w:rFonts w:hint="default" w:eastAsia="宋体" w:cs="宋体"/>
                <w:b/>
                <w:bCs/>
                <w:lang w:val="en-US" w:eastAsia="zh-CN"/>
              </w:rPr>
            </w:pPr>
            <w:r>
              <w:rPr>
                <w:rFonts w:hint="eastAsia" w:cs="宋体"/>
                <w:b/>
                <w:bCs/>
                <w:lang w:eastAsia="zh-CN"/>
              </w:rPr>
              <w:t>8.</w:t>
            </w:r>
            <w:r>
              <w:rPr>
                <w:rFonts w:hint="eastAsia" w:cs="宋体"/>
                <w:b/>
                <w:bCs/>
                <w:lang w:val="en-US" w:eastAsia="zh-CN"/>
              </w:rPr>
              <w:t>05</w:t>
            </w:r>
          </w:p>
        </w:tc>
        <w:tc>
          <w:tcPr>
            <w:tcW w:w="1320" w:type="dxa"/>
            <w:tcBorders>
              <w:top w:val="single" w:color="auto" w:sz="4" w:space="0"/>
              <w:left w:val="nil"/>
              <w:bottom w:val="single" w:color="auto" w:sz="4" w:space="0"/>
              <w:right w:val="single" w:color="auto" w:sz="4" w:space="0"/>
            </w:tcBorders>
            <w:noWrap/>
            <w:vAlign w:val="center"/>
          </w:tcPr>
          <w:p>
            <w:pPr>
              <w:widowControl/>
              <w:jc w:val="right"/>
              <w:rPr>
                <w:rFonts w:hint="default" w:ascii="宋体" w:hAnsi="宋体" w:eastAsia="宋体" w:cs="宋体"/>
                <w:b/>
                <w:bCs/>
                <w:kern w:val="0"/>
                <w:lang w:val="en-US" w:eastAsia="zh-CN"/>
              </w:rPr>
            </w:pPr>
            <w:r>
              <w:rPr>
                <w:rFonts w:hint="eastAsia" w:ascii="宋体" w:hAnsi="宋体" w:cs="宋体"/>
                <w:b/>
                <w:bCs/>
                <w:kern w:val="0"/>
                <w:lang w:val="en-US" w:eastAsia="zh-CN"/>
              </w:rPr>
              <w:t>0.13</w:t>
            </w:r>
          </w:p>
        </w:tc>
        <w:tc>
          <w:tcPr>
            <w:tcW w:w="1800"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1" w:firstLineChars="100"/>
              <w:jc w:val="left"/>
              <w:rPr>
                <w:rFonts w:cs="宋体"/>
                <w:b/>
                <w:bCs/>
              </w:rPr>
            </w:pPr>
            <w:r>
              <w:rPr>
                <w:rFonts w:hint="eastAsia" w:cs="宋体"/>
                <w:b/>
                <w:bCs/>
              </w:rPr>
              <w:t>21011</w:t>
            </w:r>
          </w:p>
        </w:tc>
        <w:tc>
          <w:tcPr>
            <w:tcW w:w="258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行政事业单位医疗</w:t>
            </w:r>
          </w:p>
        </w:tc>
        <w:tc>
          <w:tcPr>
            <w:tcW w:w="1751"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eastAsia="zh-CN"/>
              </w:rPr>
              <w:t>8.18</w:t>
            </w:r>
          </w:p>
        </w:tc>
        <w:tc>
          <w:tcPr>
            <w:tcW w:w="1201"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eastAsia="宋体" w:cs="宋体"/>
                <w:b/>
                <w:bCs/>
                <w:lang w:val="en-US" w:eastAsia="zh-CN"/>
              </w:rPr>
            </w:pPr>
            <w:r>
              <w:rPr>
                <w:rFonts w:hint="eastAsia" w:cs="宋体"/>
                <w:b/>
                <w:bCs/>
                <w:lang w:eastAsia="zh-CN"/>
              </w:rPr>
              <w:t>8.</w:t>
            </w:r>
            <w:r>
              <w:rPr>
                <w:rFonts w:hint="eastAsia" w:cs="宋体"/>
                <w:b/>
                <w:bCs/>
                <w:lang w:val="en-US" w:eastAsia="zh-CN"/>
              </w:rPr>
              <w:t>05</w:t>
            </w:r>
          </w:p>
        </w:tc>
        <w:tc>
          <w:tcPr>
            <w:tcW w:w="13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default" w:ascii="宋体" w:hAnsi="宋体" w:eastAsia="宋体" w:cs="宋体"/>
                <w:b/>
                <w:bCs/>
                <w:kern w:val="0"/>
                <w:lang w:val="en-US" w:eastAsia="zh-CN"/>
              </w:rPr>
            </w:pPr>
            <w:r>
              <w:rPr>
                <w:rFonts w:hint="eastAsia" w:ascii="宋体" w:hAnsi="宋体" w:cs="宋体"/>
                <w:b/>
                <w:bCs/>
                <w:kern w:val="0"/>
                <w:lang w:val="en-US" w:eastAsia="zh-CN"/>
              </w:rPr>
              <w:t>0.13</w:t>
            </w:r>
          </w:p>
        </w:tc>
        <w:tc>
          <w:tcPr>
            <w:tcW w:w="180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0" w:firstLineChars="100"/>
              <w:jc w:val="left"/>
              <w:rPr>
                <w:rFonts w:cs="宋体"/>
              </w:rPr>
            </w:pPr>
            <w:r>
              <w:rPr>
                <w:rFonts w:hint="eastAsia" w:cs="宋体"/>
              </w:rPr>
              <w:t>2101101</w:t>
            </w:r>
          </w:p>
        </w:tc>
        <w:tc>
          <w:tcPr>
            <w:tcW w:w="258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行政单位医疗</w:t>
            </w:r>
          </w:p>
        </w:tc>
        <w:tc>
          <w:tcPr>
            <w:tcW w:w="1751"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eastAsia="宋体" w:cs="宋体"/>
                <w:lang w:eastAsia="zh-CN"/>
              </w:rPr>
            </w:pPr>
            <w:r>
              <w:rPr>
                <w:rFonts w:hint="eastAsia" w:cs="宋体"/>
                <w:lang w:eastAsia="zh-CN"/>
              </w:rPr>
              <w:t>8.18</w:t>
            </w:r>
          </w:p>
        </w:tc>
        <w:tc>
          <w:tcPr>
            <w:tcW w:w="1201"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eastAsia="宋体" w:cs="宋体"/>
                <w:lang w:val="en-US" w:eastAsia="zh-CN"/>
              </w:rPr>
            </w:pPr>
            <w:r>
              <w:rPr>
                <w:rFonts w:hint="eastAsia" w:cs="宋体"/>
                <w:lang w:val="en-US" w:eastAsia="zh-CN"/>
              </w:rPr>
              <w:t>8.05</w:t>
            </w:r>
          </w:p>
        </w:tc>
        <w:tc>
          <w:tcPr>
            <w:tcW w:w="13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default" w:ascii="宋体" w:hAnsi="宋体" w:eastAsia="宋体" w:cs="宋体"/>
                <w:kern w:val="0"/>
                <w:lang w:val="en-US" w:eastAsia="zh-CN"/>
              </w:rPr>
            </w:pPr>
            <w:r>
              <w:rPr>
                <w:rFonts w:hint="eastAsia" w:ascii="宋体" w:hAnsi="宋体" w:cs="宋体"/>
                <w:kern w:val="0"/>
                <w:lang w:val="en-US" w:eastAsia="zh-CN"/>
              </w:rPr>
              <w:t>0.13</w:t>
            </w:r>
          </w:p>
        </w:tc>
        <w:tc>
          <w:tcPr>
            <w:tcW w:w="180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1" w:firstLineChars="100"/>
              <w:jc w:val="left"/>
              <w:rPr>
                <w:rFonts w:cs="宋体"/>
                <w:b/>
                <w:bCs/>
              </w:rPr>
            </w:pPr>
            <w:r>
              <w:rPr>
                <w:rFonts w:hint="eastAsia" w:cs="宋体"/>
                <w:b/>
                <w:bCs/>
              </w:rPr>
              <w:t>221</w:t>
            </w:r>
          </w:p>
        </w:tc>
        <w:tc>
          <w:tcPr>
            <w:tcW w:w="258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住房保障支出</w:t>
            </w:r>
          </w:p>
        </w:tc>
        <w:tc>
          <w:tcPr>
            <w:tcW w:w="1751" w:type="dxa"/>
            <w:tcBorders>
              <w:top w:val="single" w:color="auto" w:sz="4" w:space="0"/>
              <w:left w:val="nil"/>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eastAsia="zh-CN"/>
              </w:rPr>
              <w:t>12.26</w:t>
            </w:r>
          </w:p>
        </w:tc>
        <w:tc>
          <w:tcPr>
            <w:tcW w:w="1201" w:type="dxa"/>
            <w:tcBorders>
              <w:top w:val="single" w:color="auto" w:sz="4" w:space="0"/>
              <w:left w:val="nil"/>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val="en-US" w:eastAsia="zh-CN"/>
              </w:rPr>
              <w:t>11.81</w:t>
            </w:r>
          </w:p>
        </w:tc>
        <w:tc>
          <w:tcPr>
            <w:tcW w:w="1320"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b/>
                <w:bCs/>
                <w:kern w:val="0"/>
              </w:rPr>
            </w:pPr>
            <w:r>
              <w:rPr>
                <w:rFonts w:hint="eastAsia" w:ascii="宋体" w:hAnsi="宋体" w:cs="宋体"/>
                <w:b/>
                <w:bCs/>
                <w:kern w:val="0"/>
                <w:lang w:val="en-US" w:eastAsia="zh-CN"/>
              </w:rPr>
              <w:t>0.45</w:t>
            </w:r>
            <w:r>
              <w:rPr>
                <w:rFonts w:hint="eastAsia" w:ascii="宋体" w:hAnsi="宋体" w:cs="宋体"/>
                <w:b/>
                <w:bCs/>
                <w:kern w:val="0"/>
              </w:rPr>
              <w:t>　</w:t>
            </w:r>
          </w:p>
        </w:tc>
        <w:tc>
          <w:tcPr>
            <w:tcW w:w="1800"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1" w:firstLineChars="100"/>
              <w:jc w:val="left"/>
              <w:rPr>
                <w:rFonts w:cs="宋体"/>
                <w:b/>
                <w:bCs/>
              </w:rPr>
            </w:pPr>
            <w:r>
              <w:rPr>
                <w:rFonts w:hint="eastAsia" w:cs="宋体"/>
                <w:b/>
                <w:bCs/>
              </w:rPr>
              <w:t>22102</w:t>
            </w:r>
          </w:p>
        </w:tc>
        <w:tc>
          <w:tcPr>
            <w:tcW w:w="258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b/>
                <w:bCs/>
                <w:color w:val="000000"/>
                <w:sz w:val="22"/>
                <w:szCs w:val="22"/>
              </w:rPr>
            </w:pPr>
            <w:r>
              <w:rPr>
                <w:rFonts w:hint="eastAsia" w:ascii="宋体" w:hAnsi="宋体" w:cs="宋体"/>
                <w:b/>
                <w:bCs/>
                <w:color w:val="000000"/>
                <w:kern w:val="0"/>
                <w:sz w:val="22"/>
                <w:szCs w:val="22"/>
              </w:rPr>
              <w:t>住房改革支出</w:t>
            </w:r>
          </w:p>
        </w:tc>
        <w:tc>
          <w:tcPr>
            <w:tcW w:w="1751"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eastAsia="zh-CN"/>
              </w:rPr>
              <w:t>12.26</w:t>
            </w:r>
          </w:p>
        </w:tc>
        <w:tc>
          <w:tcPr>
            <w:tcW w:w="1201"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eastAsia="宋体" w:cs="宋体"/>
                <w:b/>
                <w:bCs/>
                <w:lang w:eastAsia="zh-CN"/>
              </w:rPr>
            </w:pPr>
            <w:r>
              <w:rPr>
                <w:rFonts w:hint="eastAsia" w:cs="宋体"/>
                <w:b/>
                <w:bCs/>
                <w:lang w:val="en-US" w:eastAsia="zh-CN"/>
              </w:rPr>
              <w:t>11.81</w:t>
            </w:r>
          </w:p>
        </w:tc>
        <w:tc>
          <w:tcPr>
            <w:tcW w:w="13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b/>
                <w:bCs/>
                <w:kern w:val="0"/>
              </w:rPr>
            </w:pPr>
            <w:r>
              <w:rPr>
                <w:rFonts w:hint="eastAsia" w:ascii="宋体" w:hAnsi="宋体" w:cs="宋体"/>
                <w:b/>
                <w:bCs/>
                <w:kern w:val="0"/>
                <w:lang w:val="en-US" w:eastAsia="zh-CN"/>
              </w:rPr>
              <w:t>0.45</w:t>
            </w:r>
            <w:r>
              <w:rPr>
                <w:rFonts w:hint="eastAsia" w:ascii="宋体" w:hAnsi="宋体" w:cs="宋体"/>
                <w:b/>
                <w:bCs/>
                <w:kern w:val="0"/>
              </w:rPr>
              <w:t>　</w:t>
            </w:r>
          </w:p>
        </w:tc>
        <w:tc>
          <w:tcPr>
            <w:tcW w:w="180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1524"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c>
          <w:tcPr>
            <w:tcW w:w="2376"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0" w:firstLineChars="100"/>
              <w:jc w:val="left"/>
              <w:rPr>
                <w:rFonts w:cs="宋体"/>
              </w:rPr>
            </w:pPr>
            <w:r>
              <w:rPr>
                <w:rFonts w:hint="eastAsia" w:cs="宋体"/>
              </w:rPr>
              <w:t>2210201</w:t>
            </w:r>
          </w:p>
        </w:tc>
        <w:tc>
          <w:tcPr>
            <w:tcW w:w="2585"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住房公积金</w:t>
            </w:r>
          </w:p>
        </w:tc>
        <w:tc>
          <w:tcPr>
            <w:tcW w:w="1751" w:type="dxa"/>
            <w:tcBorders>
              <w:top w:val="single" w:color="auto" w:sz="4" w:space="0"/>
              <w:left w:val="nil"/>
              <w:bottom w:val="single" w:color="auto" w:sz="4" w:space="0"/>
              <w:right w:val="single" w:color="auto" w:sz="4" w:space="0"/>
            </w:tcBorders>
            <w:noWrap/>
            <w:vAlign w:val="center"/>
          </w:tcPr>
          <w:p>
            <w:pPr>
              <w:jc w:val="right"/>
              <w:rPr>
                <w:rFonts w:hint="eastAsia" w:eastAsia="宋体" w:cs="宋体"/>
                <w:lang w:eastAsia="zh-CN"/>
              </w:rPr>
            </w:pPr>
            <w:r>
              <w:rPr>
                <w:rFonts w:hint="eastAsia" w:cs="宋体"/>
                <w:lang w:eastAsia="zh-CN"/>
              </w:rPr>
              <w:t>12.26</w:t>
            </w:r>
          </w:p>
        </w:tc>
        <w:tc>
          <w:tcPr>
            <w:tcW w:w="1201" w:type="dxa"/>
            <w:tcBorders>
              <w:top w:val="single" w:color="auto" w:sz="4" w:space="0"/>
              <w:left w:val="nil"/>
              <w:bottom w:val="single" w:color="auto" w:sz="4" w:space="0"/>
              <w:right w:val="single" w:color="auto" w:sz="4" w:space="0"/>
            </w:tcBorders>
            <w:noWrap/>
            <w:vAlign w:val="center"/>
          </w:tcPr>
          <w:p>
            <w:pPr>
              <w:jc w:val="right"/>
              <w:rPr>
                <w:rFonts w:hint="default" w:eastAsia="宋体" w:cs="宋体"/>
                <w:lang w:val="en-US" w:eastAsia="zh-CN"/>
              </w:rPr>
            </w:pPr>
            <w:r>
              <w:rPr>
                <w:rFonts w:hint="eastAsia" w:cs="宋体"/>
                <w:lang w:val="en-US" w:eastAsia="zh-CN"/>
              </w:rPr>
              <w:t>11.81</w:t>
            </w:r>
          </w:p>
        </w:tc>
        <w:tc>
          <w:tcPr>
            <w:tcW w:w="1320" w:type="dxa"/>
            <w:tcBorders>
              <w:top w:val="single" w:color="auto" w:sz="4" w:space="0"/>
              <w:left w:val="nil"/>
              <w:bottom w:val="single" w:color="auto" w:sz="4" w:space="0"/>
              <w:right w:val="single" w:color="auto" w:sz="4" w:space="0"/>
            </w:tcBorders>
            <w:noWrap/>
            <w:vAlign w:val="center"/>
          </w:tcPr>
          <w:p>
            <w:pPr>
              <w:widowControl/>
              <w:jc w:val="right"/>
              <w:rPr>
                <w:rFonts w:ascii="宋体" w:cs="Times New Roman"/>
                <w:kern w:val="0"/>
              </w:rPr>
            </w:pPr>
            <w:r>
              <w:rPr>
                <w:rFonts w:hint="eastAsia" w:ascii="宋体" w:hAnsi="宋体" w:cs="宋体"/>
                <w:kern w:val="0"/>
                <w:lang w:val="en-US" w:eastAsia="zh-CN"/>
              </w:rPr>
              <w:t>0.45</w:t>
            </w:r>
            <w:r>
              <w:rPr>
                <w:rFonts w:hint="eastAsia" w:ascii="宋体" w:hAnsi="宋体" w:cs="宋体"/>
                <w:kern w:val="0"/>
              </w:rPr>
              <w:t>　</w:t>
            </w:r>
          </w:p>
        </w:tc>
        <w:tc>
          <w:tcPr>
            <w:tcW w:w="1800" w:type="dxa"/>
            <w:tcBorders>
              <w:top w:val="single" w:color="auto" w:sz="4" w:space="0"/>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c>
          <w:tcPr>
            <w:tcW w:w="1524" w:type="dxa"/>
            <w:tcBorders>
              <w:top w:val="single" w:color="auto" w:sz="4" w:space="0"/>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c>
          <w:tcPr>
            <w:tcW w:w="2376" w:type="dxa"/>
            <w:tcBorders>
              <w:top w:val="single" w:color="auto" w:sz="4" w:space="0"/>
              <w:left w:val="nil"/>
              <w:bottom w:val="single" w:color="auto" w:sz="4" w:space="0"/>
              <w:right w:val="single" w:color="auto" w:sz="4" w:space="0"/>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630" w:hRule="atLeast"/>
        </w:trPr>
        <w:tc>
          <w:tcPr>
            <w:tcW w:w="14057"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pStyle w:val="10"/>
        <w:rPr>
          <w:rFonts w:ascii="Times New Roman" w:hAnsi="Times New Roman" w:eastAsia="方正小标宋_GBK" w:cs="Times New Roman"/>
          <w:color w:val="000000"/>
          <w:kern w:val="0"/>
          <w:sz w:val="36"/>
          <w:szCs w:val="36"/>
        </w:rPr>
      </w:pPr>
    </w:p>
    <w:p>
      <w:pPr>
        <w:pStyle w:val="5"/>
        <w:rPr>
          <w:rFonts w:ascii="Times New Roman" w:hAnsi="Times New Roman" w:eastAsia="方正小标宋_GBK" w:cs="Times New Roman"/>
          <w:color w:val="000000"/>
          <w:kern w:val="0"/>
          <w:sz w:val="36"/>
          <w:szCs w:val="36"/>
        </w:rPr>
      </w:pPr>
    </w:p>
    <w:p>
      <w:pPr>
        <w:rPr>
          <w:rFonts w:ascii="Times New Roman" w:hAnsi="Times New Roman" w:eastAsia="方正小标宋_GBK" w:cs="Times New Roman"/>
          <w:color w:val="000000"/>
          <w:kern w:val="0"/>
          <w:sz w:val="36"/>
          <w:szCs w:val="36"/>
        </w:rPr>
      </w:pPr>
    </w:p>
    <w:p>
      <w:pPr>
        <w:pStyle w:val="10"/>
      </w:pPr>
    </w:p>
    <w:tbl>
      <w:tblPr>
        <w:tblStyle w:val="12"/>
        <w:tblW w:w="15522" w:type="dxa"/>
        <w:tblInd w:w="-106" w:type="dxa"/>
        <w:tblLayout w:type="autofit"/>
        <w:tblCellMar>
          <w:top w:w="0" w:type="dxa"/>
          <w:left w:w="108" w:type="dxa"/>
          <w:bottom w:w="0" w:type="dxa"/>
          <w:right w:w="108" w:type="dxa"/>
        </w:tblCellMar>
      </w:tblPr>
      <w:tblGrid>
        <w:gridCol w:w="3596"/>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noWrap/>
            <w:vAlign w:val="center"/>
          </w:tcPr>
          <w:p>
            <w:pPr>
              <w:widowControl/>
              <w:jc w:val="center"/>
              <w:rPr>
                <w:rFonts w:hint="eastAsia" w:ascii="华文中宋" w:hAnsi="华文中宋" w:eastAsia="华文中宋" w:cs="华文中宋"/>
                <w:color w:val="000000"/>
                <w:kern w:val="0"/>
                <w:sz w:val="32"/>
                <w:szCs w:val="32"/>
              </w:rPr>
            </w:pPr>
            <w:bookmarkStart w:id="0" w:name="RANGE_A1_I22"/>
            <w:bookmarkEnd w:id="0"/>
            <w:bookmarkStart w:id="1" w:name="RANGE_A1_F16"/>
          </w:p>
          <w:p>
            <w:pPr>
              <w:widowControl/>
              <w:jc w:val="center"/>
              <w:rPr>
                <w:rFonts w:hint="eastAsia" w:ascii="华文中宋" w:hAnsi="华文中宋" w:eastAsia="华文中宋" w:cs="华文中宋"/>
                <w:color w:val="000000"/>
                <w:kern w:val="0"/>
                <w:sz w:val="32"/>
                <w:szCs w:val="32"/>
              </w:rPr>
            </w:pPr>
          </w:p>
          <w:p>
            <w:pPr>
              <w:widowControl/>
              <w:jc w:val="center"/>
              <w:rPr>
                <w:rFonts w:hint="eastAsia" w:ascii="华文中宋" w:hAnsi="华文中宋" w:eastAsia="华文中宋" w:cs="华文中宋"/>
                <w:color w:val="000000"/>
                <w:kern w:val="0"/>
                <w:sz w:val="32"/>
                <w:szCs w:val="32"/>
              </w:rPr>
            </w:pPr>
          </w:p>
          <w:p>
            <w:pPr>
              <w:widowControl/>
              <w:jc w:val="center"/>
              <w:rPr>
                <w:rFonts w:hint="eastAsia" w:ascii="华文中宋" w:hAnsi="华文中宋" w:eastAsia="华文中宋" w:cs="华文中宋"/>
                <w:color w:val="000000"/>
                <w:kern w:val="0"/>
                <w:sz w:val="32"/>
                <w:szCs w:val="32"/>
              </w:rPr>
            </w:pPr>
          </w:p>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rPr>
              <w:t>湘潭县工商业联合会</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lang w:eastAsia="zh-CN"/>
              </w:rPr>
              <w:t>194.62</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28</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lang w:val="en-US" w:eastAsia="zh-CN"/>
              </w:rPr>
            </w:pPr>
            <w:r>
              <w:rPr>
                <w:rFonts w:hint="eastAsia" w:ascii="宋体" w:hAnsi="宋体" w:cs="宋体"/>
                <w:kern w:val="0"/>
                <w:sz w:val="22"/>
                <w:szCs w:val="22"/>
                <w:lang w:val="en-US" w:eastAsia="zh-CN"/>
              </w:rPr>
              <w:t>152.68</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lang w:val="en-US" w:eastAsia="zh-CN"/>
              </w:rPr>
            </w:pPr>
            <w:r>
              <w:rPr>
                <w:rFonts w:hint="eastAsia" w:ascii="宋体" w:hAnsi="宋体" w:cs="宋体"/>
                <w:kern w:val="0"/>
                <w:sz w:val="22"/>
                <w:szCs w:val="22"/>
                <w:lang w:val="en-US" w:eastAsia="zh-CN"/>
              </w:rPr>
              <w:t>152.68</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0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0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0　</w:t>
            </w: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29</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0　</w:t>
            </w: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30</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31</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32</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33</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34</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21.5</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21.5</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8.18</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8.18</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37</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38</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39</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40</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41</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42</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43</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44</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45</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0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1067"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46</w:t>
            </w:r>
          </w:p>
        </w:tc>
        <w:tc>
          <w:tcPr>
            <w:tcW w:w="157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12.26</w:t>
            </w:r>
          </w:p>
        </w:tc>
        <w:tc>
          <w:tcPr>
            <w:tcW w:w="139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12.26</w:t>
            </w:r>
          </w:p>
        </w:tc>
        <w:tc>
          <w:tcPr>
            <w:tcW w:w="139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078"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single" w:color="auto" w:sz="4" w:space="0"/>
              <w:left w:val="nil"/>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1067" w:type="dxa"/>
            <w:gridSpan w:val="2"/>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47</w:t>
            </w:r>
          </w:p>
        </w:tc>
        <w:tc>
          <w:tcPr>
            <w:tcW w:w="1573"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078"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341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ascii="仿宋" w:hAnsi="仿宋" w:eastAsia="仿宋" w:cs="仿宋"/>
                <w:kern w:val="0"/>
                <w:sz w:val="22"/>
                <w:szCs w:val="22"/>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48</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lang w:eastAsia="zh-CN"/>
              </w:rPr>
              <w:t>194.62</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49</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2"/>
                <w:szCs w:val="22"/>
                <w:lang w:eastAsia="zh-CN"/>
              </w:rPr>
            </w:pPr>
            <w:r>
              <w:rPr>
                <w:rFonts w:hint="eastAsia" w:ascii="宋体" w:hAnsi="宋体" w:cs="宋体"/>
                <w:kern w:val="0"/>
                <w:sz w:val="22"/>
                <w:szCs w:val="22"/>
              </w:rPr>
              <w:t>　</w:t>
            </w:r>
            <w:r>
              <w:rPr>
                <w:rFonts w:hint="eastAsia" w:ascii="宋体" w:hAnsi="宋体" w:cs="宋体"/>
                <w:kern w:val="0"/>
                <w:sz w:val="22"/>
                <w:szCs w:val="22"/>
                <w:lang w:eastAsia="zh-CN"/>
              </w:rPr>
              <w:t>194.62</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仿宋" w:hAnsi="仿宋" w:eastAsia="仿宋" w:cs="仿宋"/>
                <w:kern w:val="0"/>
                <w:sz w:val="22"/>
                <w:szCs w:val="22"/>
                <w:lang w:eastAsia="zh-CN"/>
              </w:rPr>
            </w:pPr>
            <w:r>
              <w:rPr>
                <w:rFonts w:hint="eastAsia" w:ascii="仿宋" w:hAnsi="仿宋" w:eastAsia="仿宋" w:cs="仿宋"/>
                <w:kern w:val="0"/>
                <w:sz w:val="22"/>
                <w:szCs w:val="22"/>
                <w:lang w:eastAsia="zh-CN"/>
              </w:rPr>
              <w:t>194.62</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hint="eastAsia" w:ascii="宋体" w:hAnsi="宋体" w:cs="宋体"/>
                <w:kern w:val="0"/>
                <w:sz w:val="22"/>
                <w:szCs w:val="22"/>
              </w:rPr>
              <w:t>　0</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hint="eastAsia" w:ascii="宋体" w:hAnsi="宋体" w:cs="宋体"/>
                <w:kern w:val="0"/>
                <w:sz w:val="22"/>
                <w:szCs w:val="22"/>
              </w:rPr>
              <w:t>　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ind w:firstLine="660" w:firstLineChars="300"/>
              <w:jc w:val="left"/>
              <w:rPr>
                <w:rFonts w:ascii="仿宋" w:hAnsi="仿宋" w:eastAsia="仿宋" w:cs="仿宋"/>
                <w:kern w:val="0"/>
                <w:sz w:val="22"/>
                <w:szCs w:val="22"/>
              </w:rPr>
            </w:pPr>
            <w:r>
              <w:rPr>
                <w:rFonts w:hint="eastAsia" w:ascii="仿宋" w:hAnsi="仿宋" w:eastAsia="仿宋" w:cs="仿宋"/>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0　</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仿宋" w:hAnsi="仿宋" w:eastAsia="仿宋" w:cs="仿宋"/>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 xml:space="preserve">      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0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51</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 xml:space="preserve">      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0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 xml:space="preserve">      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53</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27</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lang w:eastAsia="zh-CN"/>
              </w:rPr>
              <w:t>194.62</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54</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lang w:eastAsia="zh-CN"/>
              </w:rPr>
            </w:pPr>
            <w:r>
              <w:rPr>
                <w:rFonts w:hint="eastAsia" w:ascii="宋体" w:hAnsi="宋体" w:cs="宋体"/>
                <w:kern w:val="0"/>
                <w:sz w:val="22"/>
                <w:szCs w:val="22"/>
              </w:rPr>
              <w:t>　</w:t>
            </w:r>
            <w:r>
              <w:rPr>
                <w:rFonts w:hint="eastAsia" w:ascii="宋体" w:hAnsi="宋体" w:cs="宋体"/>
                <w:kern w:val="0"/>
                <w:sz w:val="22"/>
                <w:szCs w:val="22"/>
                <w:lang w:eastAsia="zh-CN"/>
              </w:rPr>
              <w:t>194.62</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lang w:eastAsia="zh-CN"/>
              </w:rPr>
            </w:pPr>
            <w:r>
              <w:rPr>
                <w:rFonts w:hint="eastAsia" w:ascii="宋体" w:hAnsi="宋体" w:cs="宋体"/>
                <w:kern w:val="0"/>
                <w:sz w:val="22"/>
                <w:szCs w:val="22"/>
              </w:rPr>
              <w:t>　</w:t>
            </w:r>
            <w:r>
              <w:rPr>
                <w:rFonts w:hint="eastAsia" w:ascii="宋体" w:hAnsi="宋体" w:cs="宋体"/>
                <w:kern w:val="0"/>
                <w:sz w:val="22"/>
                <w:szCs w:val="22"/>
                <w:lang w:eastAsia="zh-CN"/>
              </w:rPr>
              <w:t>194.62</w:t>
            </w:r>
          </w:p>
        </w:tc>
        <w:tc>
          <w:tcPr>
            <w:tcW w:w="1394"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0</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0</w:t>
            </w:r>
          </w:p>
        </w:tc>
      </w:tr>
      <w:tr>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仿宋" w:hAnsi="仿宋" w:eastAsia="仿宋" w:cs="仿宋"/>
                <w:kern w:val="0"/>
                <w:sz w:val="22"/>
                <w:szCs w:val="22"/>
              </w:rPr>
              <w:t>注：本表反映部门本年度一般公共预算财政拨款、政府性基金预算财政拨款和国有资本经营预算财政拨款的总收支和年末结转结余情况。</w:t>
            </w:r>
          </w:p>
        </w:tc>
      </w:tr>
    </w:tbl>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widowControl/>
        <w:rPr>
          <w:rFonts w:ascii="Times New Roman" w:hAnsi="Times New Roman" w:eastAsia="方正小标宋_GBK" w:cs="Times New Roman"/>
          <w:kern w:val="0"/>
          <w:sz w:val="36"/>
          <w:szCs w:val="36"/>
        </w:rPr>
      </w:pPr>
    </w:p>
    <w:p>
      <w:pPr>
        <w:pStyle w:val="10"/>
        <w:rPr>
          <w:rFonts w:ascii="Times New Roman" w:hAnsi="Times New Roman" w:eastAsia="方正小标宋_GBK" w:cs="Times New Roman"/>
          <w:kern w:val="0"/>
          <w:sz w:val="36"/>
          <w:szCs w:val="36"/>
        </w:rPr>
      </w:pPr>
    </w:p>
    <w:p>
      <w:pPr>
        <w:pStyle w:val="10"/>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湘潭县工商业联合会</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12"/>
        <w:tblW w:w="4999" w:type="pct"/>
        <w:jc w:val="center"/>
        <w:tblLayout w:type="autofit"/>
        <w:tblCellMar>
          <w:top w:w="0" w:type="dxa"/>
          <w:left w:w="108" w:type="dxa"/>
          <w:bottom w:w="0" w:type="dxa"/>
          <w:right w:w="108" w:type="dxa"/>
        </w:tblCellMar>
      </w:tblPr>
      <w:tblGrid>
        <w:gridCol w:w="3054"/>
        <w:gridCol w:w="4266"/>
        <w:gridCol w:w="2832"/>
        <w:gridCol w:w="2536"/>
        <w:gridCol w:w="2923"/>
      </w:tblGrid>
      <w:tr>
        <w:tblPrEx>
          <w:tblCellMar>
            <w:top w:w="0" w:type="dxa"/>
            <w:left w:w="108" w:type="dxa"/>
            <w:bottom w:w="0" w:type="dxa"/>
            <w:right w:w="108" w:type="dxa"/>
          </w:tblCellMar>
        </w:tblPrEx>
        <w:trPr>
          <w:trHeight w:val="379" w:hRule="atLeast"/>
          <w:jc w:val="center"/>
        </w:trPr>
        <w:tc>
          <w:tcPr>
            <w:tcW w:w="2344" w:type="pct"/>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655" w:type="pct"/>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379" w:hRule="atLeast"/>
          <w:jc w:val="center"/>
        </w:trPr>
        <w:tc>
          <w:tcPr>
            <w:tcW w:w="978" w:type="pct"/>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Calibri" w:hAnsi="Calibri" w:eastAsia="宋体" w:cs="Calibri"/>
                <w:kern w:val="2"/>
                <w:sz w:val="21"/>
                <w:szCs w:val="21"/>
                <w:lang w:val="en-US" w:eastAsia="zh-CN" w:bidi="ar-SA"/>
              </w:rPr>
            </w:pPr>
            <w:r>
              <w:rPr>
                <w:rFonts w:hint="eastAsia" w:ascii="Times New Roman" w:hAnsi="Times New Roman" w:eastAsia="仿宋_GB2312" w:cs="仿宋_GB2312"/>
                <w:b/>
                <w:bCs/>
                <w:kern w:val="0"/>
              </w:rPr>
              <w:t>功能分类科目编码</w:t>
            </w:r>
          </w:p>
        </w:tc>
        <w:tc>
          <w:tcPr>
            <w:tcW w:w="1366" w:type="pct"/>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907" w:type="pct"/>
            <w:vMerge w:val="restart"/>
            <w:tcBorders>
              <w:top w:val="nil"/>
              <w:left w:val="single" w:color="auto" w:sz="4" w:space="0"/>
              <w:bottom w:val="single" w:color="000000" w:sz="4" w:space="0"/>
              <w:right w:val="single" w:color="auto" w:sz="4" w:space="0"/>
            </w:tcBorders>
            <w:vAlign w:val="center"/>
          </w:tcPr>
          <w:p>
            <w:pPr>
              <w:widowControl/>
              <w:jc w:val="center"/>
              <w:rPr>
                <w:rFonts w:hint="eastAsia" w:ascii="Times New Roman" w:hAnsi="Times New Roman" w:eastAsia="仿宋_GB2312" w:cs="Times New Roman"/>
                <w:b/>
                <w:bCs/>
                <w:kern w:val="0"/>
                <w:lang w:val="en-US" w:eastAsia="zh-CN"/>
              </w:rPr>
            </w:pPr>
            <w:r>
              <w:rPr>
                <w:rFonts w:hint="eastAsia" w:ascii="Times New Roman" w:hAnsi="Times New Roman" w:eastAsia="仿宋_GB2312" w:cs="仿宋_GB2312"/>
                <w:b/>
                <w:bCs/>
                <w:kern w:val="0"/>
              </w:rPr>
              <w:t>小计</w:t>
            </w:r>
          </w:p>
        </w:tc>
        <w:tc>
          <w:tcPr>
            <w:tcW w:w="812" w:type="pct"/>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935" w:type="pct"/>
            <w:vMerge w:val="restart"/>
            <w:tcBorders>
              <w:top w:val="nil"/>
              <w:left w:val="single" w:color="auto" w:sz="4" w:space="0"/>
              <w:bottom w:val="single" w:color="000000" w:sz="4" w:space="0"/>
              <w:right w:val="single" w:color="auto" w:sz="8" w:space="0"/>
            </w:tcBorders>
            <w:vAlign w:val="center"/>
          </w:tcPr>
          <w:p>
            <w:pPr>
              <w:widowControl/>
              <w:ind w:firstLine="843" w:firstLineChars="400"/>
              <w:jc w:val="both"/>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79" w:hRule="atLeast"/>
          <w:jc w:val="center"/>
        </w:trPr>
        <w:tc>
          <w:tcPr>
            <w:tcW w:w="978" w:type="pct"/>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366"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907"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812"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935" w:type="pct"/>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79" w:hRule="atLeast"/>
          <w:jc w:val="center"/>
        </w:trPr>
        <w:tc>
          <w:tcPr>
            <w:tcW w:w="978" w:type="pct"/>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366"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907"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812"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935" w:type="pct"/>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79" w:hRule="atLeast"/>
          <w:jc w:val="center"/>
        </w:trPr>
        <w:tc>
          <w:tcPr>
            <w:tcW w:w="2344"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907" w:type="pct"/>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812" w:type="pct"/>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935" w:type="pct"/>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379" w:hRule="atLeast"/>
          <w:jc w:val="center"/>
        </w:trPr>
        <w:tc>
          <w:tcPr>
            <w:tcW w:w="2344"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907"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b/>
                <w:bCs/>
                <w:kern w:val="0"/>
                <w:sz w:val="21"/>
                <w:szCs w:val="21"/>
                <w:lang w:eastAsia="zh-CN"/>
              </w:rPr>
            </w:pPr>
            <w:r>
              <w:rPr>
                <w:rFonts w:hint="eastAsia" w:ascii="宋体" w:hAnsi="宋体" w:cs="宋体"/>
                <w:b/>
                <w:bCs/>
                <w:kern w:val="0"/>
                <w:lang w:val="en-US" w:eastAsia="zh-CN"/>
              </w:rPr>
              <w:t>194.62</w:t>
            </w:r>
            <w:r>
              <w:rPr>
                <w:rFonts w:hint="eastAsia" w:ascii="宋体" w:hAnsi="宋体" w:cs="宋体"/>
                <w:b/>
                <w:bCs/>
                <w:kern w:val="0"/>
              </w:rPr>
              <w:t>　</w:t>
            </w:r>
          </w:p>
        </w:tc>
        <w:tc>
          <w:tcPr>
            <w:tcW w:w="812"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b/>
                <w:bCs/>
                <w:kern w:val="0"/>
                <w:sz w:val="21"/>
                <w:szCs w:val="21"/>
              </w:rPr>
            </w:pPr>
            <w:r>
              <w:rPr>
                <w:rFonts w:hint="eastAsia" w:ascii="宋体" w:hAnsi="宋体" w:cs="宋体"/>
                <w:b/>
                <w:bCs/>
                <w:kern w:val="0"/>
                <w:lang w:val="en-US" w:eastAsia="zh-CN"/>
              </w:rPr>
              <w:t>166.23</w:t>
            </w:r>
            <w:r>
              <w:rPr>
                <w:rFonts w:hint="eastAsia" w:ascii="宋体" w:hAnsi="宋体" w:cs="宋体"/>
                <w:b/>
                <w:bCs/>
                <w:kern w:val="0"/>
              </w:rPr>
              <w:t>　</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b/>
                <w:bCs/>
                <w:kern w:val="0"/>
                <w:sz w:val="21"/>
                <w:szCs w:val="21"/>
              </w:rPr>
            </w:pPr>
            <w:r>
              <w:rPr>
                <w:rFonts w:hint="eastAsia" w:ascii="宋体" w:hAnsi="宋体" w:cs="宋体"/>
                <w:b/>
                <w:bCs/>
                <w:kern w:val="0"/>
                <w:lang w:val="en-US" w:eastAsia="zh-CN"/>
              </w:rPr>
              <w:t>28.39</w:t>
            </w:r>
            <w:r>
              <w:rPr>
                <w:rFonts w:hint="eastAsia" w:ascii="宋体" w:hAnsi="宋体" w:cs="宋体"/>
                <w:b/>
                <w:bCs/>
                <w:kern w:val="0"/>
              </w:rPr>
              <w:t>　</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　201</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一般公共服务支出</w:t>
            </w:r>
          </w:p>
        </w:tc>
        <w:tc>
          <w:tcPr>
            <w:tcW w:w="907"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b/>
                <w:bCs/>
                <w:kern w:val="0"/>
                <w:sz w:val="21"/>
                <w:szCs w:val="21"/>
              </w:rPr>
            </w:pPr>
            <w:r>
              <w:rPr>
                <w:rFonts w:hint="eastAsia" w:ascii="宋体" w:hAnsi="宋体" w:cs="宋体"/>
                <w:b/>
                <w:bCs/>
                <w:kern w:val="0"/>
                <w:lang w:eastAsia="zh-CN"/>
              </w:rPr>
              <w:t>152.68</w:t>
            </w:r>
          </w:p>
        </w:tc>
        <w:tc>
          <w:tcPr>
            <w:tcW w:w="812"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b/>
                <w:bCs/>
                <w:kern w:val="0"/>
                <w:sz w:val="21"/>
                <w:szCs w:val="21"/>
              </w:rPr>
            </w:pPr>
            <w:r>
              <w:rPr>
                <w:rFonts w:hint="eastAsia" w:ascii="宋体" w:hAnsi="宋体" w:cs="宋体"/>
                <w:b/>
                <w:bCs/>
                <w:kern w:val="0"/>
                <w:lang w:val="en-US" w:eastAsia="zh-CN"/>
              </w:rPr>
              <w:t>125.4</w:t>
            </w:r>
            <w:r>
              <w:rPr>
                <w:rFonts w:hint="eastAsia" w:ascii="宋体" w:hAnsi="宋体" w:cs="宋体"/>
                <w:b/>
                <w:bCs/>
                <w:kern w:val="0"/>
              </w:rPr>
              <w:t>　</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b/>
                <w:bCs/>
                <w:kern w:val="0"/>
                <w:sz w:val="21"/>
                <w:szCs w:val="21"/>
              </w:rPr>
            </w:pPr>
            <w:r>
              <w:rPr>
                <w:rFonts w:hint="eastAsia" w:ascii="宋体" w:hAnsi="宋体" w:cs="宋体"/>
                <w:b/>
                <w:bCs/>
                <w:kern w:val="0"/>
                <w:lang w:val="en-US" w:eastAsia="zh-CN"/>
              </w:rPr>
              <w:t>27.28</w:t>
            </w:r>
            <w:r>
              <w:rPr>
                <w:rFonts w:hint="eastAsia" w:ascii="宋体" w:hAnsi="宋体" w:cs="宋体"/>
                <w:b/>
                <w:bCs/>
                <w:kern w:val="0"/>
              </w:rPr>
              <w:t>　</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　20128</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民主党派及工商联事务</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kern w:val="0"/>
                <w:sz w:val="21"/>
                <w:szCs w:val="21"/>
              </w:rPr>
            </w:pPr>
            <w:r>
              <w:rPr>
                <w:rFonts w:hint="eastAsia" w:ascii="宋体" w:hAnsi="宋体" w:cs="宋体"/>
                <w:b/>
                <w:kern w:val="0"/>
                <w:lang w:val="en-US" w:eastAsia="zh-CN"/>
              </w:rPr>
              <w:t>152.68</w:t>
            </w:r>
          </w:p>
        </w:tc>
        <w:tc>
          <w:tcPr>
            <w:tcW w:w="812"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b/>
                <w:kern w:val="0"/>
                <w:sz w:val="21"/>
                <w:szCs w:val="21"/>
              </w:rPr>
            </w:pPr>
            <w:r>
              <w:rPr>
                <w:rFonts w:hint="eastAsia" w:ascii="宋体" w:hAnsi="宋体" w:cs="宋体"/>
                <w:b/>
                <w:kern w:val="0"/>
                <w:lang w:val="en-US" w:eastAsia="zh-CN"/>
              </w:rPr>
              <w:t>125.4</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b/>
                <w:kern w:val="0"/>
                <w:sz w:val="21"/>
                <w:szCs w:val="21"/>
              </w:rPr>
            </w:pPr>
            <w:r>
              <w:rPr>
                <w:rFonts w:hint="eastAsia" w:ascii="宋体" w:hAnsi="宋体" w:cs="宋体"/>
                <w:b/>
                <w:kern w:val="0"/>
                <w:lang w:val="en-US" w:eastAsia="zh-CN"/>
              </w:rPr>
              <w:t>27.28</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jc w:val="left"/>
              <w:rPr>
                <w:rFonts w:hint="eastAsia" w:ascii="方正楷体_GB2312" w:hAnsi="方正楷体_GB2312" w:eastAsia="方正楷体_GB2312" w:cs="方正楷体_GB2312"/>
                <w:sz w:val="21"/>
                <w:szCs w:val="21"/>
              </w:rPr>
            </w:pPr>
            <w:r>
              <w:rPr>
                <w:rFonts w:hint="eastAsia" w:ascii="方正楷体_GB2312" w:hAnsi="方正楷体_GB2312" w:eastAsia="方正楷体_GB2312" w:cs="方正楷体_GB2312"/>
                <w:sz w:val="21"/>
                <w:szCs w:val="21"/>
              </w:rPr>
              <w:t>　2012801</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color w:val="000000"/>
                <w:sz w:val="21"/>
                <w:szCs w:val="21"/>
              </w:rPr>
            </w:pPr>
            <w:r>
              <w:rPr>
                <w:rFonts w:hint="eastAsia" w:ascii="方正楷体_GB2312" w:hAnsi="方正楷体_GB2312" w:eastAsia="方正楷体_GB2312" w:cs="方正楷体_GB2312"/>
                <w:color w:val="000000"/>
                <w:kern w:val="0"/>
                <w:sz w:val="21"/>
                <w:szCs w:val="21"/>
              </w:rPr>
              <w:t xml:space="preserve">  行政运行</w:t>
            </w:r>
          </w:p>
        </w:tc>
        <w:tc>
          <w:tcPr>
            <w:tcW w:w="907"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121.41</w:t>
            </w:r>
          </w:p>
        </w:tc>
        <w:tc>
          <w:tcPr>
            <w:tcW w:w="812"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121.41</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jc w:val="left"/>
              <w:rPr>
                <w:rFonts w:hint="eastAsia" w:ascii="Calibri" w:hAnsi="Calibri" w:eastAsia="宋体" w:cs="宋体"/>
                <w:kern w:val="2"/>
                <w:sz w:val="21"/>
                <w:szCs w:val="21"/>
                <w:lang w:val="en-US" w:eastAsia="zh-CN" w:bidi="ar-SA"/>
              </w:rPr>
            </w:pPr>
            <w:r>
              <w:rPr>
                <w:rFonts w:hint="eastAsia" w:cs="宋体"/>
                <w:lang w:val="en-US" w:eastAsia="zh-CN"/>
              </w:rPr>
              <w:t xml:space="preserve">  2012802</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 xml:space="preserve">  </w:t>
            </w:r>
            <w:r>
              <w:rPr>
                <w:rFonts w:hint="eastAsia" w:ascii="方正楷体_GB2312" w:hAnsi="方正楷体_GB2312" w:eastAsia="方正楷体_GB2312" w:cs="方正楷体_GB2312"/>
                <w:color w:val="000000"/>
                <w:kern w:val="0"/>
                <w:sz w:val="21"/>
                <w:szCs w:val="21"/>
                <w:lang w:val="en-US" w:eastAsia="zh-CN"/>
              </w:rPr>
              <w:t>一般行政管理事务</w:t>
            </w:r>
          </w:p>
        </w:tc>
        <w:tc>
          <w:tcPr>
            <w:tcW w:w="907"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13.51</w:t>
            </w:r>
          </w:p>
        </w:tc>
        <w:tc>
          <w:tcPr>
            <w:tcW w:w="812"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kern w:val="0"/>
                <w:sz w:val="21"/>
                <w:szCs w:val="21"/>
              </w:rPr>
            </w:pP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13.51</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0" w:firstLineChars="100"/>
              <w:jc w:val="left"/>
              <w:rPr>
                <w:rFonts w:hint="eastAsia" w:ascii="方正楷体_GB2312" w:hAnsi="方正楷体_GB2312" w:eastAsia="方正楷体_GB2312" w:cs="方正楷体_GB2312"/>
                <w:sz w:val="21"/>
                <w:szCs w:val="21"/>
              </w:rPr>
            </w:pPr>
            <w:r>
              <w:rPr>
                <w:rFonts w:hint="eastAsia" w:ascii="方正楷体_GB2312" w:hAnsi="方正楷体_GB2312" w:eastAsia="方正楷体_GB2312" w:cs="方正楷体_GB2312"/>
                <w:sz w:val="21"/>
                <w:szCs w:val="21"/>
              </w:rPr>
              <w:t>2012899</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color w:val="000000"/>
                <w:sz w:val="21"/>
                <w:szCs w:val="21"/>
              </w:rPr>
            </w:pPr>
            <w:r>
              <w:rPr>
                <w:rFonts w:hint="eastAsia" w:ascii="方正楷体_GB2312" w:hAnsi="方正楷体_GB2312" w:eastAsia="方正楷体_GB2312" w:cs="方正楷体_GB2312"/>
                <w:color w:val="000000"/>
                <w:kern w:val="0"/>
                <w:sz w:val="21"/>
                <w:szCs w:val="21"/>
              </w:rPr>
              <w:t xml:space="preserve">  其他民主党派及工商联事务支出</w:t>
            </w:r>
          </w:p>
        </w:tc>
        <w:tc>
          <w:tcPr>
            <w:tcW w:w="907"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bCs/>
                <w:kern w:val="0"/>
                <w:sz w:val="21"/>
                <w:szCs w:val="21"/>
                <w:lang w:eastAsia="zh-CN"/>
              </w:rPr>
            </w:pPr>
            <w:r>
              <w:rPr>
                <w:rFonts w:hint="eastAsia" w:ascii="宋体" w:hAnsi="宋体" w:cs="宋体"/>
                <w:bCs/>
                <w:kern w:val="0"/>
                <w:lang w:val="en-US" w:eastAsia="zh-CN"/>
              </w:rPr>
              <w:t>17.76</w:t>
            </w:r>
          </w:p>
        </w:tc>
        <w:tc>
          <w:tcPr>
            <w:tcW w:w="812" w:type="pct"/>
            <w:tcBorders>
              <w:top w:val="nil"/>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bCs/>
                <w:kern w:val="0"/>
                <w:sz w:val="21"/>
                <w:szCs w:val="21"/>
              </w:rPr>
            </w:pPr>
            <w:r>
              <w:rPr>
                <w:rFonts w:hint="eastAsia" w:ascii="宋体" w:hAnsi="宋体" w:cs="宋体"/>
                <w:bCs/>
                <w:kern w:val="0"/>
                <w:lang w:val="en-US" w:eastAsia="zh-CN"/>
              </w:rPr>
              <w:t>3.99</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13.77</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1" w:firstLineChars="100"/>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208</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社会保障和就业支出</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21.5</w:t>
            </w:r>
          </w:p>
        </w:tc>
        <w:tc>
          <w:tcPr>
            <w:tcW w:w="812"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rPr>
            </w:pPr>
            <w:r>
              <w:rPr>
                <w:rFonts w:hint="eastAsia" w:cs="宋体"/>
                <w:b/>
                <w:bCs/>
                <w:lang w:val="en-US" w:eastAsia="zh-CN"/>
              </w:rPr>
              <w:t>20.97</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b/>
                <w:kern w:val="0"/>
                <w:sz w:val="21"/>
                <w:szCs w:val="21"/>
              </w:rPr>
            </w:pPr>
            <w:r>
              <w:rPr>
                <w:rFonts w:hint="eastAsia" w:ascii="宋体" w:hAnsi="宋体" w:cs="宋体"/>
                <w:b/>
                <w:kern w:val="0"/>
                <w:lang w:val="en-US" w:eastAsia="zh-CN"/>
              </w:rPr>
              <w:t>0.53</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1" w:firstLineChars="100"/>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20805</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行政事业单位养老支出</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21.5</w:t>
            </w:r>
          </w:p>
        </w:tc>
        <w:tc>
          <w:tcPr>
            <w:tcW w:w="812"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rPr>
            </w:pPr>
            <w:r>
              <w:rPr>
                <w:rFonts w:hint="eastAsia" w:cs="宋体"/>
                <w:b/>
                <w:bCs/>
                <w:lang w:val="en-US" w:eastAsia="zh-CN"/>
              </w:rPr>
              <w:t>20.97</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b/>
                <w:kern w:val="0"/>
                <w:sz w:val="21"/>
                <w:szCs w:val="21"/>
              </w:rPr>
            </w:pPr>
            <w:r>
              <w:rPr>
                <w:rFonts w:hint="eastAsia" w:ascii="宋体" w:hAnsi="宋体" w:cs="宋体"/>
                <w:b/>
                <w:kern w:val="0"/>
                <w:lang w:val="en-US" w:eastAsia="zh-CN"/>
              </w:rPr>
              <w:t>0.53</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0" w:firstLineChars="100"/>
              <w:jc w:val="left"/>
              <w:rPr>
                <w:rFonts w:hint="eastAsia" w:ascii="方正楷体_GB2312" w:hAnsi="方正楷体_GB2312" w:eastAsia="方正楷体_GB2312" w:cs="方正楷体_GB2312"/>
                <w:sz w:val="21"/>
                <w:szCs w:val="21"/>
              </w:rPr>
            </w:pPr>
            <w:r>
              <w:rPr>
                <w:rFonts w:hint="eastAsia" w:ascii="方正楷体_GB2312" w:hAnsi="方正楷体_GB2312" w:eastAsia="方正楷体_GB2312" w:cs="方正楷体_GB2312"/>
                <w:sz w:val="21"/>
                <w:szCs w:val="21"/>
              </w:rPr>
              <w:t>2080505</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color w:val="000000"/>
                <w:sz w:val="21"/>
                <w:szCs w:val="21"/>
              </w:rPr>
            </w:pPr>
            <w:r>
              <w:rPr>
                <w:rFonts w:hint="eastAsia" w:ascii="方正楷体_GB2312" w:hAnsi="方正楷体_GB2312" w:eastAsia="方正楷体_GB2312" w:cs="方正楷体_GB2312"/>
                <w:color w:val="000000"/>
                <w:kern w:val="0"/>
                <w:sz w:val="21"/>
                <w:szCs w:val="21"/>
              </w:rPr>
              <w:t xml:space="preserve">  机关事业单位基本养老保险缴费支出</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rPr>
            </w:pPr>
            <w:r>
              <w:rPr>
                <w:rFonts w:hint="eastAsia" w:cs="宋体"/>
                <w:lang w:val="en-US" w:eastAsia="zh-CN"/>
              </w:rPr>
              <w:t>12.94</w:t>
            </w:r>
          </w:p>
        </w:tc>
        <w:tc>
          <w:tcPr>
            <w:tcW w:w="812"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rPr>
            </w:pPr>
            <w:r>
              <w:rPr>
                <w:rFonts w:hint="eastAsia" w:cs="宋体"/>
                <w:lang w:val="en-US" w:eastAsia="zh-CN"/>
              </w:rPr>
              <w:t>12.41</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0.53</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0" w:firstLineChars="100"/>
              <w:jc w:val="left"/>
              <w:rPr>
                <w:rFonts w:hint="eastAsia" w:ascii="方正楷体_GB2312" w:hAnsi="方正楷体_GB2312" w:eastAsia="方正楷体_GB2312" w:cs="方正楷体_GB2312"/>
                <w:sz w:val="21"/>
                <w:szCs w:val="21"/>
              </w:rPr>
            </w:pPr>
            <w:r>
              <w:rPr>
                <w:rFonts w:hint="eastAsia" w:ascii="方正楷体_GB2312" w:hAnsi="方正楷体_GB2312" w:eastAsia="方正楷体_GB2312" w:cs="方正楷体_GB2312"/>
                <w:sz w:val="21"/>
                <w:szCs w:val="21"/>
              </w:rPr>
              <w:t>2080506</w:t>
            </w:r>
          </w:p>
        </w:tc>
        <w:tc>
          <w:tcPr>
            <w:tcW w:w="1366" w:type="pct"/>
            <w:tcBorders>
              <w:top w:val="nil"/>
              <w:left w:val="nil"/>
              <w:bottom w:val="single" w:color="auto" w:sz="4" w:space="0"/>
              <w:right w:val="single" w:color="auto" w:sz="4" w:space="0"/>
            </w:tcBorders>
            <w:vAlign w:val="center"/>
          </w:tcPr>
          <w:p>
            <w:pPr>
              <w:widowControl/>
              <w:ind w:firstLine="210" w:firstLineChars="100"/>
              <w:jc w:val="left"/>
              <w:textAlignment w:val="center"/>
              <w:rPr>
                <w:rFonts w:hint="eastAsia" w:ascii="方正楷体_GB2312" w:hAnsi="方正楷体_GB2312" w:eastAsia="方正楷体_GB2312" w:cs="方正楷体_GB2312"/>
                <w:color w:val="000000"/>
                <w:kern w:val="0"/>
                <w:sz w:val="21"/>
                <w:szCs w:val="21"/>
              </w:rPr>
            </w:pPr>
            <w:r>
              <w:rPr>
                <w:rFonts w:hint="eastAsia" w:ascii="方正楷体_GB2312" w:hAnsi="方正楷体_GB2312" w:eastAsia="方正楷体_GB2312" w:cs="方正楷体_GB2312"/>
                <w:color w:val="000000"/>
                <w:kern w:val="0"/>
                <w:sz w:val="21"/>
                <w:szCs w:val="21"/>
              </w:rPr>
              <w:t>机关事业单位职业年金缴费支出</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rPr>
            </w:pPr>
            <w:r>
              <w:rPr>
                <w:rFonts w:hint="eastAsia" w:cs="宋体"/>
                <w:lang w:val="en-US" w:eastAsia="zh-CN"/>
              </w:rPr>
              <w:t>8.56</w:t>
            </w:r>
          </w:p>
        </w:tc>
        <w:tc>
          <w:tcPr>
            <w:tcW w:w="812"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rPr>
            </w:pPr>
            <w:r>
              <w:rPr>
                <w:rFonts w:hint="eastAsia" w:cs="宋体"/>
                <w:lang w:val="en-US" w:eastAsia="zh-CN"/>
              </w:rPr>
              <w:t>8.56</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1" w:firstLineChars="100"/>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210</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卫生健康支出</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8.18</w:t>
            </w:r>
          </w:p>
        </w:tc>
        <w:tc>
          <w:tcPr>
            <w:tcW w:w="812"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8.</w:t>
            </w:r>
            <w:r>
              <w:rPr>
                <w:rFonts w:hint="eastAsia" w:cs="宋体"/>
                <w:b/>
                <w:bCs/>
                <w:lang w:val="en-US" w:eastAsia="zh-CN"/>
              </w:rPr>
              <w:t>05</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b/>
                <w:bCs/>
                <w:kern w:val="0"/>
                <w:lang w:val="en-US" w:eastAsia="zh-CN"/>
              </w:rPr>
              <w:t>0.13</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1" w:firstLineChars="100"/>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21011</w:t>
            </w:r>
          </w:p>
        </w:tc>
        <w:tc>
          <w:tcPr>
            <w:tcW w:w="1366"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行政事业单位医疗</w:t>
            </w:r>
          </w:p>
        </w:tc>
        <w:tc>
          <w:tcPr>
            <w:tcW w:w="907" w:type="pct"/>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8.18</w:t>
            </w:r>
          </w:p>
        </w:tc>
        <w:tc>
          <w:tcPr>
            <w:tcW w:w="812" w:type="pct"/>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8.</w:t>
            </w:r>
            <w:r>
              <w:rPr>
                <w:rFonts w:hint="eastAsia" w:cs="宋体"/>
                <w:b/>
                <w:bCs/>
                <w:lang w:val="en-US" w:eastAsia="zh-CN"/>
              </w:rPr>
              <w:t>05</w:t>
            </w:r>
          </w:p>
        </w:tc>
        <w:tc>
          <w:tcPr>
            <w:tcW w:w="935" w:type="pct"/>
            <w:tcBorders>
              <w:top w:val="single" w:color="auto" w:sz="4" w:space="0"/>
              <w:left w:val="single" w:color="auto" w:sz="4" w:space="0"/>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b/>
                <w:bCs/>
                <w:kern w:val="0"/>
                <w:lang w:val="en-US" w:eastAsia="zh-CN"/>
              </w:rPr>
              <w:t>0.13</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0" w:firstLineChars="100"/>
              <w:jc w:val="left"/>
              <w:rPr>
                <w:rFonts w:hint="eastAsia" w:ascii="方正楷体_GB2312" w:hAnsi="方正楷体_GB2312" w:eastAsia="方正楷体_GB2312" w:cs="方正楷体_GB2312"/>
                <w:sz w:val="21"/>
                <w:szCs w:val="21"/>
              </w:rPr>
            </w:pPr>
            <w:r>
              <w:rPr>
                <w:rFonts w:hint="eastAsia" w:ascii="方正楷体_GB2312" w:hAnsi="方正楷体_GB2312" w:eastAsia="方正楷体_GB2312" w:cs="方正楷体_GB2312"/>
                <w:sz w:val="21"/>
                <w:szCs w:val="21"/>
              </w:rPr>
              <w:t>2101101</w:t>
            </w:r>
          </w:p>
        </w:tc>
        <w:tc>
          <w:tcPr>
            <w:tcW w:w="1366" w:type="pct"/>
            <w:tcBorders>
              <w:top w:val="single" w:color="auto" w:sz="4" w:space="0"/>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color w:val="000000"/>
                <w:sz w:val="21"/>
                <w:szCs w:val="21"/>
              </w:rPr>
            </w:pPr>
            <w:r>
              <w:rPr>
                <w:rFonts w:hint="eastAsia" w:ascii="方正楷体_GB2312" w:hAnsi="方正楷体_GB2312" w:eastAsia="方正楷体_GB2312" w:cs="方正楷体_GB2312"/>
                <w:color w:val="000000"/>
                <w:kern w:val="0"/>
                <w:sz w:val="21"/>
                <w:szCs w:val="21"/>
              </w:rPr>
              <w:t xml:space="preserve">  行政单位医疗</w:t>
            </w:r>
          </w:p>
        </w:tc>
        <w:tc>
          <w:tcPr>
            <w:tcW w:w="907" w:type="pct"/>
            <w:tcBorders>
              <w:top w:val="single" w:color="auto" w:sz="4" w:space="0"/>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lang w:eastAsia="zh-CN"/>
              </w:rPr>
            </w:pPr>
            <w:r>
              <w:rPr>
                <w:rFonts w:hint="eastAsia" w:cs="宋体"/>
                <w:lang w:eastAsia="zh-CN"/>
              </w:rPr>
              <w:t>8.18</w:t>
            </w:r>
          </w:p>
        </w:tc>
        <w:tc>
          <w:tcPr>
            <w:tcW w:w="812" w:type="pct"/>
            <w:tcBorders>
              <w:top w:val="single" w:color="auto" w:sz="4" w:space="0"/>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lang w:eastAsia="zh-CN"/>
              </w:rPr>
            </w:pPr>
            <w:r>
              <w:rPr>
                <w:rFonts w:hint="eastAsia" w:cs="宋体"/>
                <w:lang w:val="en-US" w:eastAsia="zh-CN"/>
              </w:rPr>
              <w:t>8.05</w:t>
            </w:r>
          </w:p>
        </w:tc>
        <w:tc>
          <w:tcPr>
            <w:tcW w:w="935" w:type="pct"/>
            <w:tcBorders>
              <w:top w:val="single" w:color="auto" w:sz="4" w:space="0"/>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0.13</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1" w:firstLineChars="100"/>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221</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住房保障支出</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12.26</w:t>
            </w:r>
          </w:p>
        </w:tc>
        <w:tc>
          <w:tcPr>
            <w:tcW w:w="812"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val="en-US" w:eastAsia="zh-CN"/>
              </w:rPr>
              <w:t>11.81</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b/>
                <w:bCs/>
                <w:kern w:val="0"/>
                <w:lang w:val="en-US" w:eastAsia="zh-CN"/>
              </w:rPr>
              <w:t>0.45</w:t>
            </w:r>
            <w:r>
              <w:rPr>
                <w:rFonts w:hint="eastAsia" w:ascii="宋体" w:hAnsi="宋体" w:cs="宋体"/>
                <w:b/>
                <w:bCs/>
                <w:kern w:val="0"/>
              </w:rPr>
              <w:t>　</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1" w:firstLineChars="100"/>
              <w:jc w:val="left"/>
              <w:rPr>
                <w:rFonts w:hint="eastAsia" w:ascii="方正楷体_GB2312" w:hAnsi="方正楷体_GB2312" w:eastAsia="方正楷体_GB2312" w:cs="方正楷体_GB2312"/>
                <w:b/>
                <w:bCs/>
                <w:sz w:val="21"/>
                <w:szCs w:val="21"/>
              </w:rPr>
            </w:pPr>
            <w:r>
              <w:rPr>
                <w:rFonts w:hint="eastAsia" w:ascii="方正楷体_GB2312" w:hAnsi="方正楷体_GB2312" w:eastAsia="方正楷体_GB2312" w:cs="方正楷体_GB2312"/>
                <w:b/>
                <w:bCs/>
                <w:sz w:val="21"/>
                <w:szCs w:val="21"/>
              </w:rPr>
              <w:t>22102</w:t>
            </w:r>
          </w:p>
        </w:tc>
        <w:tc>
          <w:tcPr>
            <w:tcW w:w="1366" w:type="pct"/>
            <w:tcBorders>
              <w:top w:val="nil"/>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b/>
                <w:bCs/>
                <w:color w:val="000000"/>
                <w:sz w:val="21"/>
                <w:szCs w:val="21"/>
              </w:rPr>
            </w:pPr>
            <w:r>
              <w:rPr>
                <w:rFonts w:hint="eastAsia" w:ascii="方正楷体_GB2312" w:hAnsi="方正楷体_GB2312" w:eastAsia="方正楷体_GB2312" w:cs="方正楷体_GB2312"/>
                <w:b/>
                <w:bCs/>
                <w:color w:val="000000"/>
                <w:kern w:val="0"/>
                <w:sz w:val="21"/>
                <w:szCs w:val="21"/>
              </w:rPr>
              <w:t>住房改革支出</w:t>
            </w:r>
          </w:p>
        </w:tc>
        <w:tc>
          <w:tcPr>
            <w:tcW w:w="907"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eastAsia="zh-CN"/>
              </w:rPr>
              <w:t>12.26</w:t>
            </w:r>
          </w:p>
        </w:tc>
        <w:tc>
          <w:tcPr>
            <w:tcW w:w="812" w:type="pct"/>
            <w:tcBorders>
              <w:top w:val="nil"/>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b/>
                <w:bCs/>
                <w:sz w:val="21"/>
                <w:szCs w:val="21"/>
                <w:lang w:eastAsia="zh-CN"/>
              </w:rPr>
            </w:pPr>
            <w:r>
              <w:rPr>
                <w:rFonts w:hint="eastAsia" w:cs="宋体"/>
                <w:b/>
                <w:bCs/>
                <w:lang w:val="en-US" w:eastAsia="zh-CN"/>
              </w:rPr>
              <w:t>11.81</w:t>
            </w:r>
          </w:p>
        </w:tc>
        <w:tc>
          <w:tcPr>
            <w:tcW w:w="935" w:type="pct"/>
            <w:tcBorders>
              <w:top w:val="nil"/>
              <w:left w:val="nil"/>
              <w:bottom w:val="single" w:color="auto" w:sz="4" w:space="0"/>
              <w:right w:val="single" w:color="auto" w:sz="8"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b/>
                <w:bCs/>
                <w:kern w:val="0"/>
                <w:lang w:val="en-US" w:eastAsia="zh-CN"/>
              </w:rPr>
              <w:t>0.45</w:t>
            </w:r>
            <w:r>
              <w:rPr>
                <w:rFonts w:hint="eastAsia" w:ascii="宋体" w:hAnsi="宋体" w:cs="宋体"/>
                <w:b/>
                <w:bCs/>
                <w:kern w:val="0"/>
              </w:rPr>
              <w:t>　</w:t>
            </w:r>
          </w:p>
        </w:tc>
      </w:tr>
      <w:tr>
        <w:tblPrEx>
          <w:tblCellMar>
            <w:top w:w="0" w:type="dxa"/>
            <w:left w:w="108" w:type="dxa"/>
            <w:bottom w:w="0" w:type="dxa"/>
            <w:right w:w="108" w:type="dxa"/>
          </w:tblCellMar>
        </w:tblPrEx>
        <w:trPr>
          <w:trHeight w:val="379" w:hRule="atLeast"/>
          <w:jc w:val="center"/>
        </w:trPr>
        <w:tc>
          <w:tcPr>
            <w:tcW w:w="978" w:type="pct"/>
            <w:tcBorders>
              <w:top w:val="single" w:color="auto" w:sz="4" w:space="0"/>
              <w:left w:val="single" w:color="auto" w:sz="8" w:space="0"/>
              <w:bottom w:val="single" w:color="auto" w:sz="4" w:space="0"/>
              <w:right w:val="single" w:color="auto" w:sz="4" w:space="0"/>
            </w:tcBorders>
            <w:vAlign w:val="center"/>
          </w:tcPr>
          <w:p>
            <w:pPr>
              <w:ind w:firstLine="210" w:firstLineChars="100"/>
              <w:jc w:val="left"/>
              <w:rPr>
                <w:rFonts w:hint="eastAsia" w:ascii="方正楷体_GB2312" w:hAnsi="方正楷体_GB2312" w:eastAsia="方正楷体_GB2312" w:cs="方正楷体_GB2312"/>
                <w:sz w:val="21"/>
                <w:szCs w:val="21"/>
              </w:rPr>
            </w:pPr>
            <w:r>
              <w:rPr>
                <w:rFonts w:hint="eastAsia" w:ascii="方正楷体_GB2312" w:hAnsi="方正楷体_GB2312" w:eastAsia="方正楷体_GB2312" w:cs="方正楷体_GB2312"/>
                <w:sz w:val="21"/>
                <w:szCs w:val="21"/>
              </w:rPr>
              <w:t>2210201</w:t>
            </w:r>
          </w:p>
        </w:tc>
        <w:tc>
          <w:tcPr>
            <w:tcW w:w="1366" w:type="pct"/>
            <w:tcBorders>
              <w:top w:val="single" w:color="auto" w:sz="4" w:space="0"/>
              <w:left w:val="nil"/>
              <w:bottom w:val="single" w:color="auto" w:sz="4" w:space="0"/>
              <w:right w:val="single" w:color="auto" w:sz="4" w:space="0"/>
            </w:tcBorders>
            <w:vAlign w:val="center"/>
          </w:tcPr>
          <w:p>
            <w:pPr>
              <w:widowControl/>
              <w:jc w:val="left"/>
              <w:textAlignment w:val="center"/>
              <w:rPr>
                <w:rFonts w:hint="eastAsia" w:ascii="方正楷体_GB2312" w:hAnsi="方正楷体_GB2312" w:eastAsia="方正楷体_GB2312" w:cs="方正楷体_GB2312"/>
                <w:color w:val="000000"/>
                <w:sz w:val="21"/>
                <w:szCs w:val="21"/>
              </w:rPr>
            </w:pPr>
            <w:r>
              <w:rPr>
                <w:rFonts w:hint="eastAsia" w:ascii="方正楷体_GB2312" w:hAnsi="方正楷体_GB2312" w:eastAsia="方正楷体_GB2312" w:cs="方正楷体_GB2312"/>
                <w:color w:val="000000"/>
                <w:kern w:val="0"/>
                <w:sz w:val="21"/>
                <w:szCs w:val="21"/>
              </w:rPr>
              <w:t xml:space="preserve">  住房公积金</w:t>
            </w:r>
          </w:p>
        </w:tc>
        <w:tc>
          <w:tcPr>
            <w:tcW w:w="907" w:type="pct"/>
            <w:tcBorders>
              <w:top w:val="single" w:color="auto" w:sz="4" w:space="0"/>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lang w:eastAsia="zh-CN"/>
              </w:rPr>
            </w:pPr>
            <w:r>
              <w:rPr>
                <w:rFonts w:hint="eastAsia" w:cs="宋体"/>
                <w:lang w:eastAsia="zh-CN"/>
              </w:rPr>
              <w:t>12.26</w:t>
            </w:r>
          </w:p>
        </w:tc>
        <w:tc>
          <w:tcPr>
            <w:tcW w:w="812" w:type="pct"/>
            <w:tcBorders>
              <w:top w:val="single" w:color="auto" w:sz="4" w:space="0"/>
              <w:left w:val="nil"/>
              <w:bottom w:val="single" w:color="auto" w:sz="4" w:space="0"/>
              <w:right w:val="single" w:color="auto" w:sz="4" w:space="0"/>
            </w:tcBorders>
            <w:vAlign w:val="center"/>
          </w:tcPr>
          <w:p>
            <w:pPr>
              <w:jc w:val="right"/>
              <w:rPr>
                <w:rFonts w:hint="eastAsia" w:asciiTheme="minorEastAsia" w:hAnsiTheme="minorEastAsia" w:eastAsiaTheme="minorEastAsia" w:cstheme="minorEastAsia"/>
                <w:sz w:val="21"/>
                <w:szCs w:val="21"/>
                <w:lang w:eastAsia="zh-CN"/>
              </w:rPr>
            </w:pPr>
            <w:r>
              <w:rPr>
                <w:rFonts w:hint="eastAsia" w:cs="宋体"/>
                <w:lang w:val="en-US" w:eastAsia="zh-CN"/>
              </w:rPr>
              <w:t>11.81</w:t>
            </w:r>
          </w:p>
        </w:tc>
        <w:tc>
          <w:tcPr>
            <w:tcW w:w="935" w:type="pct"/>
            <w:tcBorders>
              <w:top w:val="single" w:color="auto" w:sz="4" w:space="0"/>
              <w:left w:val="nil"/>
              <w:bottom w:val="single" w:color="auto" w:sz="4" w:space="0"/>
              <w:right w:val="single" w:color="auto" w:sz="4" w:space="0"/>
            </w:tcBorders>
            <w:vAlign w:val="center"/>
          </w:tcPr>
          <w:p>
            <w:pPr>
              <w:widowControl/>
              <w:jc w:val="right"/>
              <w:rPr>
                <w:rFonts w:hint="eastAsia" w:asciiTheme="minorEastAsia" w:hAnsiTheme="minorEastAsia" w:eastAsiaTheme="minorEastAsia" w:cstheme="minorEastAsia"/>
                <w:kern w:val="0"/>
                <w:sz w:val="21"/>
                <w:szCs w:val="21"/>
              </w:rPr>
            </w:pPr>
            <w:r>
              <w:rPr>
                <w:rFonts w:hint="eastAsia" w:ascii="宋体" w:hAnsi="宋体" w:cs="宋体"/>
                <w:kern w:val="0"/>
                <w:lang w:val="en-US" w:eastAsia="zh-CN"/>
              </w:rPr>
              <w:t>0.45</w:t>
            </w:r>
            <w:r>
              <w:rPr>
                <w:rFonts w:hint="eastAsia" w:ascii="宋体" w:hAnsi="宋体" w:cs="宋体"/>
                <w:kern w:val="0"/>
              </w:rPr>
              <w:t>　</w:t>
            </w:r>
          </w:p>
        </w:tc>
      </w:tr>
      <w:tr>
        <w:tblPrEx>
          <w:tblCellMar>
            <w:top w:w="0" w:type="dxa"/>
            <w:left w:w="108" w:type="dxa"/>
            <w:bottom w:w="0" w:type="dxa"/>
            <w:right w:w="108" w:type="dxa"/>
          </w:tblCellMar>
        </w:tblPrEx>
        <w:trPr>
          <w:gridAfter w:val="4"/>
          <w:wAfter w:w="4021" w:type="pct"/>
          <w:trHeight w:val="379" w:hRule="atLeast"/>
          <w:jc w:val="center"/>
        </w:trPr>
        <w:tc>
          <w:tcPr>
            <w:tcW w:w="978" w:type="pct"/>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tbl>
      <w:tblPr>
        <w:tblStyle w:val="12"/>
        <w:tblpPr w:leftFromText="180" w:rightFromText="180" w:vertAnchor="text" w:horzAnchor="page" w:tblpX="668" w:tblpY="167"/>
        <w:tblOverlap w:val="never"/>
        <w:tblW w:w="15900" w:type="dxa"/>
        <w:tblInd w:w="0" w:type="dxa"/>
        <w:tblLayout w:type="autofit"/>
        <w:tblCellMar>
          <w:top w:w="0" w:type="dxa"/>
          <w:left w:w="108" w:type="dxa"/>
          <w:bottom w:w="0" w:type="dxa"/>
          <w:right w:w="108" w:type="dxa"/>
        </w:tblCellMar>
      </w:tblPr>
      <w:tblGrid>
        <w:gridCol w:w="1082"/>
        <w:gridCol w:w="3411"/>
        <w:gridCol w:w="977"/>
        <w:gridCol w:w="1097"/>
        <w:gridCol w:w="2452"/>
        <w:gridCol w:w="857"/>
        <w:gridCol w:w="1200"/>
        <w:gridCol w:w="3908"/>
        <w:gridCol w:w="916"/>
      </w:tblGrid>
      <w:tr>
        <w:tblPrEx>
          <w:tblCellMar>
            <w:top w:w="0" w:type="dxa"/>
            <w:left w:w="108" w:type="dxa"/>
            <w:bottom w:w="0" w:type="dxa"/>
            <w:right w:w="108" w:type="dxa"/>
          </w:tblCellMar>
        </w:tblPrEx>
        <w:trPr>
          <w:trHeight w:val="113" w:hRule="atLeast"/>
        </w:trPr>
        <w:tc>
          <w:tcPr>
            <w:tcW w:w="15900"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湘潭县工商业联合会</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0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41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7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09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45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85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20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39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144.09</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20.14</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73.41</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3.3</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0.56</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ascii="宋体" w:hAnsi="宋体" w:cs="宋体"/>
                <w:color w:val="000000"/>
                <w:kern w:val="0"/>
              </w:rPr>
              <w:t>0.</w:t>
            </w:r>
            <w:r>
              <w:rPr>
                <w:rFonts w:hint="eastAsia" w:ascii="宋体" w:hAnsi="宋体" w:cs="宋体"/>
                <w:color w:val="000000"/>
                <w:kern w:val="0"/>
                <w:lang w:val="en-US" w:eastAsia="zh-CN"/>
              </w:rPr>
              <w:t>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22.45</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ascii="宋体" w:hAnsi="宋体" w:cs="宋体"/>
                <w:color w:val="000000"/>
                <w:kern w:val="0"/>
              </w:rPr>
              <w:t>0.0</w:t>
            </w:r>
            <w:r>
              <w:rPr>
                <w:rFonts w:hint="eastAsia" w:ascii="宋体" w:hAnsi="宋体" w:cs="宋体"/>
                <w:color w:val="000000"/>
                <w:kern w:val="0"/>
              </w:rPr>
              <w:t>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916"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0.6</w:t>
            </w: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4.18</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ascii="宋体" w:hAnsi="宋体" w:cs="宋体"/>
                <w:color w:val="000000"/>
                <w:kern w:val="0"/>
              </w:rPr>
              <w:t>0.0</w:t>
            </w:r>
            <w:r>
              <w:rPr>
                <w:rFonts w:hint="eastAsia" w:ascii="宋体" w:hAnsi="宋体" w:cs="宋体"/>
                <w:color w:val="000000"/>
                <w:kern w:val="0"/>
              </w:rPr>
              <w:t>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rPr>
              <w:t>0.</w:t>
            </w:r>
            <w:r>
              <w:rPr>
                <w:rFonts w:hint="eastAsia" w:ascii="宋体" w:hAnsi="宋体" w:cs="宋体"/>
                <w:color w:val="000000"/>
                <w:kern w:val="0"/>
                <w:lang w:val="en-US" w:eastAsia="zh-CN"/>
              </w:rPr>
              <w:t>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ascii="宋体" w:hAnsi="宋体" w:cs="宋体"/>
                <w:color w:val="000000"/>
                <w:kern w:val="0"/>
              </w:rPr>
              <w:t>0.0</w:t>
            </w:r>
            <w:r>
              <w:rPr>
                <w:rFonts w:hint="eastAsia" w:ascii="宋体" w:hAnsi="宋体" w:cs="宋体"/>
                <w:color w:val="000000"/>
                <w:kern w:val="0"/>
              </w:rPr>
              <w:t>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16"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0.6</w:t>
            </w: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12.56</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0.81</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8.25</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ascii="宋体" w:hAnsi="宋体" w:cs="宋体"/>
                <w:color w:val="000000"/>
                <w:kern w:val="0"/>
              </w:rPr>
              <w:t>0.</w:t>
            </w:r>
            <w:r>
              <w:rPr>
                <w:rFonts w:hint="eastAsia" w:ascii="宋体" w:hAnsi="宋体" w:cs="宋体"/>
                <w:color w:val="000000"/>
                <w:kern w:val="0"/>
                <w:lang w:val="en-US" w:eastAsia="zh-CN"/>
              </w:rPr>
              <w:t>41</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9.08</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ascii="宋体" w:hAnsi="宋体" w:cs="宋体"/>
                <w:color w:val="000000"/>
                <w:kern w:val="0"/>
              </w:rPr>
              <w:t>0.0</w:t>
            </w:r>
            <w:r>
              <w:rPr>
                <w:rFonts w:hint="eastAsia" w:ascii="宋体" w:hAnsi="宋体" w:cs="宋体"/>
                <w:color w:val="000000"/>
                <w:kern w:val="0"/>
              </w:rPr>
              <w:t>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rPr>
              <w:t>0</w:t>
            </w:r>
            <w:r>
              <w:rPr>
                <w:rFonts w:hint="eastAsia" w:ascii="宋体" w:hAnsi="宋体" w:cs="宋体"/>
                <w:color w:val="000000"/>
                <w:kern w:val="0"/>
                <w:lang w:val="en-US" w:eastAsia="zh-CN"/>
              </w:rPr>
              <w:t>.00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ascii="宋体" w:hAnsi="宋体" w:cs="宋体"/>
                <w:color w:val="000000"/>
                <w:kern w:val="0"/>
              </w:rPr>
              <w:t>0.</w:t>
            </w:r>
            <w:r>
              <w:rPr>
                <w:rFonts w:hint="eastAsia" w:ascii="宋体" w:hAnsi="宋体" w:cs="宋体"/>
                <w:color w:val="000000"/>
                <w:kern w:val="0"/>
                <w:lang w:val="en-US" w:eastAsia="zh-CN"/>
              </w:rPr>
              <w:t>25</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rPr>
              <w:t>0.</w:t>
            </w:r>
            <w:r>
              <w:rPr>
                <w:rFonts w:hint="eastAsia" w:ascii="宋体" w:hAnsi="宋体" w:cs="宋体"/>
                <w:color w:val="000000"/>
                <w:kern w:val="0"/>
                <w:lang w:val="en-US" w:eastAsia="zh-CN"/>
              </w:rPr>
              <w:t>14</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ascii="宋体" w:hAnsi="宋体" w:cs="宋体"/>
                <w:color w:val="000000"/>
                <w:kern w:val="0"/>
              </w:rPr>
              <w:t>0.</w:t>
            </w:r>
            <w:r>
              <w:rPr>
                <w:rFonts w:hint="eastAsia" w:ascii="宋体" w:hAnsi="宋体" w:cs="宋体"/>
                <w:color w:val="000000"/>
                <w:kern w:val="0"/>
                <w:lang w:val="en-US" w:eastAsia="zh-CN"/>
              </w:rPr>
              <w:t>35</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13.46</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ascii="宋体" w:hAnsi="宋体" w:cs="宋体"/>
                <w:color w:val="000000"/>
                <w:kern w:val="0"/>
              </w:rPr>
              <w:t>0.0</w:t>
            </w:r>
            <w:r>
              <w:rPr>
                <w:rFonts w:hint="eastAsia" w:ascii="宋体" w:hAnsi="宋体" w:cs="宋体"/>
                <w:color w:val="000000"/>
                <w:kern w:val="0"/>
              </w:rPr>
              <w:t>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ascii="宋体" w:hAnsi="宋体" w:cs="宋体"/>
                <w:color w:val="000000"/>
                <w:kern w:val="0"/>
              </w:rPr>
              <w:t>0.</w:t>
            </w:r>
            <w:r>
              <w:rPr>
                <w:rFonts w:hint="eastAsia" w:ascii="宋体" w:hAnsi="宋体" w:cs="宋体"/>
                <w:color w:val="000000"/>
                <w:kern w:val="0"/>
              </w:rPr>
              <w:t>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0.27</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cs="Times New Roman"/>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rPr>
              <w:t>0.</w:t>
            </w:r>
            <w:r>
              <w:rPr>
                <w:rFonts w:hint="eastAsia" w:ascii="宋体" w:hAnsi="宋体" w:cs="宋体"/>
                <w:color w:val="000000"/>
                <w:kern w:val="0"/>
                <w:lang w:val="en-US" w:eastAsia="zh-CN"/>
              </w:rPr>
              <w:t>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cs="Times New Roman"/>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cs="Times New Roman"/>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0.64</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cs="Times New Roman"/>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rPr>
              <w:t>0.</w:t>
            </w:r>
            <w:r>
              <w:rPr>
                <w:rFonts w:hint="eastAsia" w:ascii="宋体" w:hAnsi="宋体" w:cs="宋体"/>
                <w:color w:val="000000"/>
                <w:kern w:val="0"/>
                <w:lang w:val="en-US" w:eastAsia="zh-CN"/>
              </w:rPr>
              <w:t>06</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cs="Times New Roman"/>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lang w:eastAsia="zh-CN"/>
              </w:rPr>
              <w:t>赠予</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5.75</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rPr>
              <w:t>0.</w:t>
            </w:r>
            <w:r>
              <w:rPr>
                <w:rFonts w:hint="eastAsia" w:ascii="宋体" w:cs="Times New Roman"/>
                <w:color w:val="000000"/>
                <w:kern w:val="0"/>
                <w:lang w:val="en-US" w:eastAsia="zh-CN"/>
              </w:rPr>
              <w:t>71</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0.14</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cs="Times New Roman"/>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cs="Times New Roman"/>
                <w:color w:val="000000"/>
                <w:kern w:val="0"/>
              </w:rPr>
              <w:t>0.00</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rPr>
              <w:t>7.</w:t>
            </w:r>
            <w:r>
              <w:rPr>
                <w:rFonts w:hint="eastAsia" w:ascii="宋体" w:hAnsi="宋体" w:cs="宋体"/>
                <w:color w:val="000000"/>
                <w:kern w:val="0"/>
                <w:lang w:val="en-US" w:eastAsia="zh-CN"/>
              </w:rPr>
              <w:t>53</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rPr>
              <w:t>0.</w:t>
            </w:r>
            <w:r>
              <w:rPr>
                <w:rFonts w:hint="eastAsia" w:ascii="宋体" w:hAnsi="宋体" w:cs="宋体"/>
                <w:color w:val="000000"/>
                <w:kern w:val="0"/>
                <w:lang w:val="en-US" w:eastAsia="zh-CN"/>
              </w:rPr>
              <w:t>05</w:t>
            </w: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85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0.00</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082"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77"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9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245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85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1.27</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9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16"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449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977"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145.49</w:t>
            </w:r>
          </w:p>
        </w:tc>
        <w:tc>
          <w:tcPr>
            <w:tcW w:w="9514"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916"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20.74</w:t>
            </w:r>
          </w:p>
        </w:tc>
      </w:tr>
      <w:tr>
        <w:tblPrEx>
          <w:tblCellMar>
            <w:top w:w="0" w:type="dxa"/>
            <w:left w:w="108" w:type="dxa"/>
            <w:bottom w:w="0" w:type="dxa"/>
            <w:right w:w="108" w:type="dxa"/>
          </w:tblCellMar>
        </w:tblPrEx>
        <w:trPr>
          <w:trHeight w:val="284" w:hRule="exact"/>
        </w:trPr>
        <w:tc>
          <w:tcPr>
            <w:tcW w:w="1590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left"/>
        <w:rPr>
          <w:rFonts w:ascii="Times New Roman" w:hAnsi="Times New Roman" w:eastAsia="仿宋_GB2312" w:cs="Times New Roman"/>
          <w:kern w:val="0"/>
        </w:rPr>
      </w:pP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ind w:right="420"/>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湘潭县工商业联合会</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7</w:t>
      </w:r>
      <w:r>
        <w:rPr>
          <w:rFonts w:hint="eastAsia" w:ascii="Times New Roman" w:hAnsi="Times New Roman" w:eastAsia="仿宋_GB2312" w:cs="仿宋_GB2312"/>
          <w:color w:val="000000"/>
          <w:kern w:val="0"/>
        </w:rPr>
        <w:t>表</w:t>
      </w:r>
    </w:p>
    <w:p>
      <w:pPr>
        <w:widowControl/>
        <w:ind w:right="525"/>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12"/>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lang w:eastAsia="zh-CN"/>
        </w:rPr>
        <w:t>（</w:t>
      </w:r>
      <w:r>
        <w:rPr>
          <w:rFonts w:hint="eastAsia" w:ascii="Times New Roman" w:hAnsi="Times New Roman" w:eastAsia="仿宋_GB2312" w:cs="仿宋_GB2312"/>
          <w:kern w:val="0"/>
        </w:rPr>
        <w:t>说明：</w:t>
      </w:r>
      <w:r>
        <w:rPr>
          <w:rFonts w:hint="eastAsia" w:ascii="Times New Roman" w:hAnsi="Times New Roman" w:eastAsia="仿宋_GB2312" w:cs="Times New Roman"/>
          <w:kern w:val="0"/>
        </w:rPr>
        <w:t>本</w:t>
      </w:r>
      <w:r>
        <w:rPr>
          <w:rFonts w:hint="eastAsia" w:ascii="Times New Roman" w:hAnsi="Times New Roman" w:eastAsia="仿宋_GB2312" w:cs="仿宋_GB2312"/>
          <w:kern w:val="0"/>
        </w:rPr>
        <w:t>单位没有政府性基金收入，也没有使用政府性基金安排的支出，故本表无数据</w:t>
      </w:r>
      <w:r>
        <w:rPr>
          <w:rFonts w:hint="eastAsia" w:ascii="Times New Roman" w:hAnsi="Times New Roman" w:eastAsia="仿宋_GB2312" w:cs="仿宋_GB2312"/>
          <w:kern w:val="0"/>
          <w:lang w:eastAsia="zh-CN"/>
        </w:rPr>
        <w:t>）</w:t>
      </w:r>
      <w:r>
        <w:rPr>
          <w:rFonts w:hint="eastAsia" w:ascii="Times New Roman" w:hAnsi="Times New Roman" w:eastAsia="仿宋_GB2312" w:cs="仿宋_GB2312"/>
          <w:kern w:val="0"/>
        </w:rPr>
        <w:t>。</w:t>
      </w:r>
    </w:p>
    <w:p>
      <w:pPr>
        <w:widowControl/>
        <w:jc w:val="left"/>
        <w:rPr>
          <w:rFonts w:ascii="黑体" w:hAnsi="黑体" w:eastAsia="黑体" w:cs="Times New Roman"/>
        </w:rPr>
      </w:pPr>
      <w:r>
        <w:rPr>
          <w:rFonts w:ascii="黑体" w:hAnsi="黑体" w:eastAsia="黑体" w:cs="Times New Roman"/>
        </w:rPr>
        <w:br w:type="page"/>
      </w:r>
    </w:p>
    <w:tbl>
      <w:tblPr>
        <w:tblStyle w:val="12"/>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ind w:right="300"/>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w:t>
            </w:r>
            <w:r>
              <w:rPr>
                <w:rFonts w:hint="eastAsia" w:ascii="宋体" w:hAnsi="宋体" w:cs="宋体"/>
                <w:color w:val="000000"/>
                <w:kern w:val="0"/>
                <w:sz w:val="20"/>
                <w:szCs w:val="20"/>
                <w:lang w:val="en-US" w:eastAsia="zh-CN"/>
              </w:rPr>
              <w:t>8</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p>
        </w:tc>
        <w:tc>
          <w:tcPr>
            <w:tcW w:w="560" w:type="dxa"/>
            <w:tcBorders>
              <w:top w:val="nil"/>
              <w:left w:val="nil"/>
              <w:bottom w:val="nil"/>
              <w:right w:val="nil"/>
            </w:tcBorders>
            <w:shd w:val="clear" w:color="000000" w:fill="FFFFFF"/>
          </w:tcPr>
          <w:p>
            <w:pPr>
              <w:widowControl/>
              <w:jc w:val="center"/>
              <w:rPr>
                <w:rFonts w:ascii="宋体" w:cs="Times New Roman"/>
                <w:kern w:val="0"/>
                <w:sz w:val="20"/>
                <w:szCs w:val="20"/>
              </w:rPr>
            </w:pPr>
          </w:p>
        </w:tc>
        <w:tc>
          <w:tcPr>
            <w:tcW w:w="3215" w:type="dxa"/>
            <w:gridSpan w:val="2"/>
            <w:tcBorders>
              <w:top w:val="nil"/>
              <w:left w:val="nil"/>
              <w:bottom w:val="nil"/>
              <w:right w:val="nil"/>
            </w:tcBorders>
            <w:shd w:val="clear" w:color="000000" w:fill="FFFFFF"/>
          </w:tcPr>
          <w:p>
            <w:pPr>
              <w:widowControl/>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rPr>
              <w:t>湘潭县工商业联合会</w:t>
            </w:r>
          </w:p>
        </w:tc>
        <w:tc>
          <w:tcPr>
            <w:tcW w:w="1225" w:type="dxa"/>
            <w:tcBorders>
              <w:top w:val="nil"/>
              <w:left w:val="nil"/>
              <w:bottom w:val="single" w:color="auto" w:sz="8" w:space="0"/>
              <w:right w:val="nil"/>
            </w:tcBorders>
            <w:shd w:val="clear" w:color="000000" w:fill="FFFFFF"/>
            <w:vAlign w:val="center"/>
          </w:tcPr>
          <w:p>
            <w:pPr>
              <w:widowControl/>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ind w:right="300"/>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hAnsi="宋体" w:cs="宋体"/>
                <w:kern w:val="0"/>
                <w:sz w:val="24"/>
                <w:szCs w:val="24"/>
              </w:rPr>
            </w:pPr>
            <w:r>
              <w:rPr>
                <w:rFonts w:hint="eastAsia" w:ascii="Times New Roman" w:hAnsi="Times New Roman" w:eastAsia="仿宋_GB2312" w:cs="仿宋_GB2312"/>
                <w:kern w:val="0"/>
              </w:rPr>
              <w:t>注：本表反映部门本年度国有资本经营预算财政拨款支出情况。</w:t>
            </w:r>
          </w:p>
          <w:p>
            <w:pPr>
              <w:widowControl/>
              <w:jc w:val="left"/>
              <w:rPr>
                <w:rFonts w:ascii="宋体" w:hAnsi="宋体" w:cs="宋体"/>
                <w:kern w:val="0"/>
                <w:sz w:val="24"/>
                <w:szCs w:val="24"/>
              </w:rPr>
            </w:pPr>
            <w:r>
              <w:rPr>
                <w:rFonts w:hint="eastAsia" w:ascii="Times New Roman" w:hAnsi="Times New Roman" w:eastAsia="仿宋_GB2312" w:cs="仿宋_GB2312"/>
                <w:kern w:val="0"/>
              </w:rPr>
              <w:t>说明：本单位没有国有资本经营预算财政拨款支出，故本表无数据</w:t>
            </w:r>
            <w:r>
              <w:rPr>
                <w:rFonts w:hint="eastAsia" w:ascii="Times New Roman" w:hAnsi="Times New Roman" w:eastAsia="仿宋_GB2312" w:cs="仿宋_GB2312"/>
                <w:kern w:val="0"/>
                <w:lang w:eastAsia="zh-CN"/>
              </w:rPr>
              <w:t>。</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湘潭县工商业联合会</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9</w:t>
      </w:r>
      <w:r>
        <w:rPr>
          <w:rFonts w:hint="eastAsia" w:ascii="Times New Roman" w:hAnsi="Times New Roman" w:eastAsia="仿宋_GB2312" w:cs="仿宋_GB2312"/>
          <w:color w:val="000000"/>
          <w:kern w:val="0"/>
        </w:rPr>
        <w:t>表</w:t>
      </w:r>
      <w:r>
        <w:rPr>
          <w:rFonts w:ascii="Times New Roman" w:hAnsi="Times New Roman" w:eastAsia="仿宋_GB2312" w:cs="Times New Roman"/>
          <w:color w:val="000000"/>
          <w:kern w:val="0"/>
        </w:rPr>
        <w:t xml:space="preserve">             </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12"/>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1220" w:type="dxa"/>
            <w:tcBorders>
              <w:top w:val="nil"/>
              <w:left w:val="nil"/>
              <w:bottom w:val="single" w:color="auto" w:sz="8" w:space="0"/>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r>
    </w:tbl>
    <w:p>
      <w:pPr>
        <w:widowControl/>
        <w:jc w:val="left"/>
        <w:rPr>
          <w:rFonts w:ascii="宋体" w:cs="Times New Roman"/>
          <w:kern w:val="0"/>
          <w:sz w:val="24"/>
          <w:szCs w:val="24"/>
        </w:rPr>
      </w:pPr>
      <w:r>
        <w:rPr>
          <w:rFonts w:hint="eastAsia" w:ascii="Times New Roman" w:hAnsi="Times New Roman" w:eastAsia="仿宋_GB2312" w:cs="仿宋_GB2312"/>
          <w:kern w:val="0"/>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pStyle w:val="18"/>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8"/>
        <w:jc w:val="center"/>
        <w:rPr>
          <w:rFonts w:hint="eastAsia" w:ascii="方正小标宋_GBK" w:hAnsi="方正小标宋_GBK" w:eastAsia="方正小标宋_GBK" w:cs="方正小标宋_GBK"/>
          <w:kern w:val="0"/>
          <w:sz w:val="72"/>
          <w:szCs w:val="72"/>
        </w:rPr>
      </w:pPr>
    </w:p>
    <w:p>
      <w:pPr>
        <w:pStyle w:val="18"/>
        <w:jc w:val="center"/>
        <w:rPr>
          <w:rFonts w:hint="eastAsia" w:ascii="方正小标宋_GBK" w:hAnsi="方正小标宋_GBK" w:eastAsia="方正小标宋_GBK" w:cs="方正小标宋_GBK"/>
          <w:kern w:val="0"/>
          <w:sz w:val="72"/>
          <w:szCs w:val="72"/>
        </w:rPr>
      </w:pPr>
    </w:p>
    <w:p>
      <w:pPr>
        <w:pStyle w:val="18"/>
        <w:jc w:val="center"/>
        <w:rPr>
          <w:rFonts w:hint="eastAsia" w:ascii="方正小标宋_GBK" w:hAnsi="方正小标宋_GBK" w:eastAsia="方正小标宋_GBK" w:cs="方正小标宋_GBK"/>
          <w:kern w:val="0"/>
          <w:sz w:val="72"/>
          <w:szCs w:val="72"/>
        </w:rPr>
      </w:pPr>
    </w:p>
    <w:p>
      <w:pPr>
        <w:pStyle w:val="18"/>
        <w:jc w:val="center"/>
        <w:rPr>
          <w:rFonts w:hint="eastAsia" w:ascii="方正小标宋_GBK" w:hAnsi="方正小标宋_GBK" w:eastAsia="方正小标宋_GBK" w:cs="方正小标宋_GBK"/>
          <w:kern w:val="0"/>
          <w:sz w:val="72"/>
          <w:szCs w:val="72"/>
        </w:rPr>
      </w:pPr>
      <w:r>
        <w:rPr>
          <w:rFonts w:hint="eastAsia" w:ascii="方正小标宋_GBK" w:hAnsi="方正小标宋_GBK" w:eastAsia="方正小标宋_GBK" w:cs="方正小标宋_GBK"/>
          <w:kern w:val="0"/>
          <w:sz w:val="72"/>
          <w:szCs w:val="72"/>
        </w:rPr>
        <w:t xml:space="preserve">第三部分 </w:t>
      </w:r>
    </w:p>
    <w:p>
      <w:pPr>
        <w:pStyle w:val="18"/>
        <w:jc w:val="center"/>
        <w:rPr>
          <w:rFonts w:hint="eastAsia" w:ascii="方正小标宋_GBK" w:hAnsi="方正小标宋_GBK" w:eastAsia="方正小标宋_GBK" w:cs="方正小标宋_GBK"/>
          <w:kern w:val="0"/>
          <w:sz w:val="72"/>
          <w:szCs w:val="72"/>
        </w:rPr>
      </w:pPr>
      <w:r>
        <w:rPr>
          <w:rFonts w:hint="eastAsia" w:ascii="方正小标宋_GBK" w:hAnsi="方正小标宋_GBK" w:eastAsia="方正小标宋_GBK" w:cs="方正小标宋_GBK"/>
          <w:kern w:val="0"/>
          <w:sz w:val="72"/>
          <w:szCs w:val="72"/>
          <w:lang w:eastAsia="zh-CN"/>
        </w:rPr>
        <w:t>2024</w:t>
      </w:r>
      <w:r>
        <w:rPr>
          <w:rFonts w:hint="eastAsia" w:ascii="方正小标宋_GBK" w:hAnsi="方正小标宋_GBK" w:eastAsia="方正小标宋_GBK" w:cs="方正小标宋_GBK"/>
          <w:kern w:val="0"/>
          <w:sz w:val="72"/>
          <w:szCs w:val="72"/>
        </w:rPr>
        <w:t>年度部门决算情况说明</w:t>
      </w:r>
    </w:p>
    <w:p>
      <w:pPr>
        <w:pStyle w:val="18"/>
        <w:jc w:val="both"/>
        <w:rPr>
          <w:rFonts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int="eastAsia" w:hAnsi="黑体"/>
          <w:b/>
          <w:bCs/>
          <w:sz w:val="32"/>
          <w:szCs w:val="32"/>
        </w:rPr>
      </w:pPr>
    </w:p>
    <w:p>
      <w:pPr>
        <w:pStyle w:val="18"/>
        <w:jc w:val="both"/>
        <w:rPr>
          <w:rFonts w:hAnsi="黑体"/>
          <w:b/>
          <w:bCs/>
          <w:sz w:val="32"/>
          <w:szCs w:val="32"/>
        </w:rPr>
      </w:pPr>
      <w:r>
        <w:rPr>
          <w:rFonts w:hint="eastAsia" w:hAnsi="黑体"/>
          <w:b/>
          <w:bCs/>
          <w:sz w:val="32"/>
          <w:szCs w:val="32"/>
        </w:rPr>
        <w:t>一、收入支出决算总体情况说明</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年度收、支总计</w:t>
      </w:r>
      <w:r>
        <w:rPr>
          <w:rFonts w:hint="eastAsia" w:ascii="Times New Roman" w:hAnsi="Times New Roman" w:eastAsia="仿宋_GB2312" w:cs="Times New Roman"/>
          <w:color w:val="auto"/>
          <w:sz w:val="32"/>
          <w:szCs w:val="32"/>
          <w:lang w:eastAsia="zh-CN"/>
        </w:rPr>
        <w:t>194.78</w:t>
      </w:r>
      <w:r>
        <w:rPr>
          <w:rFonts w:hint="eastAsia" w:ascii="Times New Roman" w:hAnsi="Times New Roman" w:eastAsia="仿宋_GB2312" w:cs="Times New Roman"/>
          <w:color w:val="auto"/>
          <w:sz w:val="32"/>
          <w:szCs w:val="32"/>
        </w:rPr>
        <w:t>万元。与上年</w:t>
      </w:r>
      <w:r>
        <w:rPr>
          <w:rFonts w:hint="eastAsia" w:ascii="Times New Roman" w:hAnsi="Times New Roman" w:eastAsia="仿宋_GB2312" w:cs="Times New Roman"/>
          <w:color w:val="auto"/>
          <w:sz w:val="32"/>
          <w:szCs w:val="32"/>
          <w:lang w:val="en-US" w:eastAsia="zh-CN"/>
        </w:rPr>
        <w:t>213.98</w:t>
      </w:r>
      <w:r>
        <w:rPr>
          <w:rFonts w:hint="eastAsia" w:ascii="Times New Roman" w:hAnsi="Times New Roman" w:eastAsia="仿宋_GB2312" w:cs="Times New Roman"/>
          <w:color w:val="auto"/>
          <w:sz w:val="32"/>
          <w:szCs w:val="32"/>
        </w:rPr>
        <w:t>万元相比，减少</w:t>
      </w:r>
      <w:r>
        <w:rPr>
          <w:rFonts w:hint="eastAsia" w:ascii="Times New Roman" w:hAnsi="Times New Roman" w:eastAsia="仿宋_GB2312" w:cs="Times New Roman"/>
          <w:color w:val="auto"/>
          <w:sz w:val="32"/>
          <w:szCs w:val="32"/>
          <w:lang w:val="en-US" w:eastAsia="zh-CN"/>
        </w:rPr>
        <w:t>19.2</w:t>
      </w:r>
      <w:r>
        <w:rPr>
          <w:rFonts w:hint="eastAsia" w:ascii="Times New Roman" w:hAnsi="Times New Roman" w:eastAsia="仿宋_GB2312" w:cs="Times New Roman"/>
          <w:color w:val="auto"/>
          <w:sz w:val="32"/>
          <w:szCs w:val="32"/>
        </w:rPr>
        <w:t>万元，减少</w:t>
      </w:r>
      <w:r>
        <w:rPr>
          <w:rFonts w:hint="eastAsia" w:ascii="Times New Roman" w:hAnsi="Times New Roman" w:eastAsia="仿宋_GB2312" w:cs="Times New Roman"/>
          <w:color w:val="auto"/>
          <w:sz w:val="32"/>
          <w:szCs w:val="32"/>
          <w:lang w:val="en-US" w:eastAsia="zh-CN"/>
        </w:rPr>
        <w:t>8.97</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val="en-US" w:eastAsia="zh-CN"/>
        </w:rPr>
        <w:t>2024年10月</w:t>
      </w:r>
      <w:r>
        <w:rPr>
          <w:rFonts w:hint="eastAsia" w:ascii="Times New Roman" w:hAnsi="Times New Roman" w:eastAsia="仿宋_GB2312" w:cs="Times New Roman"/>
          <w:color w:val="auto"/>
          <w:sz w:val="32"/>
          <w:szCs w:val="32"/>
          <w:lang w:eastAsia="zh-CN"/>
        </w:rPr>
        <w:t>退休</w:t>
      </w:r>
      <w:r>
        <w:rPr>
          <w:rFonts w:hint="eastAsia" w:ascii="Times New Roman" w:hAnsi="Times New Roman" w:eastAsia="仿宋_GB2312" w:cs="Times New Roman"/>
          <w:color w:val="auto"/>
          <w:sz w:val="32"/>
          <w:szCs w:val="32"/>
          <w:lang w:val="en-US" w:eastAsia="zh-CN"/>
        </w:rPr>
        <w:t>1人，未及时补充人员导致人员减少，以及</w:t>
      </w:r>
      <w:r>
        <w:rPr>
          <w:rFonts w:hint="eastAsia" w:ascii="Times New Roman" w:hAnsi="Times New Roman" w:eastAsia="仿宋_GB2312" w:cs="Times New Roman"/>
          <w:color w:val="auto"/>
          <w:sz w:val="32"/>
          <w:szCs w:val="32"/>
        </w:rPr>
        <w:t>财政压缩一般公共预算拨款收入。</w:t>
      </w:r>
    </w:p>
    <w:p>
      <w:pPr>
        <w:pStyle w:val="18"/>
        <w:rPr>
          <w:rFonts w:hAnsi="黑体" w:cs="Times New Roman"/>
          <w:b/>
          <w:bCs/>
          <w:sz w:val="32"/>
          <w:szCs w:val="32"/>
        </w:rPr>
      </w:pPr>
      <w:r>
        <w:rPr>
          <w:rFonts w:hint="eastAsia" w:hAnsi="黑体"/>
          <w:b/>
          <w:bCs/>
          <w:sz w:val="32"/>
          <w:szCs w:val="32"/>
        </w:rPr>
        <w:t>二、收入决算情况说明</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lang w:eastAsia="zh-CN"/>
        </w:rPr>
        <w:t>194.78</w:t>
      </w:r>
      <w:r>
        <w:rPr>
          <w:rFonts w:hint="eastAsia"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lang w:eastAsia="zh-CN"/>
        </w:rPr>
        <w:t>194.62</w:t>
      </w:r>
      <w:r>
        <w:rPr>
          <w:rFonts w:hint="eastAsia" w:ascii="Times New Roman" w:hAnsi="Times New Roman" w:eastAsia="仿宋_GB2312" w:cs="Times New Roman"/>
          <w:color w:val="auto"/>
          <w:sz w:val="32"/>
          <w:szCs w:val="32"/>
        </w:rPr>
        <w:t>万元，占99.</w:t>
      </w:r>
      <w:r>
        <w:rPr>
          <w:rFonts w:hint="eastAsia" w:ascii="Times New Roman" w:hAnsi="Times New Roman" w:eastAsia="仿宋_GB2312" w:cs="Times New Roman"/>
          <w:color w:val="auto"/>
          <w:sz w:val="32"/>
          <w:szCs w:val="32"/>
          <w:lang w:val="en-US" w:eastAsia="zh-CN"/>
        </w:rPr>
        <w:t>92</w:t>
      </w:r>
      <w:r>
        <w:rPr>
          <w:rFonts w:hint="eastAsia" w:ascii="Times New Roman" w:hAnsi="Times New Roman" w:eastAsia="仿宋_GB2312" w:cs="Times New Roman"/>
          <w:color w:val="auto"/>
          <w:sz w:val="32"/>
          <w:szCs w:val="32"/>
        </w:rPr>
        <w:t>%；上级补助收入0万元，占0%；事业收入0万元，占0%；经营收入0万元，占0%；附属单位上缴收入0万元，占0%；其他收入</w:t>
      </w:r>
      <w:r>
        <w:rPr>
          <w:rFonts w:hint="eastAsia" w:ascii="Times New Roman" w:hAnsi="Times New Roman" w:eastAsia="仿宋_GB2312" w:cs="Times New Roman"/>
          <w:color w:val="auto"/>
          <w:sz w:val="32"/>
          <w:szCs w:val="32"/>
          <w:lang w:eastAsia="zh-CN"/>
        </w:rPr>
        <w:t>0.16</w:t>
      </w:r>
      <w:r>
        <w:rPr>
          <w:rFonts w:hint="eastAsia" w:ascii="Times New Roman" w:hAnsi="Times New Roman" w:eastAsia="仿宋_GB2312" w:cs="Times New Roman"/>
          <w:color w:val="auto"/>
          <w:sz w:val="32"/>
          <w:szCs w:val="32"/>
        </w:rPr>
        <w:t>万元，占0.</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8%。</w:t>
      </w:r>
    </w:p>
    <w:p>
      <w:pPr>
        <w:pStyle w:val="18"/>
        <w:rPr>
          <w:rFonts w:hAnsi="黑体" w:cs="Times New Roman"/>
          <w:b/>
          <w:bCs/>
          <w:sz w:val="32"/>
          <w:szCs w:val="32"/>
        </w:rPr>
      </w:pPr>
      <w:r>
        <w:rPr>
          <w:rFonts w:hint="eastAsia" w:hAnsi="黑体"/>
          <w:b/>
          <w:bCs/>
          <w:sz w:val="32"/>
          <w:szCs w:val="32"/>
        </w:rPr>
        <w:t>三、支出决算情况说明</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本年支出合计</w:t>
      </w:r>
      <w:r>
        <w:rPr>
          <w:rFonts w:hint="eastAsia" w:ascii="Times New Roman" w:hAnsi="Times New Roman" w:eastAsia="仿宋_GB2312" w:cs="Times New Roman"/>
          <w:color w:val="auto"/>
          <w:sz w:val="32"/>
          <w:szCs w:val="32"/>
          <w:lang w:eastAsia="zh-CN"/>
        </w:rPr>
        <w:t>194.</w:t>
      </w:r>
      <w:r>
        <w:rPr>
          <w:rFonts w:hint="eastAsia" w:ascii="Times New Roman" w:hAnsi="Times New Roman" w:eastAsia="仿宋_GB2312" w:cs="Times New Roman"/>
          <w:color w:val="auto"/>
          <w:sz w:val="32"/>
          <w:szCs w:val="32"/>
          <w:lang w:val="en-US" w:eastAsia="zh-CN"/>
        </w:rPr>
        <w:t>62</w:t>
      </w:r>
      <w:r>
        <w:rPr>
          <w:rFonts w:hint="eastAsia"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lang w:val="en-US" w:eastAsia="zh-CN"/>
        </w:rPr>
        <w:t>166.23</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85.41</w:t>
      </w:r>
      <w:r>
        <w:rPr>
          <w:rFonts w:hint="eastAsia"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lang w:val="en-US" w:eastAsia="zh-CN"/>
        </w:rPr>
        <w:t>28.39</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14.59</w:t>
      </w:r>
      <w:r>
        <w:rPr>
          <w:rFonts w:hint="eastAsia" w:ascii="Times New Roman" w:hAnsi="Times New Roman" w:eastAsia="仿宋_GB2312" w:cs="Times New Roman"/>
          <w:color w:val="auto"/>
          <w:sz w:val="32"/>
          <w:szCs w:val="32"/>
        </w:rPr>
        <w:t>%；上缴上级支出0万元，占0%；经营支出0万元，占0%；对附属单位补助支出0万元，占0%。</w:t>
      </w:r>
    </w:p>
    <w:p>
      <w:pPr>
        <w:pStyle w:val="18"/>
        <w:rPr>
          <w:rFonts w:hAnsi="黑体" w:cs="Times New Roman"/>
          <w:b/>
          <w:bCs/>
          <w:sz w:val="32"/>
          <w:szCs w:val="32"/>
        </w:rPr>
      </w:pPr>
      <w:r>
        <w:rPr>
          <w:rFonts w:hint="eastAsia" w:hAnsi="黑体"/>
          <w:b/>
          <w:bCs/>
          <w:sz w:val="32"/>
          <w:szCs w:val="32"/>
        </w:rPr>
        <w:t>四、财政拨款收入支出决算总体情况说明</w:t>
      </w:r>
    </w:p>
    <w:p>
      <w:pPr>
        <w:pStyle w:val="18"/>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年度财政拨款收、支总计</w:t>
      </w:r>
      <w:r>
        <w:rPr>
          <w:rFonts w:hint="eastAsia" w:ascii="Times New Roman" w:hAnsi="Times New Roman" w:eastAsia="仿宋_GB2312" w:cs="Times New Roman"/>
          <w:color w:val="auto"/>
          <w:sz w:val="32"/>
          <w:szCs w:val="32"/>
          <w:lang w:eastAsia="zh-CN"/>
        </w:rPr>
        <w:t>194.62</w:t>
      </w:r>
      <w:r>
        <w:rPr>
          <w:rFonts w:hint="eastAsia" w:ascii="Times New Roman" w:hAnsi="Times New Roman" w:eastAsia="仿宋_GB2312" w:cs="Times New Roman"/>
          <w:color w:val="auto"/>
          <w:sz w:val="32"/>
          <w:szCs w:val="32"/>
        </w:rPr>
        <w:t>万元，与上年</w:t>
      </w:r>
      <w:r>
        <w:rPr>
          <w:rFonts w:hint="eastAsia" w:ascii="Times New Roman" w:hAnsi="Times New Roman" w:eastAsia="仿宋_GB2312" w:cs="Times New Roman"/>
          <w:color w:val="auto"/>
          <w:sz w:val="32"/>
          <w:szCs w:val="32"/>
          <w:lang w:val="en-US" w:eastAsia="zh-CN"/>
        </w:rPr>
        <w:t>212.53</w:t>
      </w:r>
      <w:r>
        <w:rPr>
          <w:rFonts w:hint="eastAsia" w:ascii="Times New Roman" w:hAnsi="Times New Roman" w:eastAsia="仿宋_GB2312" w:cs="Times New Roman"/>
          <w:color w:val="auto"/>
          <w:sz w:val="32"/>
          <w:szCs w:val="32"/>
        </w:rPr>
        <w:t>万元相比，减少</w:t>
      </w:r>
      <w:r>
        <w:rPr>
          <w:rFonts w:hint="eastAsia" w:ascii="Times New Roman" w:hAnsi="Times New Roman" w:eastAsia="仿宋_GB2312" w:cs="Times New Roman"/>
          <w:color w:val="auto"/>
          <w:sz w:val="32"/>
          <w:szCs w:val="32"/>
          <w:lang w:val="en-US" w:eastAsia="zh-CN"/>
        </w:rPr>
        <w:t>17.91</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减少</w:t>
      </w:r>
      <w:r>
        <w:rPr>
          <w:rFonts w:hint="eastAsia" w:ascii="Times New Roman" w:hAnsi="Times New Roman" w:eastAsia="仿宋_GB2312" w:cs="Times New Roman"/>
          <w:color w:val="auto"/>
          <w:sz w:val="32"/>
          <w:szCs w:val="32"/>
          <w:lang w:val="en-US" w:eastAsia="zh-CN"/>
        </w:rPr>
        <w:t>8.43</w:t>
      </w:r>
      <w:r>
        <w:rPr>
          <w:rFonts w:hint="eastAsia" w:ascii="Times New Roman" w:hAnsi="Times New Roman" w:eastAsia="仿宋_GB2312" w:cs="Times New Roman"/>
          <w:color w:val="auto"/>
          <w:sz w:val="32"/>
          <w:szCs w:val="32"/>
        </w:rPr>
        <w:t>%，主要是因为2024年10月退休1人，未及时补充人员导致人员减少，以及财政压缩一般公共服务支出。</w:t>
      </w:r>
    </w:p>
    <w:p>
      <w:pPr>
        <w:pStyle w:val="18"/>
        <w:rPr>
          <w:rFonts w:hAnsi="黑体" w:cs="Times New Roman"/>
          <w:b/>
          <w:bCs/>
          <w:sz w:val="32"/>
          <w:szCs w:val="32"/>
        </w:rPr>
      </w:pPr>
      <w:r>
        <w:rPr>
          <w:rFonts w:hint="eastAsia" w:hAnsi="黑体"/>
          <w:b/>
          <w:bCs/>
          <w:sz w:val="32"/>
          <w:szCs w:val="32"/>
        </w:rPr>
        <w:t>五、一般公共预算财政拨款支出决算情况说明</w:t>
      </w:r>
    </w:p>
    <w:p>
      <w:pPr>
        <w:pStyle w:val="18"/>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18"/>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年度一般公共预算财政拨款支出</w:t>
      </w:r>
      <w:r>
        <w:rPr>
          <w:rFonts w:hint="eastAsia" w:ascii="Times New Roman" w:hAnsi="Times New Roman" w:eastAsia="仿宋_GB2312" w:cs="Times New Roman"/>
          <w:color w:val="auto"/>
          <w:sz w:val="32"/>
          <w:szCs w:val="32"/>
          <w:lang w:eastAsia="zh-CN"/>
        </w:rPr>
        <w:t>194.62</w:t>
      </w:r>
      <w:r>
        <w:rPr>
          <w:rFonts w:hint="eastAsia" w:ascii="Times New Roman" w:hAnsi="Times New Roman" w:eastAsia="仿宋_GB2312" w:cs="Times New Roman"/>
          <w:color w:val="auto"/>
          <w:sz w:val="32"/>
          <w:szCs w:val="32"/>
        </w:rPr>
        <w:t>万元，占本年支出合计的</w:t>
      </w:r>
      <w:r>
        <w:rPr>
          <w:rFonts w:hint="eastAsia" w:ascii="Times New Roman" w:hAnsi="Times New Roman" w:eastAsia="仿宋_GB2312" w:cs="Times New Roman"/>
          <w:color w:val="auto"/>
          <w:sz w:val="32"/>
          <w:szCs w:val="32"/>
          <w:lang w:val="en-US" w:eastAsia="zh-CN"/>
        </w:rPr>
        <w:t>100</w:t>
      </w:r>
      <w:r>
        <w:rPr>
          <w:rFonts w:hint="eastAsia" w:ascii="Times New Roman" w:hAnsi="Times New Roman" w:eastAsia="仿宋_GB2312" w:cs="Times New Roman"/>
          <w:color w:val="auto"/>
          <w:sz w:val="32"/>
          <w:szCs w:val="32"/>
        </w:rPr>
        <w:t>%，与上年</w:t>
      </w:r>
      <w:r>
        <w:rPr>
          <w:rFonts w:hint="eastAsia" w:ascii="Times New Roman" w:hAnsi="Times New Roman" w:eastAsia="仿宋_GB2312" w:cs="Times New Roman"/>
          <w:color w:val="auto"/>
          <w:sz w:val="32"/>
          <w:szCs w:val="32"/>
          <w:lang w:val="en-US" w:eastAsia="zh-CN"/>
        </w:rPr>
        <w:t>212.53</w:t>
      </w:r>
      <w:r>
        <w:rPr>
          <w:rFonts w:hint="eastAsia" w:ascii="Times New Roman" w:hAnsi="Times New Roman" w:eastAsia="仿宋_GB2312" w:cs="Times New Roman"/>
          <w:color w:val="auto"/>
          <w:sz w:val="32"/>
          <w:szCs w:val="32"/>
        </w:rPr>
        <w:t>万元相比，财政拨款支出减少</w:t>
      </w:r>
      <w:r>
        <w:rPr>
          <w:rFonts w:hint="eastAsia" w:ascii="Times New Roman" w:hAnsi="Times New Roman" w:eastAsia="仿宋_GB2312" w:cs="Times New Roman"/>
          <w:color w:val="auto"/>
          <w:sz w:val="32"/>
          <w:szCs w:val="32"/>
          <w:lang w:val="en-US" w:eastAsia="zh-CN"/>
        </w:rPr>
        <w:t>17.91</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减少</w:t>
      </w:r>
      <w:r>
        <w:rPr>
          <w:rFonts w:hint="eastAsia" w:ascii="Times New Roman" w:hAnsi="Times New Roman" w:eastAsia="仿宋_GB2312" w:cs="Times New Roman"/>
          <w:color w:val="auto"/>
          <w:sz w:val="32"/>
          <w:szCs w:val="32"/>
          <w:lang w:val="en-US" w:eastAsia="zh-CN"/>
        </w:rPr>
        <w:t>8.43</w:t>
      </w:r>
      <w:r>
        <w:rPr>
          <w:rFonts w:hint="eastAsia" w:ascii="Times New Roman" w:hAnsi="Times New Roman" w:eastAsia="仿宋_GB2312" w:cs="Times New Roman"/>
          <w:color w:val="auto"/>
          <w:sz w:val="32"/>
          <w:szCs w:val="32"/>
        </w:rPr>
        <w:t>%，主要是因为2024年10月退休1人，未及时补充人员导致人员减少，以及财政压缩一般公共服务支出。</w:t>
      </w:r>
    </w:p>
    <w:p>
      <w:pPr>
        <w:pStyle w:val="18"/>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年度一般公共预算财政拨款支出</w:t>
      </w:r>
      <w:r>
        <w:rPr>
          <w:rFonts w:hint="eastAsia" w:ascii="Times New Roman" w:hAnsi="Times New Roman" w:eastAsia="仿宋_GB2312" w:cs="Times New Roman"/>
          <w:color w:val="auto"/>
          <w:sz w:val="32"/>
          <w:szCs w:val="32"/>
          <w:lang w:eastAsia="zh-CN"/>
        </w:rPr>
        <w:t>194.62</w:t>
      </w:r>
      <w:r>
        <w:rPr>
          <w:rFonts w:hint="eastAsia" w:ascii="Times New Roman" w:hAnsi="Times New Roman" w:eastAsia="仿宋_GB2312" w:cs="Times New Roman"/>
          <w:color w:val="auto"/>
          <w:sz w:val="32"/>
          <w:szCs w:val="32"/>
        </w:rPr>
        <w:t>万元，主要用于以下方面：</w:t>
      </w:r>
      <w:r>
        <w:rPr>
          <w:rFonts w:hint="eastAsia" w:ascii="Times New Roman" w:hAnsi="Times New Roman" w:eastAsia="仿宋_GB2312" w:cs="Times New Roman"/>
          <w:color w:val="auto"/>
          <w:sz w:val="28"/>
          <w:szCs w:val="28"/>
        </w:rPr>
        <w:t>一</w:t>
      </w:r>
      <w:r>
        <w:rPr>
          <w:rFonts w:hint="eastAsia" w:ascii="Times New Roman" w:hAnsi="Times New Roman" w:eastAsia="仿宋_GB2312" w:cs="Times New Roman"/>
          <w:color w:val="auto"/>
          <w:sz w:val="32"/>
          <w:szCs w:val="32"/>
        </w:rPr>
        <w:t>般公共服务（类）支出</w:t>
      </w:r>
      <w:r>
        <w:rPr>
          <w:rFonts w:hint="eastAsia" w:ascii="Times New Roman" w:hAnsi="Times New Roman" w:eastAsia="仿宋_GB2312" w:cs="Times New Roman"/>
          <w:color w:val="auto"/>
          <w:sz w:val="32"/>
          <w:szCs w:val="32"/>
          <w:lang w:val="en-US" w:eastAsia="zh-CN"/>
        </w:rPr>
        <w:t>152.68</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78.45</w:t>
      </w:r>
      <w:r>
        <w:rPr>
          <w:rFonts w:hint="eastAsia" w:ascii="Times New Roman" w:hAnsi="Times New Roman" w:eastAsia="仿宋_GB2312" w:cs="Times New Roman"/>
          <w:color w:val="auto"/>
          <w:sz w:val="32"/>
          <w:szCs w:val="32"/>
        </w:rPr>
        <w:t>%；社会保障和就业（类）支出</w:t>
      </w:r>
      <w:r>
        <w:rPr>
          <w:rFonts w:hint="eastAsia" w:ascii="Times New Roman" w:hAnsi="Times New Roman" w:eastAsia="仿宋_GB2312" w:cs="Times New Roman"/>
          <w:color w:val="auto"/>
          <w:sz w:val="32"/>
          <w:szCs w:val="32"/>
          <w:lang w:eastAsia="zh-CN"/>
        </w:rPr>
        <w:t>21.5</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11.05</w:t>
      </w:r>
      <w:r>
        <w:rPr>
          <w:rFonts w:hint="eastAsia" w:ascii="Times New Roman" w:hAnsi="Times New Roman" w:eastAsia="仿宋_GB2312" w:cs="Times New Roman"/>
          <w:color w:val="auto"/>
          <w:sz w:val="32"/>
          <w:szCs w:val="32"/>
        </w:rPr>
        <w:t>%；卫生健康（类）支出</w:t>
      </w:r>
      <w:r>
        <w:rPr>
          <w:rFonts w:hint="eastAsia" w:ascii="Times New Roman" w:hAnsi="Times New Roman" w:eastAsia="仿宋_GB2312" w:cs="Times New Roman"/>
          <w:color w:val="auto"/>
          <w:sz w:val="32"/>
          <w:szCs w:val="32"/>
          <w:lang w:eastAsia="zh-CN"/>
        </w:rPr>
        <w:t>8.18</w:t>
      </w:r>
      <w:r>
        <w:rPr>
          <w:rFonts w:hint="eastAsia" w:ascii="Times New Roman" w:hAnsi="Times New Roman" w:eastAsia="仿宋_GB2312" w:cs="Times New Roman"/>
          <w:color w:val="auto"/>
          <w:sz w:val="32"/>
          <w:szCs w:val="32"/>
        </w:rPr>
        <w:t>万元，占4.2%；住房保障（类）支出</w:t>
      </w:r>
      <w:r>
        <w:rPr>
          <w:rFonts w:hint="eastAsia" w:ascii="Times New Roman" w:hAnsi="Times New Roman" w:eastAsia="仿宋_GB2312" w:cs="Times New Roman"/>
          <w:color w:val="auto"/>
          <w:sz w:val="32"/>
          <w:szCs w:val="32"/>
          <w:lang w:eastAsia="zh-CN"/>
        </w:rPr>
        <w:t>12.26</w:t>
      </w:r>
      <w:r>
        <w:rPr>
          <w:rFonts w:hint="eastAsia" w:ascii="Times New Roman" w:hAnsi="Times New Roman" w:eastAsia="仿宋_GB2312" w:cs="Times New Roman"/>
          <w:color w:val="auto"/>
          <w:sz w:val="32"/>
          <w:szCs w:val="32"/>
        </w:rPr>
        <w:t>万元，占6.3%。</w:t>
      </w:r>
    </w:p>
    <w:p>
      <w:pPr>
        <w:pStyle w:val="18"/>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18"/>
        <w:spacing w:line="60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年度一般公共预算财政拨款支出年初预算数为187.83万元，支出决算数为</w:t>
      </w:r>
      <w:r>
        <w:rPr>
          <w:rFonts w:hint="eastAsia" w:ascii="Times New Roman" w:hAnsi="Times New Roman" w:eastAsia="仿宋_GB2312" w:cs="Times New Roman"/>
          <w:color w:val="auto"/>
          <w:sz w:val="32"/>
          <w:szCs w:val="32"/>
          <w:lang w:eastAsia="zh-CN"/>
        </w:rPr>
        <w:t>194.62</w:t>
      </w:r>
      <w:r>
        <w:rPr>
          <w:rFonts w:hint="eastAsia"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03.61</w:t>
      </w:r>
      <w:r>
        <w:rPr>
          <w:rFonts w:hint="eastAsia" w:ascii="Times New Roman" w:hAnsi="Times New Roman" w:eastAsia="仿宋_GB2312" w:cs="Times New Roman"/>
          <w:color w:val="auto"/>
          <w:sz w:val="32"/>
          <w:szCs w:val="32"/>
          <w:highlight w:val="none"/>
        </w:rPr>
        <w:t>%，其中：</w:t>
      </w:r>
    </w:p>
    <w:p>
      <w:pPr>
        <w:pStyle w:val="18"/>
        <w:spacing w:line="60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rPr>
        <w:t>一般公共服务（类）民主党派及工商联事务（款）行政运行（项）。</w:t>
      </w:r>
    </w:p>
    <w:p>
      <w:pPr>
        <w:pStyle w:val="18"/>
        <w:spacing w:line="60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120.37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121.41</w:t>
      </w:r>
      <w:r>
        <w:rPr>
          <w:rFonts w:hint="eastAsia"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lang w:val="en-US" w:eastAsia="zh-CN"/>
        </w:rPr>
        <w:t>100.86</w:t>
      </w:r>
      <w:r>
        <w:rPr>
          <w:rFonts w:hint="eastAsia"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大</w:t>
      </w:r>
      <w:r>
        <w:rPr>
          <w:rFonts w:hint="eastAsia" w:ascii="Times New Roman" w:hAnsi="Times New Roman" w:eastAsia="仿宋_GB2312" w:cs="Times New Roman"/>
          <w:color w:val="auto"/>
          <w:sz w:val="32"/>
          <w:szCs w:val="32"/>
        </w:rPr>
        <w:t>于年初预算数的主要原因是：企业办工作经费中因部分经费实际发生时无法与行政运行区分，因此在行政运行中列支。</w:t>
      </w:r>
    </w:p>
    <w:p>
      <w:pPr>
        <w:pStyle w:val="18"/>
        <w:spacing w:line="60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一般公共服务（类）民主党派及工商联事务（款）一般行政管理事务（项）。</w:t>
      </w:r>
    </w:p>
    <w:p>
      <w:pPr>
        <w:pStyle w:val="18"/>
        <w:spacing w:line="60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年初预算为19.23万元，支出决算为13.51万元，完成年初预算的</w:t>
      </w:r>
      <w:r>
        <w:rPr>
          <w:rFonts w:hint="eastAsia" w:ascii="Times New Roman" w:hAnsi="Times New Roman" w:eastAsia="仿宋_GB2312" w:cs="Times New Roman"/>
          <w:color w:val="auto"/>
          <w:sz w:val="32"/>
          <w:szCs w:val="32"/>
          <w:lang w:val="en-US" w:eastAsia="zh-CN"/>
        </w:rPr>
        <w:t>70.25</w:t>
      </w:r>
      <w:r>
        <w:rPr>
          <w:rFonts w:hint="eastAsia"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小</w:t>
      </w:r>
      <w:r>
        <w:rPr>
          <w:rFonts w:hint="eastAsia" w:ascii="Times New Roman" w:hAnsi="Times New Roman" w:eastAsia="仿宋_GB2312" w:cs="Times New Roman"/>
          <w:color w:val="auto"/>
          <w:sz w:val="32"/>
          <w:szCs w:val="32"/>
        </w:rPr>
        <w:t>于年初预算数的主要原因是：</w:t>
      </w:r>
      <w:bookmarkStart w:id="3" w:name="OLE_LINK1"/>
      <w:r>
        <w:rPr>
          <w:rFonts w:hint="eastAsia" w:ascii="Times New Roman" w:hAnsi="Times New Roman" w:eastAsia="仿宋_GB2312" w:cs="Times New Roman"/>
          <w:color w:val="auto"/>
          <w:sz w:val="32"/>
          <w:szCs w:val="32"/>
          <w:lang w:eastAsia="zh-CN"/>
        </w:rPr>
        <w:t>企业办工作经费中因部分经费实际发生时无法与行政运行区分，因此在行政运行中列支</w:t>
      </w:r>
      <w:r>
        <w:rPr>
          <w:rFonts w:hint="eastAsia" w:ascii="Times New Roman" w:hAnsi="Times New Roman" w:eastAsia="仿宋_GB2312" w:cs="Times New Roman"/>
          <w:color w:val="auto"/>
          <w:sz w:val="32"/>
          <w:szCs w:val="32"/>
        </w:rPr>
        <w:t>。</w:t>
      </w:r>
    </w:p>
    <w:bookmarkEnd w:id="3"/>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一般公共服务（类）民主党派及工商联事务（款）其他民主党派及工商联事务支出（项）。</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14.3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17.76</w:t>
      </w:r>
      <w:r>
        <w:rPr>
          <w:rFonts w:hint="eastAsia"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lang w:val="en-US" w:eastAsia="zh-CN"/>
        </w:rPr>
        <w:t>124.2</w:t>
      </w:r>
      <w:r>
        <w:rPr>
          <w:rFonts w:hint="eastAsia"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大</w:t>
      </w:r>
      <w:r>
        <w:rPr>
          <w:rFonts w:hint="eastAsia" w:ascii="Times New Roman" w:hAnsi="Times New Roman" w:eastAsia="仿宋_GB2312" w:cs="Times New Roman"/>
          <w:color w:val="auto"/>
          <w:sz w:val="32"/>
          <w:szCs w:val="32"/>
        </w:rPr>
        <w:t>于年初预算数的主要原因是：</w:t>
      </w:r>
      <w:r>
        <w:rPr>
          <w:rFonts w:hint="eastAsia" w:ascii="Times New Roman" w:hAnsi="Times New Roman" w:eastAsia="仿宋_GB2312" w:cs="Times New Roman"/>
          <w:color w:val="auto"/>
          <w:sz w:val="32"/>
          <w:szCs w:val="32"/>
          <w:lang w:eastAsia="zh-CN"/>
        </w:rPr>
        <w:t>支付上年度应付未付非公经费专项经费</w:t>
      </w:r>
      <w:r>
        <w:rPr>
          <w:rFonts w:hint="eastAsia" w:ascii="Times New Roman" w:hAnsi="Times New Roman" w:eastAsia="仿宋_GB2312" w:cs="Times New Roman"/>
          <w:color w:val="auto"/>
          <w:sz w:val="32"/>
          <w:szCs w:val="32"/>
        </w:rPr>
        <w:t>。</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4.</w:t>
      </w:r>
      <w:r>
        <w:rPr>
          <w:rFonts w:hint="eastAsia" w:ascii="Times New Roman" w:hAnsi="Times New Roman" w:eastAsia="仿宋_GB2312" w:cs="Times New Roman"/>
          <w:color w:val="auto"/>
          <w:sz w:val="32"/>
          <w:szCs w:val="32"/>
        </w:rPr>
        <w:t>社会保障和就业支出（类）行政事业单位养老支出（款）机关事业单位基本养老保险缴费支出（项）。</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13.97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12.94</w:t>
      </w:r>
      <w:r>
        <w:rPr>
          <w:rFonts w:hint="eastAsia"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lang w:val="en-US" w:eastAsia="zh-CN"/>
        </w:rPr>
        <w:t>92.63</w:t>
      </w:r>
      <w:r>
        <w:rPr>
          <w:rFonts w:hint="eastAsia"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小于</w:t>
      </w:r>
      <w:r>
        <w:rPr>
          <w:rFonts w:hint="eastAsia" w:ascii="Times New Roman" w:hAnsi="Times New Roman" w:eastAsia="仿宋_GB2312" w:cs="Times New Roman"/>
          <w:color w:val="auto"/>
          <w:sz w:val="32"/>
          <w:szCs w:val="32"/>
        </w:rPr>
        <w:t>年初预算数的主要原因是</w:t>
      </w:r>
      <w:r>
        <w:rPr>
          <w:rFonts w:hint="eastAsia" w:ascii="Times New Roman" w:hAnsi="Times New Roman" w:eastAsia="仿宋_GB2312" w:cs="Times New Roman"/>
          <w:color w:val="auto"/>
          <w:sz w:val="32"/>
          <w:szCs w:val="32"/>
          <w:lang w:eastAsia="zh-CN"/>
        </w:rPr>
        <w:t>在职人员于</w:t>
      </w:r>
      <w:r>
        <w:rPr>
          <w:rFonts w:hint="eastAsia" w:ascii="Times New Roman" w:hAnsi="Times New Roman" w:eastAsia="仿宋_GB2312" w:cs="Times New Roman"/>
          <w:color w:val="auto"/>
          <w:sz w:val="32"/>
          <w:szCs w:val="32"/>
          <w:lang w:val="en-US" w:eastAsia="zh-CN"/>
        </w:rPr>
        <w:t>2024年10月</w:t>
      </w:r>
      <w:r>
        <w:rPr>
          <w:rFonts w:hint="eastAsia" w:ascii="Times New Roman" w:hAnsi="Times New Roman" w:eastAsia="仿宋_GB2312" w:cs="Times New Roman"/>
          <w:color w:val="auto"/>
          <w:sz w:val="32"/>
          <w:szCs w:val="32"/>
          <w:lang w:eastAsia="zh-CN"/>
        </w:rPr>
        <w:t>退休</w:t>
      </w:r>
      <w:r>
        <w:rPr>
          <w:rFonts w:hint="eastAsia" w:ascii="Times New Roman" w:hAnsi="Times New Roman" w:eastAsia="仿宋_GB2312" w:cs="Times New Roman"/>
          <w:color w:val="auto"/>
          <w:sz w:val="32"/>
          <w:szCs w:val="32"/>
        </w:rPr>
        <w:t>。</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5.</w:t>
      </w:r>
      <w:r>
        <w:rPr>
          <w:rFonts w:hint="eastAsia" w:ascii="Times New Roman" w:hAnsi="Times New Roman" w:eastAsia="仿宋_GB2312" w:cs="Times New Roman"/>
          <w:color w:val="auto"/>
          <w:sz w:val="32"/>
          <w:szCs w:val="32"/>
        </w:rPr>
        <w:t>社会保障和就业支出（类）行政事业单位养老支出（款）机关事业单位职业年金缴费支出（项）。</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8.56</w:t>
      </w:r>
      <w:r>
        <w:rPr>
          <w:rFonts w:hint="eastAsia" w:ascii="Times New Roman" w:hAnsi="Times New Roman" w:eastAsia="仿宋_GB2312" w:cs="Times New Roman"/>
          <w:color w:val="auto"/>
          <w:sz w:val="32"/>
          <w:szCs w:val="32"/>
        </w:rPr>
        <w:t>万元，决算数</w:t>
      </w:r>
      <w:r>
        <w:rPr>
          <w:rFonts w:hint="eastAsia" w:ascii="Times New Roman" w:hAnsi="Times New Roman" w:eastAsia="仿宋_GB2312" w:cs="Times New Roman"/>
          <w:color w:val="auto"/>
          <w:sz w:val="32"/>
          <w:szCs w:val="32"/>
          <w:lang w:eastAsia="zh-CN"/>
        </w:rPr>
        <w:t>大于</w:t>
      </w:r>
      <w:r>
        <w:rPr>
          <w:rFonts w:hint="eastAsia" w:ascii="Times New Roman" w:hAnsi="Times New Roman" w:eastAsia="仿宋_GB2312" w:cs="Times New Roman"/>
          <w:color w:val="auto"/>
          <w:sz w:val="32"/>
          <w:szCs w:val="32"/>
        </w:rPr>
        <w:t>年初预算数的主要原因是</w:t>
      </w:r>
      <w:r>
        <w:rPr>
          <w:rFonts w:hint="eastAsia" w:ascii="Times New Roman" w:hAnsi="Times New Roman" w:eastAsia="仿宋_GB2312" w:cs="Times New Roman"/>
          <w:color w:val="auto"/>
          <w:sz w:val="32"/>
          <w:szCs w:val="32"/>
          <w:lang w:eastAsia="zh-CN"/>
        </w:rPr>
        <w:t>单位非统发人员职业年金缴费</w:t>
      </w:r>
      <w:r>
        <w:rPr>
          <w:rFonts w:hint="eastAsia" w:ascii="Times New Roman" w:hAnsi="Times New Roman" w:eastAsia="仿宋_GB2312" w:cs="Times New Roman"/>
          <w:color w:val="auto"/>
          <w:sz w:val="32"/>
          <w:szCs w:val="32"/>
        </w:rPr>
        <w:t>。</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rPr>
        <w:t>卫生健康支出（类）行政事业单位医疗（款）行政单位医疗（项）。</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8.18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8.18</w:t>
      </w:r>
      <w:r>
        <w:rPr>
          <w:rFonts w:hint="eastAsia" w:ascii="Times New Roman" w:hAnsi="Times New Roman" w:eastAsia="仿宋_GB2312" w:cs="Times New Roman"/>
          <w:color w:val="auto"/>
          <w:sz w:val="32"/>
          <w:szCs w:val="32"/>
        </w:rPr>
        <w:t>万元，完成年初预算的100%。</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rPr>
        <w:t>住房保障支出（类）住房改革支出（款）住房公积金（项）。</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11.78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12.26</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占</w:t>
      </w:r>
      <w:r>
        <w:rPr>
          <w:rFonts w:hint="eastAsia" w:ascii="Times New Roman" w:hAnsi="Times New Roman" w:eastAsia="仿宋_GB2312" w:cs="Times New Roman"/>
          <w:color w:val="auto"/>
          <w:sz w:val="32"/>
          <w:szCs w:val="32"/>
        </w:rPr>
        <w:t>年初预算的</w:t>
      </w:r>
      <w:r>
        <w:rPr>
          <w:rFonts w:hint="eastAsia" w:ascii="Times New Roman" w:hAnsi="Times New Roman" w:eastAsia="仿宋_GB2312" w:cs="Times New Roman"/>
          <w:color w:val="auto"/>
          <w:sz w:val="32"/>
          <w:szCs w:val="32"/>
          <w:lang w:val="en-US" w:eastAsia="zh-CN"/>
        </w:rPr>
        <w:t>104.07</w:t>
      </w:r>
      <w:r>
        <w:rPr>
          <w:rFonts w:hint="eastAsia"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大</w:t>
      </w:r>
      <w:r>
        <w:rPr>
          <w:rFonts w:hint="eastAsia" w:ascii="Times New Roman" w:hAnsi="Times New Roman" w:eastAsia="仿宋_GB2312" w:cs="Times New Roman"/>
          <w:color w:val="auto"/>
          <w:sz w:val="32"/>
          <w:szCs w:val="32"/>
        </w:rPr>
        <w:t>于年初预算数的主要原因是</w:t>
      </w:r>
      <w:r>
        <w:rPr>
          <w:rFonts w:hint="eastAsia" w:ascii="Times New Roman" w:hAnsi="Times New Roman" w:eastAsia="仿宋_GB2312" w:cs="Times New Roman"/>
          <w:color w:val="auto"/>
          <w:sz w:val="32"/>
          <w:szCs w:val="32"/>
          <w:lang w:eastAsia="zh-CN"/>
        </w:rPr>
        <w:t>缴费基数调整费用增加</w:t>
      </w:r>
      <w:r>
        <w:rPr>
          <w:rFonts w:hint="eastAsia" w:ascii="Times New Roman" w:hAnsi="Times New Roman" w:eastAsia="仿宋_GB2312" w:cs="Times New Roman"/>
          <w:color w:val="auto"/>
          <w:sz w:val="32"/>
          <w:szCs w:val="32"/>
        </w:rPr>
        <w:t>。</w:t>
      </w:r>
    </w:p>
    <w:p>
      <w:pPr>
        <w:pStyle w:val="18"/>
        <w:rPr>
          <w:rFonts w:hAnsi="黑体" w:cs="Times New Roman"/>
          <w:b/>
          <w:bCs/>
          <w:sz w:val="32"/>
          <w:szCs w:val="32"/>
        </w:rPr>
      </w:pPr>
      <w:r>
        <w:rPr>
          <w:rFonts w:hint="eastAsia" w:hAnsi="黑体"/>
          <w:b/>
          <w:bCs/>
          <w:sz w:val="32"/>
          <w:szCs w:val="32"/>
        </w:rPr>
        <w:t>六、一般公共预算财政拨款基本支出决算情况说明</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年度一般公共预算财政拨款基本支出</w:t>
      </w:r>
      <w:r>
        <w:rPr>
          <w:rFonts w:hint="eastAsia" w:ascii="Times New Roman" w:hAnsi="Times New Roman" w:eastAsia="仿宋_GB2312" w:cs="Times New Roman"/>
          <w:color w:val="auto"/>
          <w:sz w:val="32"/>
          <w:szCs w:val="32"/>
          <w:lang w:val="en-US" w:eastAsia="zh-CN"/>
        </w:rPr>
        <w:t>166.23</w:t>
      </w:r>
      <w:r>
        <w:rPr>
          <w:rFonts w:hint="eastAsia"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lang w:val="en-US" w:eastAsia="zh-CN"/>
        </w:rPr>
        <w:t>145.49</w:t>
      </w:r>
      <w:r>
        <w:rPr>
          <w:rFonts w:hint="eastAsia"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lang w:val="en-US" w:eastAsia="zh-CN"/>
        </w:rPr>
        <w:t>87.52</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主要包括基本工资、津贴补贴、奖金、伙食补助费等；公用经费</w:t>
      </w:r>
      <w:r>
        <w:rPr>
          <w:rFonts w:hint="eastAsia" w:ascii="Times New Roman" w:hAnsi="Times New Roman" w:eastAsia="仿宋_GB2312" w:cs="Times New Roman"/>
          <w:color w:val="auto"/>
          <w:sz w:val="32"/>
          <w:szCs w:val="32"/>
          <w:lang w:val="en-US" w:eastAsia="zh-CN"/>
        </w:rPr>
        <w:t>20.74</w:t>
      </w:r>
      <w:r>
        <w:rPr>
          <w:rFonts w:hint="eastAsia"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lang w:val="en-US" w:eastAsia="zh-CN"/>
        </w:rPr>
        <w:t>12.48</w:t>
      </w:r>
      <w:r>
        <w:rPr>
          <w:rFonts w:hint="eastAsia" w:ascii="Times New Roman" w:hAnsi="Times New Roman" w:eastAsia="仿宋_GB2312" w:cs="Times New Roman"/>
          <w:color w:val="auto"/>
          <w:sz w:val="32"/>
          <w:szCs w:val="32"/>
        </w:rPr>
        <w:t>%，主要包括办公费、印刷费、培训费等。</w:t>
      </w:r>
    </w:p>
    <w:p>
      <w:pPr>
        <w:pStyle w:val="18"/>
        <w:rPr>
          <w:rFonts w:hAnsi="黑体" w:cs="Times New Roman"/>
          <w:b/>
          <w:bCs/>
          <w:sz w:val="32"/>
          <w:szCs w:val="32"/>
        </w:rPr>
      </w:pPr>
      <w:r>
        <w:rPr>
          <w:rFonts w:hint="eastAsia" w:hAnsi="黑体"/>
          <w:b/>
          <w:bCs/>
          <w:sz w:val="32"/>
          <w:szCs w:val="32"/>
        </w:rPr>
        <w:t>七、一般公共预算财政拨款</w:t>
      </w:r>
      <w:r>
        <w:rPr>
          <w:rFonts w:hint="eastAsia" w:hAnsi="黑体"/>
          <w:b/>
          <w:bCs/>
          <w:sz w:val="32"/>
          <w:szCs w:val="32"/>
          <w:lang w:eastAsia="zh-CN"/>
        </w:rPr>
        <w:t>“三公”经费</w:t>
      </w:r>
      <w:r>
        <w:rPr>
          <w:rFonts w:hint="eastAsia" w:hAnsi="黑体"/>
          <w:b/>
          <w:bCs/>
          <w:sz w:val="32"/>
          <w:szCs w:val="32"/>
        </w:rPr>
        <w:t>支出决算情况说明</w:t>
      </w:r>
    </w:p>
    <w:p>
      <w:pPr>
        <w:pStyle w:val="18"/>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万元，完成预算的0%，其中：</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因公出国（境）费支出预算为0万元，支出决算为0万元，无此项安排，与上年无增减。</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万元，支出决算为0万元，完成预算的</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%，与上年相比</w:t>
      </w:r>
      <w:r>
        <w:rPr>
          <w:rFonts w:hint="eastAsia" w:ascii="Times New Roman" w:hAnsi="Times New Roman" w:eastAsia="仿宋_GB2312" w:cs="Times New Roman"/>
          <w:color w:val="auto"/>
          <w:sz w:val="32"/>
          <w:szCs w:val="32"/>
          <w:lang w:eastAsia="zh-CN"/>
        </w:rPr>
        <w:t>无增减</w:t>
      </w:r>
      <w:r>
        <w:rPr>
          <w:rFonts w:hint="eastAsia" w:ascii="Times New Roman" w:hAnsi="Times New Roman" w:eastAsia="仿宋_GB2312" w:cs="Times New Roman"/>
          <w:color w:val="auto"/>
          <w:sz w:val="32"/>
          <w:szCs w:val="32"/>
        </w:rPr>
        <w:t>。</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公务用车购置费及运行维护费支出预算为0万元，支出决算为0万元，无此项安排，与上年无增减。</w:t>
      </w:r>
    </w:p>
    <w:p>
      <w:pPr>
        <w:pStyle w:val="18"/>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年度“三公”经费财政拨款支出决算中，公务接待费支出决算</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因公出国（境）费支出决算0万元，占0%</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公务用车购置费及运行维护费支出决算0万元，占0%。其中：</w:t>
      </w:r>
    </w:p>
    <w:p>
      <w:pPr>
        <w:pStyle w:val="18"/>
        <w:numPr>
          <w:ilvl w:val="0"/>
          <w:numId w:val="1"/>
        </w:num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因公出国（境）费支出决算为0万元，全年安排因公出国（境）团组0个，累计0人次</w:t>
      </w:r>
      <w:r>
        <w:rPr>
          <w:rFonts w:hint="eastAsia" w:ascii="Times New Roman" w:hAnsi="Times New Roman" w:eastAsia="仿宋_GB2312" w:cs="Times New Roman"/>
          <w:color w:val="auto"/>
          <w:sz w:val="32"/>
          <w:szCs w:val="32"/>
          <w:lang w:eastAsia="zh-CN"/>
        </w:rPr>
        <w:t>，</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w:t>
      </w:r>
      <w:r>
        <w:rPr>
          <w:rFonts w:hint="eastAsia" w:ascii="Times New Roman" w:hAnsi="Times New Roman" w:eastAsia="仿宋_GB2312" w:cs="Times New Roman"/>
          <w:color w:val="auto"/>
          <w:sz w:val="32"/>
          <w:szCs w:val="32"/>
        </w:rPr>
        <w:t>公务接待费支出决算为0万元，全年共接待来访团组</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个、来宾</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人次。</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3.</w:t>
      </w:r>
      <w:r>
        <w:rPr>
          <w:rFonts w:hint="eastAsia" w:ascii="Times New Roman" w:hAnsi="Times New Roman" w:eastAsia="仿宋_GB2312" w:cs="Times New Roman"/>
          <w:color w:val="auto"/>
          <w:sz w:val="32"/>
          <w:szCs w:val="32"/>
        </w:rPr>
        <w:t>公务用车购置费及运行维护费支出决算为0万元，其中：公务用车购置费0万元，0更新公务用车0辆。公务用车运行维护费0万元，</w:t>
      </w:r>
      <w:r>
        <w:rPr>
          <w:rFonts w:hint="eastAsia" w:ascii="Times New Roman" w:hAnsi="Times New Roman" w:eastAsia="仿宋_GB2312" w:cs="Times New Roman"/>
          <w:color w:val="auto"/>
          <w:sz w:val="32"/>
          <w:szCs w:val="32"/>
          <w:lang w:eastAsia="zh-CN"/>
        </w:rPr>
        <w:t>截至2024</w:t>
      </w:r>
      <w:r>
        <w:rPr>
          <w:rFonts w:hint="eastAsia" w:ascii="Times New Roman" w:hAnsi="Times New Roman" w:eastAsia="仿宋_GB2312" w:cs="Times New Roman"/>
          <w:color w:val="auto"/>
          <w:sz w:val="32"/>
          <w:szCs w:val="32"/>
        </w:rPr>
        <w:t>年12月31日，我单位开支财政拨款的公务用车保有量为0辆。</w:t>
      </w:r>
    </w:p>
    <w:p>
      <w:pPr>
        <w:pStyle w:val="18"/>
        <w:rPr>
          <w:rFonts w:hAnsi="黑体" w:cs="Times New Roman"/>
          <w:b/>
          <w:bCs/>
          <w:sz w:val="32"/>
          <w:szCs w:val="32"/>
        </w:rPr>
      </w:pPr>
      <w:r>
        <w:rPr>
          <w:rFonts w:hint="eastAsia" w:hAnsi="黑体"/>
          <w:b/>
          <w:bCs/>
          <w:sz w:val="32"/>
          <w:szCs w:val="32"/>
        </w:rPr>
        <w:t>八、政府性基金预算收入支出决算情况</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本单位无政府性基金收支</w:t>
      </w:r>
      <w:r>
        <w:rPr>
          <w:rFonts w:hint="eastAsia" w:ascii="Times New Roman" w:hAnsi="Times New Roman" w:eastAsia="仿宋_GB2312" w:cs="Times New Roman"/>
          <w:color w:val="auto"/>
          <w:sz w:val="32"/>
          <w:szCs w:val="32"/>
          <w:lang w:eastAsia="zh-CN"/>
        </w:rPr>
        <w:t>。</w:t>
      </w:r>
    </w:p>
    <w:p>
      <w:pPr>
        <w:pStyle w:val="18"/>
        <w:rPr>
          <w:rFonts w:hAnsi="黑体" w:cs="Times New Roman"/>
          <w:b/>
          <w:bCs/>
          <w:sz w:val="32"/>
          <w:szCs w:val="32"/>
        </w:rPr>
      </w:pPr>
      <w:r>
        <w:rPr>
          <w:rFonts w:hint="eastAsia" w:hAnsi="黑体"/>
          <w:b/>
          <w:bCs/>
          <w:sz w:val="32"/>
          <w:szCs w:val="32"/>
        </w:rPr>
        <w:t>九、关于机关运行经费支出说明</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本部门</w:t>
      </w:r>
      <w:r>
        <w:rPr>
          <w:rFonts w:hint="eastAsia" w:ascii="Times New Roman" w:hAnsi="Times New Roman" w:eastAsia="仿宋_GB2312" w:cs="Times New Roman"/>
          <w:kern w:val="0"/>
          <w:sz w:val="32"/>
          <w:szCs w:val="32"/>
          <w:lang w:eastAsia="zh-CN"/>
        </w:rPr>
        <w:t>2024</w:t>
      </w:r>
      <w:r>
        <w:rPr>
          <w:rFonts w:hint="eastAsia" w:ascii="Times New Roman" w:hAnsi="Times New Roman" w:eastAsia="仿宋_GB2312" w:cs="Times New Roman"/>
          <w:kern w:val="0"/>
          <w:sz w:val="32"/>
          <w:szCs w:val="32"/>
        </w:rPr>
        <w:t>年度机关运行经费支出</w:t>
      </w:r>
      <w:r>
        <w:rPr>
          <w:rFonts w:hint="eastAsia" w:ascii="Times New Roman" w:hAnsi="Times New Roman" w:eastAsia="仿宋_GB2312" w:cs="Times New Roman"/>
          <w:kern w:val="0"/>
          <w:sz w:val="32"/>
          <w:szCs w:val="32"/>
          <w:lang w:val="en-US" w:eastAsia="zh-CN"/>
        </w:rPr>
        <w:t>20.74</w:t>
      </w:r>
      <w:r>
        <w:rPr>
          <w:rFonts w:hint="eastAsia" w:ascii="Times New Roman" w:hAnsi="Times New Roman" w:eastAsia="仿宋_GB2312" w:cs="Times New Roman"/>
          <w:kern w:val="0"/>
          <w:sz w:val="32"/>
          <w:szCs w:val="32"/>
        </w:rPr>
        <w:t>万元，比年初预算数</w:t>
      </w:r>
      <w:r>
        <w:rPr>
          <w:rFonts w:hint="eastAsia" w:ascii="Times New Roman" w:hAnsi="Times New Roman" w:eastAsia="仿宋_GB2312" w:cs="Times New Roman"/>
          <w:kern w:val="0"/>
          <w:sz w:val="32"/>
          <w:szCs w:val="32"/>
          <w:lang w:val="en-US" w:eastAsia="zh-CN"/>
        </w:rPr>
        <w:t>17.2</w:t>
      </w:r>
      <w:r>
        <w:rPr>
          <w:rFonts w:hint="eastAsia"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eastAsia="zh-CN"/>
        </w:rPr>
        <w:t>增加</w:t>
      </w:r>
      <w:r>
        <w:rPr>
          <w:rFonts w:hint="eastAsia" w:ascii="Times New Roman" w:hAnsi="Times New Roman" w:eastAsia="仿宋_GB2312" w:cs="Times New Roman"/>
          <w:kern w:val="0"/>
          <w:sz w:val="32"/>
          <w:szCs w:val="32"/>
          <w:lang w:val="en-US" w:eastAsia="zh-CN"/>
        </w:rPr>
        <w:t>3.54</w:t>
      </w:r>
      <w:r>
        <w:rPr>
          <w:rFonts w:hint="eastAsia"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eastAsia="zh-CN"/>
        </w:rPr>
        <w:t>增加</w:t>
      </w:r>
      <w:r>
        <w:rPr>
          <w:rFonts w:hint="eastAsia" w:ascii="Times New Roman" w:hAnsi="Times New Roman" w:eastAsia="仿宋_GB2312" w:cs="Times New Roman"/>
          <w:kern w:val="0"/>
          <w:sz w:val="32"/>
          <w:szCs w:val="32"/>
          <w:lang w:val="en-US" w:eastAsia="zh-CN"/>
        </w:rPr>
        <w:t>20.58</w:t>
      </w:r>
      <w:r>
        <w:rPr>
          <w:rFonts w:hint="eastAsia" w:ascii="Times New Roman" w:hAnsi="Times New Roman" w:eastAsia="仿宋_GB2312" w:cs="Times New Roman"/>
          <w:kern w:val="0"/>
          <w:sz w:val="32"/>
          <w:szCs w:val="32"/>
        </w:rPr>
        <w:t>%。主要原因是：</w:t>
      </w:r>
      <w:r>
        <w:rPr>
          <w:rFonts w:hint="eastAsia" w:ascii="Times New Roman" w:hAnsi="Times New Roman" w:eastAsia="仿宋_GB2312" w:cs="Times New Roman"/>
          <w:kern w:val="0"/>
          <w:sz w:val="32"/>
          <w:szCs w:val="32"/>
          <w:lang w:eastAsia="zh-CN"/>
        </w:rPr>
        <w:t>人员职级调整交通补贴经费增加以及上年度应付未付办公费用</w:t>
      </w:r>
      <w:r>
        <w:rPr>
          <w:rFonts w:hint="eastAsia" w:ascii="Times New Roman" w:hAnsi="Times New Roman" w:eastAsia="仿宋_GB2312" w:cs="Times New Roman"/>
          <w:kern w:val="0"/>
          <w:sz w:val="32"/>
          <w:szCs w:val="32"/>
        </w:rPr>
        <w:t>。</w:t>
      </w:r>
    </w:p>
    <w:p>
      <w:pPr>
        <w:pStyle w:val="18"/>
        <w:rPr>
          <w:rFonts w:hint="eastAsia" w:hAnsi="黑体" w:eastAsia="黑体" w:cs="Times New Roman"/>
          <w:b/>
          <w:bCs/>
          <w:sz w:val="32"/>
          <w:szCs w:val="32"/>
          <w:lang w:val="en-US" w:eastAsia="zh-CN"/>
        </w:rPr>
      </w:pPr>
      <w:r>
        <w:rPr>
          <w:rFonts w:hint="eastAsia" w:hAnsi="黑体"/>
          <w:b/>
          <w:bCs/>
          <w:sz w:val="32"/>
          <w:szCs w:val="32"/>
        </w:rPr>
        <w:t>十、一般性支出情况</w:t>
      </w:r>
      <w:r>
        <w:rPr>
          <w:rFonts w:hint="eastAsia" w:hAnsi="黑体"/>
          <w:b/>
          <w:bCs/>
          <w:sz w:val="32"/>
          <w:szCs w:val="32"/>
          <w:lang w:val="en-US" w:eastAsia="zh-CN"/>
        </w:rPr>
        <w:t>说明</w:t>
      </w:r>
    </w:p>
    <w:p>
      <w:pPr>
        <w:pStyle w:val="18"/>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年本部门开支会议费</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万元；开支培训费0万元；</w:t>
      </w:r>
      <w:r>
        <w:rPr>
          <w:rFonts w:hint="eastAsia" w:ascii="Times New Roman" w:hAnsi="Times New Roman" w:eastAsia="仿宋_GB2312" w:cs="Times New Roman"/>
          <w:color w:val="auto"/>
          <w:sz w:val="32"/>
          <w:szCs w:val="32"/>
          <w:lang w:eastAsia="zh-CN"/>
        </w:rPr>
        <w:t>未</w:t>
      </w:r>
      <w:r>
        <w:rPr>
          <w:rFonts w:hint="eastAsia" w:ascii="Times New Roman" w:hAnsi="Times New Roman" w:eastAsia="仿宋_GB2312" w:cs="Times New Roman"/>
          <w:color w:val="auto"/>
          <w:sz w:val="32"/>
          <w:szCs w:val="32"/>
        </w:rPr>
        <w:t>举办节庆、晚会、论坛、赛事活动，开支0万元。</w:t>
      </w:r>
    </w:p>
    <w:p>
      <w:pPr>
        <w:pStyle w:val="18"/>
        <w:rPr>
          <w:rFonts w:hAnsi="黑体" w:cs="Times New Roman"/>
          <w:b/>
          <w:bCs/>
          <w:sz w:val="32"/>
          <w:szCs w:val="32"/>
        </w:rPr>
      </w:pPr>
      <w:r>
        <w:rPr>
          <w:rFonts w:hint="eastAsia" w:hAnsi="黑体"/>
          <w:b/>
          <w:bCs/>
          <w:sz w:val="32"/>
          <w:szCs w:val="32"/>
        </w:rPr>
        <w:t>十一、关于政府采购支出说明</w:t>
      </w:r>
    </w:p>
    <w:p>
      <w:pPr>
        <w:pStyle w:val="18"/>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w:t>
      </w: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年度政府采购支出总额</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万元，其中：政府采购货物支出</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万元、政府采购工程支出0万元、政府采购服务支出</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万元。授予中小企业合同金额</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万元，占政府采购支出总额的100%，其中：授予小微企业合同金额</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万元，占政府采购支出总额的100%。</w:t>
      </w:r>
    </w:p>
    <w:p>
      <w:pPr>
        <w:pStyle w:val="18"/>
        <w:rPr>
          <w:rFonts w:hAnsi="黑体" w:cs="Times New Roman"/>
          <w:b/>
          <w:bCs/>
          <w:sz w:val="32"/>
          <w:szCs w:val="32"/>
        </w:rPr>
      </w:pPr>
      <w:r>
        <w:rPr>
          <w:rFonts w:hint="eastAsia" w:hAnsi="黑体"/>
          <w:b/>
          <w:bCs/>
          <w:sz w:val="32"/>
          <w:szCs w:val="32"/>
        </w:rPr>
        <w:t>十二、关于国有资产占用情况说明</w:t>
      </w:r>
    </w:p>
    <w:p>
      <w:pPr>
        <w:pStyle w:val="18"/>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截至</w:t>
      </w: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年12月31日，本单位共有车辆0辆，其中，主要领导干部用车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辆，机要通信用车0辆、应急保障用车0辆、执法执勤用车0辆、特种专业技术用车0辆、其他用车0辆；单位价值50万元以上通用设备0台；单位价值100万元以上专用设备0台。</w:t>
      </w:r>
    </w:p>
    <w:p>
      <w:pPr>
        <w:pStyle w:val="18"/>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2024</w:t>
      </w:r>
      <w:r>
        <w:rPr>
          <w:rFonts w:hint="eastAsia" w:hAnsi="黑体"/>
          <w:b/>
          <w:bCs/>
          <w:sz w:val="32"/>
          <w:szCs w:val="32"/>
        </w:rPr>
        <w:t>年度预算绩效情况的说明</w:t>
      </w:r>
    </w:p>
    <w:p>
      <w:pPr>
        <w:pStyle w:val="18"/>
        <w:spacing w:line="600" w:lineRule="exact"/>
        <w:ind w:firstLine="640" w:firstLineChars="200"/>
        <w:rPr>
          <w:rFonts w:hint="eastAsia" w:ascii="楷体" w:hAnsi="楷体" w:eastAsia="楷体" w:cs="楷体"/>
          <w:b/>
          <w:bCs/>
          <w:color w:val="000000"/>
          <w:kern w:val="0"/>
          <w:sz w:val="32"/>
          <w:szCs w:val="32"/>
          <w:lang w:val="en-US" w:eastAsia="zh-CN" w:bidi="ar-SA"/>
        </w:rPr>
      </w:pPr>
      <w:r>
        <w:rPr>
          <w:rFonts w:hint="eastAsia" w:ascii="楷体" w:hAnsi="楷体" w:eastAsia="楷体" w:cs="楷体"/>
          <w:b/>
          <w:bCs/>
          <w:color w:val="000000"/>
          <w:kern w:val="0"/>
          <w:sz w:val="32"/>
          <w:szCs w:val="32"/>
          <w:lang w:val="en-US" w:eastAsia="zh-CN" w:bidi="ar-SA"/>
        </w:rPr>
        <w:t>（一）绩效管理工作开展情况</w:t>
      </w:r>
    </w:p>
    <w:p>
      <w:pPr>
        <w:pStyle w:val="18"/>
        <w:spacing w:line="60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根据县财政局《湘潭县</w:t>
      </w: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年度预算绩效管理工作方案》要求，我</w:t>
      </w:r>
      <w:r>
        <w:rPr>
          <w:rFonts w:hint="eastAsia" w:ascii="Times New Roman" w:hAnsi="Times New Roman" w:eastAsia="仿宋_GB2312" w:cs="Times New Roman"/>
          <w:color w:val="auto"/>
          <w:sz w:val="32"/>
          <w:szCs w:val="32"/>
          <w:lang w:eastAsia="zh-CN"/>
        </w:rPr>
        <w:t>单位</w:t>
      </w:r>
      <w:r>
        <w:rPr>
          <w:rFonts w:hint="eastAsia" w:ascii="Times New Roman" w:hAnsi="Times New Roman" w:eastAsia="仿宋_GB2312" w:cs="Times New Roman"/>
          <w:color w:val="auto"/>
          <w:sz w:val="32"/>
          <w:szCs w:val="32"/>
        </w:rPr>
        <w:t>成立了绩效自评工作领导小组，根据工作计划对项目绩效进行审核、完善，通过核查、汇总、综合分析，对</w:t>
      </w: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年部门整体支出进行了绩效评价，撰写了自评报告，及时报送了相关资料。</w:t>
      </w:r>
    </w:p>
    <w:p>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cs="Times New Roman"/>
          <w:color w:val="auto"/>
          <w:sz w:val="32"/>
          <w:szCs w:val="32"/>
          <w:lang w:eastAsia="zh-CN"/>
        </w:rPr>
      </w:pPr>
      <w:r>
        <w:rPr>
          <w:rFonts w:hint="eastAsia" w:ascii="楷体" w:hAnsi="楷体" w:eastAsia="楷体" w:cs="楷体"/>
          <w:b/>
          <w:bCs/>
          <w:color w:val="000000"/>
          <w:kern w:val="0"/>
          <w:sz w:val="32"/>
          <w:szCs w:val="32"/>
          <w:lang w:val="en-US" w:eastAsia="zh-CN" w:bidi="ar-SA"/>
        </w:rPr>
        <w:t>（二）部门整体支出绩效情况</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黑体" w:eastAsia="仿宋_GB2312"/>
          <w:color w:val="auto"/>
          <w:sz w:val="32"/>
          <w:szCs w:val="32"/>
        </w:rPr>
      </w:pP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年部门预算安排收入</w:t>
      </w:r>
      <w:r>
        <w:rPr>
          <w:rFonts w:hint="eastAsia" w:ascii="Times New Roman" w:hAnsi="Times New Roman" w:eastAsia="仿宋_GB2312" w:cs="Times New Roman"/>
          <w:color w:val="auto"/>
          <w:sz w:val="32"/>
          <w:szCs w:val="32"/>
          <w:lang w:val="en-US" w:eastAsia="zh-CN"/>
        </w:rPr>
        <w:t>194.78</w:t>
      </w:r>
      <w:r>
        <w:rPr>
          <w:rFonts w:hint="eastAsia"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lang w:eastAsia="zh-CN"/>
        </w:rPr>
        <w:t>194.62</w:t>
      </w:r>
      <w:r>
        <w:rPr>
          <w:rFonts w:hint="eastAsia" w:ascii="Times New Roman" w:hAnsi="Times New Roman" w:eastAsia="仿宋_GB2312" w:cs="Times New Roman"/>
          <w:color w:val="auto"/>
          <w:sz w:val="32"/>
          <w:szCs w:val="32"/>
        </w:rPr>
        <w:t>万元。部门预算支出</w:t>
      </w:r>
      <w:r>
        <w:rPr>
          <w:rFonts w:hint="eastAsia" w:ascii="Times New Roman" w:hAnsi="Times New Roman" w:eastAsia="仿宋_GB2312" w:cs="Times New Roman"/>
          <w:color w:val="auto"/>
          <w:sz w:val="32"/>
          <w:szCs w:val="32"/>
          <w:lang w:eastAsia="zh-CN"/>
        </w:rPr>
        <w:t>194.62</w:t>
      </w:r>
      <w:r>
        <w:rPr>
          <w:rFonts w:hint="eastAsia"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lang w:val="en-US" w:eastAsia="zh-CN"/>
        </w:rPr>
        <w:t>166.23</w:t>
      </w:r>
      <w:r>
        <w:rPr>
          <w:rFonts w:hint="eastAsia" w:ascii="Times New Roman" w:hAnsi="Times New Roman" w:eastAsia="仿宋_GB2312" w:cs="Times New Roman"/>
          <w:color w:val="auto"/>
          <w:sz w:val="32"/>
          <w:szCs w:val="32"/>
        </w:rPr>
        <w:t>万元，项目支出</w:t>
      </w:r>
      <w:r>
        <w:rPr>
          <w:rFonts w:hint="eastAsia" w:ascii="Times New Roman" w:hAnsi="Times New Roman" w:eastAsia="仿宋_GB2312" w:cs="Times New Roman"/>
          <w:color w:val="auto"/>
          <w:sz w:val="32"/>
          <w:szCs w:val="32"/>
          <w:lang w:val="en-US" w:eastAsia="zh-CN"/>
        </w:rPr>
        <w:t>28.39</w:t>
      </w:r>
      <w:r>
        <w:rPr>
          <w:rFonts w:hint="eastAsia" w:ascii="Times New Roman" w:hAnsi="Times New Roman" w:eastAsia="仿宋_GB2312" w:cs="Times New Roman"/>
          <w:color w:val="auto"/>
          <w:sz w:val="32"/>
          <w:szCs w:val="32"/>
        </w:rPr>
        <w:t>万元。</w:t>
      </w:r>
      <w:r>
        <w:rPr>
          <w:rFonts w:hint="eastAsia" w:ascii="仿宋_GB2312" w:hAnsi="宋体" w:eastAsia="仿宋_GB2312" w:cs="宋体"/>
          <w:color w:val="auto"/>
          <w:kern w:val="0"/>
          <w:sz w:val="32"/>
          <w:szCs w:val="32"/>
        </w:rPr>
        <w:t>对照县财政局《项目支出绩效评价</w:t>
      </w:r>
      <w:r>
        <w:rPr>
          <w:rFonts w:hint="eastAsia" w:ascii="仿宋_GB2312" w:hAnsi="宋体" w:eastAsia="仿宋_GB2312" w:cs="宋体"/>
          <w:color w:val="auto"/>
          <w:kern w:val="0"/>
          <w:sz w:val="32"/>
          <w:szCs w:val="32"/>
          <w:lang w:eastAsia="zh-CN"/>
        </w:rPr>
        <w:t>指标</w:t>
      </w:r>
      <w:r>
        <w:rPr>
          <w:rFonts w:hint="eastAsia" w:ascii="仿宋_GB2312" w:hAnsi="宋体" w:eastAsia="仿宋_GB2312" w:cs="宋体"/>
          <w:color w:val="auto"/>
          <w:kern w:val="0"/>
          <w:sz w:val="32"/>
          <w:szCs w:val="32"/>
        </w:rPr>
        <w:t>体系（参考样表）》，</w:t>
      </w:r>
      <w:r>
        <w:rPr>
          <w:rFonts w:hint="eastAsia" w:ascii="仿宋_GB2312" w:hAnsi="黑体" w:eastAsia="仿宋_GB2312"/>
          <w:color w:val="auto"/>
          <w:sz w:val="32"/>
          <w:szCs w:val="32"/>
        </w:rPr>
        <w:t>经评价组评定，</w:t>
      </w:r>
      <w:r>
        <w:rPr>
          <w:rFonts w:hint="eastAsia" w:ascii="仿宋_GB2312" w:hAnsi="黑体" w:eastAsia="仿宋_GB2312"/>
          <w:color w:val="auto"/>
          <w:sz w:val="32"/>
          <w:szCs w:val="32"/>
          <w:lang w:eastAsia="zh-CN"/>
        </w:rPr>
        <w:t>湘潭县工商业联合会2024</w:t>
      </w:r>
      <w:r>
        <w:rPr>
          <w:rFonts w:hint="eastAsia" w:ascii="仿宋_GB2312" w:hAnsi="黑体" w:eastAsia="仿宋_GB2312"/>
          <w:color w:val="auto"/>
          <w:sz w:val="32"/>
          <w:szCs w:val="32"/>
        </w:rPr>
        <w:t>年度</w:t>
      </w:r>
      <w:r>
        <w:rPr>
          <w:rFonts w:hint="eastAsia" w:ascii="仿宋_GB2312" w:hAnsi="黑体" w:eastAsia="仿宋_GB2312"/>
          <w:color w:val="auto"/>
          <w:sz w:val="32"/>
          <w:szCs w:val="32"/>
          <w:lang w:eastAsia="zh-CN"/>
        </w:rPr>
        <w:t>部门整体支出</w:t>
      </w:r>
      <w:r>
        <w:rPr>
          <w:rFonts w:hint="eastAsia" w:ascii="仿宋_GB2312" w:hAnsi="黑体" w:eastAsia="仿宋_GB2312"/>
          <w:color w:val="auto"/>
          <w:sz w:val="32"/>
          <w:szCs w:val="32"/>
        </w:rPr>
        <w:t>建立了</w:t>
      </w:r>
      <w:r>
        <w:rPr>
          <w:rFonts w:hint="eastAsia" w:ascii="仿宋_GB2312" w:hAnsi="黑体" w:eastAsia="仿宋_GB2312"/>
          <w:color w:val="auto"/>
          <w:sz w:val="32"/>
          <w:szCs w:val="32"/>
          <w:lang w:eastAsia="zh-CN"/>
        </w:rPr>
        <w:t>财务</w:t>
      </w:r>
      <w:r>
        <w:rPr>
          <w:rFonts w:hint="eastAsia" w:ascii="仿宋_GB2312" w:hAnsi="黑体" w:eastAsia="仿宋_GB2312"/>
          <w:color w:val="auto"/>
          <w:sz w:val="32"/>
          <w:szCs w:val="32"/>
        </w:rPr>
        <w:t>管理制度并基本得到了执行，按照项目决策、项目管理及项目效益三大方面进行综合评价，总分为98分，评价等级为优秀。</w:t>
      </w:r>
      <w:r>
        <w:rPr>
          <w:rFonts w:hint="eastAsia" w:ascii="Times New Roman" w:hAnsi="Times New Roman" w:eastAsia="仿宋_GB2312" w:cs="Times New Roman"/>
          <w:color w:val="auto"/>
          <w:sz w:val="32"/>
          <w:szCs w:val="32"/>
        </w:rPr>
        <w:t>本单位</w:t>
      </w:r>
      <w:r>
        <w:rPr>
          <w:rFonts w:hint="eastAsia" w:ascii="Times New Roman" w:hAnsi="Times New Roman" w:eastAsia="仿宋_GB2312" w:cs="Times New Roman"/>
          <w:color w:val="auto"/>
          <w:sz w:val="32"/>
          <w:szCs w:val="32"/>
          <w:lang w:eastAsia="zh-CN"/>
        </w:rPr>
        <w:t>2024</w:t>
      </w:r>
      <w:r>
        <w:rPr>
          <w:rFonts w:hint="eastAsia" w:ascii="Times New Roman" w:hAnsi="Times New Roman" w:eastAsia="仿宋_GB2312" w:cs="Times New Roman"/>
          <w:color w:val="auto"/>
          <w:sz w:val="32"/>
          <w:szCs w:val="32"/>
        </w:rPr>
        <w:t>年无重点绩效项目。</w:t>
      </w:r>
    </w:p>
    <w:p>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color w:val="000000"/>
          <w:kern w:val="0"/>
          <w:sz w:val="32"/>
          <w:szCs w:val="32"/>
          <w:lang w:val="en-US" w:eastAsia="zh-CN" w:bidi="ar-SA"/>
        </w:rPr>
      </w:pPr>
      <w:r>
        <w:rPr>
          <w:rFonts w:hint="eastAsia" w:ascii="楷体" w:hAnsi="楷体" w:eastAsia="楷体" w:cs="楷体"/>
          <w:b/>
          <w:bCs/>
          <w:color w:val="000000"/>
          <w:kern w:val="0"/>
          <w:sz w:val="32"/>
          <w:szCs w:val="32"/>
          <w:lang w:val="en-US" w:eastAsia="zh-CN" w:bidi="ar-SA"/>
        </w:rPr>
        <w:t>（三）存在的问题及原因分析</w:t>
      </w:r>
    </w:p>
    <w:p>
      <w:pPr>
        <w:pStyle w:val="18"/>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预算编制工作有待细化。预算编制不够明确和细化，预算编制的合理性需要提高，预算执行力度还要进一步加强。</w:t>
      </w: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spacing w:line="600" w:lineRule="exact"/>
        <w:rPr>
          <w:rFonts w:ascii="Times New Roman" w:hAnsi="Times New Roman" w:eastAsia="仿宋_GB2312" w:cs="Times New Roman"/>
          <w:color w:val="auto"/>
          <w:sz w:val="32"/>
          <w:szCs w:val="3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ascii="宋体" w:hAnsi="宋体" w:eastAsia="宋体" w:cs="宋体"/>
          <w:sz w:val="72"/>
          <w:szCs w:val="72"/>
        </w:rPr>
      </w:pPr>
    </w:p>
    <w:p>
      <w:pPr>
        <w:pStyle w:val="18"/>
        <w:jc w:val="center"/>
        <w:rPr>
          <w:rFonts w:hint="eastAsia" w:ascii="方正小标宋_GBK" w:hAnsi="方正小标宋_GBK" w:eastAsia="方正小标宋_GBK" w:cs="方正小标宋_GBK"/>
          <w:kern w:val="0"/>
          <w:sz w:val="72"/>
          <w:szCs w:val="72"/>
        </w:rPr>
      </w:pPr>
      <w:r>
        <w:rPr>
          <w:rFonts w:hint="eastAsia" w:ascii="方正小标宋_GBK" w:hAnsi="方正小标宋_GBK" w:eastAsia="方正小标宋_GBK" w:cs="方正小标宋_GBK"/>
          <w:kern w:val="0"/>
          <w:sz w:val="72"/>
          <w:szCs w:val="72"/>
        </w:rPr>
        <w:t xml:space="preserve">第四部分 </w:t>
      </w:r>
    </w:p>
    <w:p>
      <w:pPr>
        <w:pStyle w:val="18"/>
        <w:jc w:val="center"/>
        <w:rPr>
          <w:rFonts w:hint="eastAsia" w:ascii="方正小标宋_GBK" w:hAnsi="方正小标宋_GBK" w:eastAsia="方正小标宋_GBK" w:cs="方正小标宋_GBK"/>
          <w:kern w:val="0"/>
          <w:sz w:val="72"/>
          <w:szCs w:val="72"/>
        </w:rPr>
        <w:sectPr>
          <w:pgSz w:w="11906" w:h="16838"/>
          <w:pgMar w:top="1440" w:right="1457" w:bottom="1440" w:left="1457" w:header="851" w:footer="992" w:gutter="0"/>
          <w:cols w:space="0" w:num="1"/>
          <w:docGrid w:type="linesAndChars" w:linePitch="312" w:charSpace="0"/>
        </w:sectPr>
      </w:pPr>
      <w:r>
        <w:rPr>
          <w:rFonts w:hint="eastAsia" w:ascii="方正小标宋_GBK" w:hAnsi="方正小标宋_GBK" w:eastAsia="方正小标宋_GBK" w:cs="方正小标宋_GBK"/>
          <w:kern w:val="0"/>
          <w:sz w:val="72"/>
          <w:szCs w:val="72"/>
        </w:rPr>
        <w:t>名词解释</w:t>
      </w:r>
    </w:p>
    <w:p>
      <w:pPr>
        <w:pStyle w:val="11"/>
        <w:spacing w:before="0" w:beforeAutospacing="0" w:after="0" w:afterAutospacing="0" w:line="560" w:lineRule="exact"/>
        <w:ind w:firstLine="560" w:firstLineChars="200"/>
        <w:jc w:val="both"/>
        <w:rPr>
          <w:rFonts w:ascii="黑体" w:hAnsi="Calibri" w:eastAsia="仿宋_GB2312" w:cs="黑体"/>
          <w:color w:val="000000"/>
          <w:sz w:val="28"/>
          <w:szCs w:val="28"/>
        </w:rPr>
      </w:pPr>
      <w:r>
        <w:rPr>
          <w:rFonts w:hint="eastAsia" w:ascii="黑体" w:hAnsi="Calibri" w:eastAsia="仿宋_GB2312" w:cs="黑体"/>
          <w:color w:val="000000"/>
          <w:sz w:val="28"/>
          <w:szCs w:val="28"/>
        </w:rPr>
        <w:t>一、财政拨款收入：指地方财政当年拨付的资金</w:t>
      </w:r>
    </w:p>
    <w:p>
      <w:pPr>
        <w:ind w:firstLine="560" w:firstLineChars="200"/>
        <w:jc w:val="left"/>
        <w:rPr>
          <w:rFonts w:ascii="黑体" w:eastAsia="仿宋_GB2312" w:cs="黑体"/>
          <w:color w:val="000000"/>
          <w:kern w:val="0"/>
          <w:sz w:val="28"/>
          <w:szCs w:val="28"/>
        </w:rPr>
      </w:pPr>
      <w:r>
        <w:rPr>
          <w:rFonts w:hint="eastAsia" w:ascii="黑体" w:eastAsia="仿宋_GB2312" w:cs="黑体"/>
          <w:color w:val="000000"/>
          <w:kern w:val="0"/>
          <w:sz w:val="28"/>
          <w:szCs w:val="28"/>
        </w:rPr>
        <w:t>二、年初结转和结余：指以前年度尚未完成、结转到本年按有关规定继续使用的资金。</w:t>
      </w:r>
    </w:p>
    <w:p>
      <w:pPr>
        <w:ind w:firstLine="560" w:firstLineChars="200"/>
        <w:jc w:val="left"/>
        <w:rPr>
          <w:rFonts w:ascii="黑体" w:eastAsia="仿宋_GB2312" w:cs="黑体"/>
          <w:color w:val="000000"/>
          <w:kern w:val="0"/>
          <w:sz w:val="28"/>
          <w:szCs w:val="28"/>
        </w:rPr>
      </w:pPr>
      <w:r>
        <w:rPr>
          <w:rFonts w:hint="eastAsia" w:ascii="黑体" w:eastAsia="仿宋_GB2312" w:cs="黑体"/>
          <w:color w:val="000000"/>
          <w:kern w:val="0"/>
          <w:sz w:val="28"/>
          <w:szCs w:val="28"/>
        </w:rPr>
        <w:t>三、一般公共服务（类）财政事务（款）一般行政管理事务（项）：指财政部行政单位及参照公务员法管理的事业单位开展财政立法、决算编审、资产产权管理等未单独设置项级科目的专门性财政管理工作的项目支出。</w:t>
      </w:r>
    </w:p>
    <w:p>
      <w:pPr>
        <w:pStyle w:val="11"/>
        <w:spacing w:before="0" w:beforeAutospacing="0" w:after="0" w:afterAutospacing="0" w:line="560" w:lineRule="exact"/>
        <w:ind w:firstLine="560" w:firstLineChars="200"/>
        <w:jc w:val="both"/>
        <w:rPr>
          <w:rFonts w:ascii="黑体" w:hAnsi="Calibri" w:eastAsia="仿宋_GB2312" w:cs="黑体"/>
          <w:color w:val="000000"/>
          <w:sz w:val="28"/>
          <w:szCs w:val="28"/>
        </w:rPr>
      </w:pPr>
      <w:r>
        <w:rPr>
          <w:rFonts w:hint="eastAsia" w:ascii="黑体" w:hAnsi="Calibri" w:eastAsia="仿宋_GB2312" w:cs="黑体"/>
          <w:color w:val="000000"/>
          <w:sz w:val="28"/>
          <w:szCs w:val="28"/>
        </w:rPr>
        <w:t>四、基本支出：指为保障机构正常运转、完成日常工作任务而发生的人员支出和公用支出。</w:t>
      </w:r>
    </w:p>
    <w:p>
      <w:pPr>
        <w:pStyle w:val="11"/>
        <w:spacing w:before="0" w:beforeAutospacing="0" w:after="0" w:afterAutospacing="0" w:line="560" w:lineRule="exact"/>
        <w:ind w:firstLine="560" w:firstLineChars="200"/>
        <w:jc w:val="both"/>
        <w:rPr>
          <w:rFonts w:ascii="黑体" w:hAnsi="Calibri" w:eastAsia="仿宋_GB2312" w:cs="黑体"/>
          <w:color w:val="000000"/>
          <w:sz w:val="28"/>
          <w:szCs w:val="28"/>
        </w:rPr>
      </w:pPr>
      <w:r>
        <w:rPr>
          <w:rFonts w:hint="eastAsia" w:ascii="黑体" w:hAnsi="Calibri" w:eastAsia="仿宋_GB2312" w:cs="黑体"/>
          <w:color w:val="000000"/>
          <w:sz w:val="28"/>
          <w:szCs w:val="28"/>
        </w:rPr>
        <w:t>五、项目支出：指在基本支出之外为完成特定行政任务和事业发展目标所发生的支出。</w:t>
      </w:r>
    </w:p>
    <w:p>
      <w:pPr>
        <w:pStyle w:val="11"/>
        <w:spacing w:before="0" w:beforeAutospacing="0" w:after="0" w:afterAutospacing="0" w:line="560" w:lineRule="exact"/>
        <w:ind w:firstLine="560" w:firstLineChars="200"/>
        <w:jc w:val="both"/>
        <w:rPr>
          <w:rFonts w:ascii="黑体" w:hAnsi="Calibri" w:eastAsia="仿宋_GB2312" w:cs="黑体"/>
          <w:color w:val="000000"/>
          <w:sz w:val="28"/>
          <w:szCs w:val="28"/>
        </w:rPr>
      </w:pPr>
      <w:r>
        <w:rPr>
          <w:rFonts w:hint="eastAsia" w:ascii="黑体" w:hAnsi="Calibri" w:eastAsia="仿宋_GB2312" w:cs="黑体"/>
          <w:color w:val="000000"/>
          <w:sz w:val="28"/>
          <w:szCs w:val="28"/>
        </w:rPr>
        <w:t>六、“三公”经费：纳入地方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1"/>
        <w:spacing w:before="0" w:beforeAutospacing="0" w:after="0" w:afterAutospacing="0" w:line="560" w:lineRule="exact"/>
        <w:ind w:firstLine="560" w:firstLineChars="200"/>
        <w:jc w:val="both"/>
        <w:rPr>
          <w:rFonts w:ascii="黑体" w:hAnsi="Calibri" w:eastAsia="仿宋_GB2312" w:cs="黑体"/>
          <w:color w:val="000000"/>
          <w:sz w:val="28"/>
          <w:szCs w:val="28"/>
        </w:rPr>
      </w:pPr>
      <w:r>
        <w:rPr>
          <w:rFonts w:hint="eastAsia" w:ascii="黑体" w:hAnsi="Calibri" w:eastAsia="仿宋_GB2312" w:cs="黑体"/>
          <w:color w:val="000000"/>
          <w:sz w:val="28"/>
          <w:szCs w:val="28"/>
        </w:rPr>
        <w:t>七、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8"/>
        <w:jc w:val="center"/>
        <w:rPr>
          <w:rFonts w:eastAsia="仿宋_GB2312"/>
          <w:sz w:val="28"/>
          <w:szCs w:val="28"/>
        </w:rPr>
      </w:pPr>
    </w:p>
    <w:p>
      <w:pPr>
        <w:pStyle w:val="18"/>
        <w:jc w:val="center"/>
        <w:rPr>
          <w:rFonts w:eastAsia="仿宋_GB2312"/>
          <w:sz w:val="28"/>
          <w:szCs w:val="28"/>
        </w:rPr>
      </w:pPr>
    </w:p>
    <w:p>
      <w:pPr>
        <w:pStyle w:val="18"/>
        <w:jc w:val="both"/>
        <w:rPr>
          <w:rFonts w:cs="Times New Roman"/>
          <w:sz w:val="72"/>
          <w:szCs w:val="72"/>
        </w:rPr>
      </w:pPr>
    </w:p>
    <w:p>
      <w:pPr>
        <w:widowControl/>
        <w:spacing w:line="600" w:lineRule="exact"/>
        <w:ind w:firstLine="3960" w:firstLineChars="900"/>
        <w:outlineLvl w:val="0"/>
        <w:rPr>
          <w:rFonts w:ascii="黑体" w:hAnsi="黑体" w:eastAsia="黑体" w:cs="黑体"/>
          <w:b/>
          <w:kern w:val="0"/>
          <w:sz w:val="44"/>
          <w:szCs w:val="44"/>
        </w:rPr>
      </w:pPr>
    </w:p>
    <w:p>
      <w:pPr>
        <w:pStyle w:val="10"/>
        <w:rPr>
          <w:rFonts w:ascii="黑体" w:hAnsi="黑体" w:eastAsia="黑体" w:cs="黑体"/>
          <w:b/>
          <w:kern w:val="0"/>
          <w:sz w:val="44"/>
          <w:szCs w:val="44"/>
        </w:rPr>
      </w:pPr>
    </w:p>
    <w:p>
      <w:pPr>
        <w:pStyle w:val="5"/>
      </w:pPr>
    </w:p>
    <w:p>
      <w:pPr>
        <w:pStyle w:val="18"/>
        <w:jc w:val="center"/>
        <w:rPr>
          <w:rFonts w:hint="eastAsia" w:ascii="方正小标宋_GBK" w:hAnsi="方正小标宋_GBK" w:eastAsia="方正小标宋_GBK" w:cs="方正小标宋_GBK"/>
          <w:kern w:val="0"/>
          <w:sz w:val="72"/>
          <w:szCs w:val="72"/>
        </w:rPr>
      </w:pPr>
    </w:p>
    <w:p>
      <w:pPr>
        <w:pStyle w:val="18"/>
        <w:jc w:val="center"/>
        <w:rPr>
          <w:rFonts w:hint="eastAsia" w:ascii="方正小标宋_GBK" w:hAnsi="方正小标宋_GBK" w:eastAsia="方正小标宋_GBK" w:cs="方正小标宋_GBK"/>
          <w:kern w:val="0"/>
          <w:sz w:val="72"/>
          <w:szCs w:val="72"/>
        </w:rPr>
      </w:pPr>
    </w:p>
    <w:p>
      <w:pPr>
        <w:pStyle w:val="18"/>
        <w:jc w:val="center"/>
        <w:rPr>
          <w:rFonts w:hint="eastAsia" w:ascii="方正小标宋_GBK" w:hAnsi="方正小标宋_GBK" w:eastAsia="方正小标宋_GBK" w:cs="方正小标宋_GBK"/>
          <w:kern w:val="0"/>
          <w:sz w:val="72"/>
          <w:szCs w:val="72"/>
        </w:rPr>
      </w:pPr>
    </w:p>
    <w:p>
      <w:pPr>
        <w:pStyle w:val="18"/>
        <w:jc w:val="center"/>
        <w:rPr>
          <w:rFonts w:hint="eastAsia" w:ascii="方正小标宋_GBK" w:hAnsi="方正小标宋_GBK" w:eastAsia="方正小标宋_GBK" w:cs="方正小标宋_GBK"/>
          <w:kern w:val="0"/>
          <w:sz w:val="72"/>
          <w:szCs w:val="72"/>
        </w:rPr>
      </w:pPr>
      <w:r>
        <w:rPr>
          <w:rFonts w:hint="eastAsia" w:ascii="方正小标宋_GBK" w:hAnsi="方正小标宋_GBK" w:eastAsia="方正小标宋_GBK" w:cs="方正小标宋_GBK"/>
          <w:kern w:val="0"/>
          <w:sz w:val="72"/>
          <w:szCs w:val="72"/>
        </w:rPr>
        <w:t xml:space="preserve">第五部分 </w:t>
      </w:r>
    </w:p>
    <w:p>
      <w:pPr>
        <w:pStyle w:val="18"/>
        <w:jc w:val="center"/>
        <w:rPr>
          <w:rFonts w:hint="eastAsia" w:ascii="方正小标宋_GBK" w:hAnsi="方正小标宋_GBK" w:eastAsia="方正小标宋_GBK" w:cs="方正小标宋_GBK"/>
          <w:kern w:val="0"/>
          <w:sz w:val="72"/>
          <w:szCs w:val="72"/>
        </w:rPr>
      </w:pPr>
      <w:r>
        <w:rPr>
          <w:rFonts w:hint="eastAsia" w:ascii="方正小标宋_GBK" w:hAnsi="方正小标宋_GBK" w:eastAsia="方正小标宋_GBK" w:cs="方正小标宋_GBK"/>
          <w:kern w:val="0"/>
          <w:sz w:val="72"/>
          <w:szCs w:val="72"/>
        </w:rPr>
        <w:t>附</w:t>
      </w:r>
      <w:r>
        <w:rPr>
          <w:rFonts w:hint="eastAsia" w:ascii="方正小标宋_GBK" w:hAnsi="方正小标宋_GBK" w:eastAsia="方正小标宋_GBK" w:cs="方正小标宋_GBK"/>
          <w:kern w:val="0"/>
          <w:sz w:val="72"/>
          <w:szCs w:val="72"/>
          <w:lang w:val="en-US" w:eastAsia="zh-CN"/>
        </w:rPr>
        <w:t xml:space="preserve"> </w:t>
      </w:r>
      <w:r>
        <w:rPr>
          <w:rFonts w:hint="eastAsia" w:ascii="方正小标宋_GBK" w:hAnsi="方正小标宋_GBK" w:eastAsia="方正小标宋_GBK" w:cs="方正小标宋_GBK"/>
          <w:kern w:val="0"/>
          <w:sz w:val="72"/>
          <w:szCs w:val="72"/>
        </w:rPr>
        <w:t>件</w:t>
      </w: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center"/>
        <w:rPr>
          <w:rFonts w:hint="eastAsia" w:ascii="仿宋_GB2312" w:hAnsi="宋体" w:eastAsia="仿宋_GB2312" w:cs="仿宋_GB2312"/>
          <w:b/>
          <w:bCs/>
          <w:sz w:val="36"/>
          <w:szCs w:val="36"/>
        </w:rPr>
      </w:pPr>
    </w:p>
    <w:p>
      <w:pPr>
        <w:tabs>
          <w:tab w:val="left" w:pos="6480"/>
        </w:tabs>
        <w:spacing w:line="600" w:lineRule="exact"/>
        <w:jc w:val="both"/>
        <w:rPr>
          <w:rFonts w:hint="eastAsia" w:ascii="仿宋_GB2312" w:hAnsi="宋体" w:eastAsia="仿宋_GB2312" w:cs="仿宋_GB2312"/>
          <w:b/>
          <w:bCs/>
          <w:sz w:val="36"/>
          <w:szCs w:val="36"/>
        </w:rPr>
      </w:pPr>
    </w:p>
    <w:p>
      <w:pPr>
        <w:tabs>
          <w:tab w:val="left" w:pos="6480"/>
        </w:tabs>
        <w:spacing w:line="600" w:lineRule="exact"/>
        <w:jc w:val="center"/>
        <w:rPr>
          <w:rFonts w:ascii="仿宋_GB2312" w:eastAsia="仿宋_GB2312" w:cs="Times New Roman"/>
          <w:b/>
          <w:bCs/>
          <w:sz w:val="32"/>
          <w:szCs w:val="32"/>
        </w:rPr>
      </w:pPr>
      <w:r>
        <w:rPr>
          <w:rFonts w:hint="eastAsia" w:ascii="仿宋_GB2312" w:hAnsi="宋体" w:eastAsia="仿宋_GB2312" w:cs="仿宋_GB2312"/>
          <w:b/>
          <w:bCs/>
          <w:sz w:val="36"/>
          <w:szCs w:val="36"/>
        </w:rPr>
        <w:t>湘潭县工商联</w:t>
      </w:r>
      <w:r>
        <w:rPr>
          <w:rFonts w:hint="eastAsia" w:ascii="仿宋_GB2312" w:hAnsi="宋体" w:eastAsia="仿宋_GB2312" w:cs="仿宋_GB2312"/>
          <w:b/>
          <w:bCs/>
          <w:sz w:val="36"/>
          <w:szCs w:val="36"/>
          <w:lang w:eastAsia="zh-CN"/>
        </w:rPr>
        <w:t>2024</w:t>
      </w:r>
      <w:r>
        <w:rPr>
          <w:rFonts w:hint="eastAsia" w:ascii="仿宋_GB2312" w:hAnsi="宋体" w:eastAsia="仿宋_GB2312" w:cs="仿宋_GB2312"/>
          <w:b/>
          <w:bCs/>
          <w:sz w:val="36"/>
          <w:szCs w:val="36"/>
        </w:rPr>
        <w:t>年部门整体支出绩效评价报告</w:t>
      </w:r>
    </w:p>
    <w:tbl>
      <w:tblPr>
        <w:tblStyle w:val="12"/>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862"/>
        <w:gridCol w:w="5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部门概况</w:t>
            </w:r>
          </w:p>
        </w:tc>
        <w:tc>
          <w:tcPr>
            <w:tcW w:w="1862" w:type="dxa"/>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单位名称</w:t>
            </w:r>
          </w:p>
        </w:tc>
        <w:tc>
          <w:tcPr>
            <w:tcW w:w="5976" w:type="dxa"/>
            <w:noWrap w:val="0"/>
            <w:vAlign w:val="center"/>
          </w:tcPr>
          <w:p>
            <w:pPr>
              <w:spacing w:line="576" w:lineRule="exact"/>
              <w:ind w:right="879" w:rightChars="419"/>
              <w:jc w:val="center"/>
              <w:rPr>
                <w:rFonts w:ascii="仿宋_GB2312" w:hAnsi="宋体" w:eastAsia="仿宋_GB2312" w:cs="宋体"/>
                <w:sz w:val="24"/>
                <w:szCs w:val="24"/>
              </w:rPr>
            </w:pPr>
            <w:r>
              <w:rPr>
                <w:rFonts w:hint="eastAsia" w:ascii="仿宋_GB2312" w:hAnsi="宋体" w:eastAsia="仿宋_GB2312" w:cs="宋体"/>
                <w:sz w:val="24"/>
                <w:szCs w:val="24"/>
              </w:rPr>
              <w:t>湘潭县工商业联合会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ascii="仿宋_GB2312" w:hAnsi="宋体" w:eastAsia="仿宋_GB2312" w:cs="宋体"/>
                <w:sz w:val="24"/>
                <w:szCs w:val="24"/>
              </w:rPr>
            </w:pPr>
          </w:p>
        </w:tc>
        <w:tc>
          <w:tcPr>
            <w:tcW w:w="1862" w:type="dxa"/>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年度预算金额</w:t>
            </w:r>
          </w:p>
        </w:tc>
        <w:tc>
          <w:tcPr>
            <w:tcW w:w="5976" w:type="dxa"/>
            <w:noWrap w:val="0"/>
            <w:vAlign w:val="center"/>
          </w:tcPr>
          <w:p>
            <w:pPr>
              <w:spacing w:line="576" w:lineRule="exact"/>
              <w:ind w:right="879" w:rightChars="419"/>
              <w:jc w:val="center"/>
              <w:rPr>
                <w:rFonts w:ascii="仿宋_GB2312" w:hAnsi="宋体" w:eastAsia="仿宋_GB2312" w:cs="宋体"/>
                <w:sz w:val="24"/>
                <w:szCs w:val="24"/>
              </w:rPr>
            </w:pPr>
            <w:r>
              <w:rPr>
                <w:rFonts w:hint="eastAsia" w:ascii="仿宋_GB2312" w:hAnsi="宋体" w:eastAsia="仿宋_GB2312" w:cs="宋体"/>
                <w:sz w:val="24"/>
                <w:szCs w:val="24"/>
                <w:lang w:val="en-US" w:eastAsia="zh-CN"/>
              </w:rPr>
              <w:t>194.62</w:t>
            </w:r>
            <w:r>
              <w:rPr>
                <w:rFonts w:hint="eastAsia" w:ascii="仿宋_GB2312" w:hAnsi="宋体" w:eastAsia="仿宋_GB2312" w:cs="宋体"/>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ascii="仿宋_GB2312" w:hAnsi="宋体" w:eastAsia="仿宋_GB2312" w:cs="宋体"/>
                <w:sz w:val="24"/>
                <w:szCs w:val="24"/>
              </w:rPr>
            </w:pPr>
          </w:p>
        </w:tc>
        <w:tc>
          <w:tcPr>
            <w:tcW w:w="1862" w:type="dxa"/>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主管部门</w:t>
            </w:r>
          </w:p>
        </w:tc>
        <w:tc>
          <w:tcPr>
            <w:tcW w:w="5976" w:type="dxa"/>
            <w:noWrap w:val="0"/>
            <w:vAlign w:val="center"/>
          </w:tcPr>
          <w:p>
            <w:pPr>
              <w:spacing w:line="576" w:lineRule="exact"/>
              <w:ind w:right="879" w:rightChars="419"/>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5" w:hRule="atLeast"/>
          <w:jc w:val="center"/>
        </w:trPr>
        <w:tc>
          <w:tcPr>
            <w:tcW w:w="1384" w:type="dxa"/>
            <w:vMerge w:val="continue"/>
            <w:noWrap w:val="0"/>
            <w:vAlign w:val="top"/>
          </w:tcPr>
          <w:p>
            <w:pPr>
              <w:spacing w:line="576" w:lineRule="exact"/>
              <w:jc w:val="center"/>
              <w:rPr>
                <w:rFonts w:ascii="仿宋_GB2312" w:hAnsi="宋体" w:eastAsia="仿宋_GB2312" w:cs="宋体"/>
                <w:sz w:val="24"/>
                <w:szCs w:val="24"/>
              </w:rPr>
            </w:pPr>
          </w:p>
        </w:tc>
        <w:tc>
          <w:tcPr>
            <w:tcW w:w="1862" w:type="dxa"/>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单位基本职能</w:t>
            </w:r>
          </w:p>
        </w:tc>
        <w:tc>
          <w:tcPr>
            <w:tcW w:w="5976" w:type="dxa"/>
            <w:noWrap w:val="0"/>
            <w:vAlign w:val="top"/>
          </w:tcPr>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1.参与全县经济和社会发展中的重要问题的政治协商，发挥民主监督的作用，参政议政；</w:t>
            </w:r>
          </w:p>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2.引导会员积极参加国家经济建设，推</w:t>
            </w:r>
            <w:bookmarkStart w:id="4" w:name="_GoBack"/>
            <w:bookmarkEnd w:id="4"/>
            <w:r>
              <w:rPr>
                <w:rFonts w:hint="eastAsia" w:ascii="仿宋_GB2312" w:hAnsi="宋体" w:eastAsia="仿宋_GB2312" w:cs="宋体"/>
                <w:sz w:val="24"/>
                <w:szCs w:val="24"/>
              </w:rPr>
              <w:t>动社会主义市场经济体制逐步完善，促进社会全面发展；</w:t>
            </w:r>
          </w:p>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3.做工商界代表人士的政治安排、推荐工作；</w:t>
            </w:r>
          </w:p>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4.宣传贯彻党和国家的方针政策，加强和改进思想政治工作，提高会员素质，培养积极分子队伍；</w:t>
            </w:r>
          </w:p>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5.代表并维护会员的合法权益，反映会员的意见、要求和建议；</w:t>
            </w:r>
          </w:p>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6.为会员提供信息和科技、管理、法律、会计、审计、融资、咨询等服务；</w:t>
            </w:r>
          </w:p>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7.开展专业知识培训；</w:t>
            </w:r>
          </w:p>
          <w:p>
            <w:pPr>
              <w:spacing w:line="576" w:lineRule="exact"/>
              <w:ind w:right="879" w:rightChars="419"/>
              <w:jc w:val="both"/>
              <w:rPr>
                <w:rFonts w:ascii="仿宋_GB2312" w:hAnsi="宋体" w:eastAsia="仿宋_GB2312" w:cs="宋体"/>
                <w:sz w:val="24"/>
                <w:szCs w:val="24"/>
              </w:rPr>
            </w:pPr>
            <w:r>
              <w:rPr>
                <w:rFonts w:hint="eastAsia" w:ascii="仿宋_GB2312" w:hAnsi="宋体" w:eastAsia="仿宋_GB2312" w:cs="宋体"/>
                <w:sz w:val="24"/>
                <w:szCs w:val="24"/>
              </w:rPr>
              <w:t>8.组织会员参加各种对外交流活动，组织会员考察访问，帮助会员开拓国内、国际市场。</w:t>
            </w:r>
          </w:p>
          <w:p>
            <w:pPr>
              <w:spacing w:line="576" w:lineRule="exact"/>
              <w:ind w:right="879" w:rightChars="419"/>
              <w:jc w:val="both"/>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绩效完成情况</w:t>
            </w:r>
          </w:p>
        </w:tc>
        <w:tc>
          <w:tcPr>
            <w:tcW w:w="1862" w:type="dxa"/>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部门整体支出管理和使用基本情况</w:t>
            </w:r>
          </w:p>
        </w:tc>
        <w:tc>
          <w:tcPr>
            <w:tcW w:w="5976" w:type="dxa"/>
            <w:noWrap w:val="0"/>
            <w:vAlign w:val="center"/>
          </w:tcPr>
          <w:p>
            <w:pPr>
              <w:numPr>
                <w:ilvl w:val="0"/>
                <w:numId w:val="2"/>
              </w:numPr>
              <w:spacing w:line="576" w:lineRule="exact"/>
              <w:ind w:right="879" w:rightChars="419"/>
              <w:jc w:val="left"/>
              <w:rPr>
                <w:rFonts w:hint="eastAsia" w:ascii="仿宋_GB2312" w:hAnsi="宋体" w:eastAsia="仿宋_GB2312" w:cs="宋体"/>
                <w:sz w:val="24"/>
                <w:szCs w:val="24"/>
                <w:lang w:eastAsia="zh-CN"/>
              </w:rPr>
            </w:pPr>
            <w:r>
              <w:rPr>
                <w:rFonts w:hint="eastAsia" w:ascii="仿宋_GB2312" w:hAnsi="宋体" w:eastAsia="仿宋_GB2312" w:cs="宋体"/>
                <w:sz w:val="24"/>
                <w:szCs w:val="24"/>
                <w:lang w:val="en-US" w:eastAsia="zh-CN"/>
              </w:rPr>
              <w:t>预算执行方面：全年预算安排194.62</w:t>
            </w:r>
            <w:r>
              <w:rPr>
                <w:rFonts w:hint="eastAsia" w:ascii="仿宋_GB2312" w:hAnsi="宋体" w:eastAsia="仿宋_GB2312" w:cs="宋体"/>
                <w:sz w:val="24"/>
                <w:szCs w:val="24"/>
              </w:rPr>
              <w:t>万元</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rPr>
              <w:t>年初预算</w:t>
            </w:r>
            <w:r>
              <w:rPr>
                <w:rFonts w:hint="eastAsia" w:ascii="仿宋_GB2312" w:hAnsi="宋体" w:eastAsia="仿宋_GB2312" w:cs="宋体"/>
                <w:sz w:val="24"/>
                <w:szCs w:val="24"/>
                <w:lang w:val="en-US" w:eastAsia="zh-CN"/>
              </w:rPr>
              <w:t>187.83</w:t>
            </w:r>
            <w:r>
              <w:rPr>
                <w:rFonts w:hint="eastAsia" w:ascii="仿宋_GB2312" w:hAnsi="宋体" w:eastAsia="仿宋_GB2312" w:cs="宋体"/>
                <w:sz w:val="24"/>
                <w:szCs w:val="24"/>
              </w:rPr>
              <w:t>万元），全年支出</w:t>
            </w:r>
            <w:r>
              <w:rPr>
                <w:rFonts w:hint="eastAsia" w:ascii="仿宋_GB2312" w:hAnsi="宋体" w:eastAsia="仿宋_GB2312" w:cs="宋体"/>
                <w:sz w:val="24"/>
                <w:szCs w:val="24"/>
                <w:lang w:eastAsia="zh-CN"/>
              </w:rPr>
              <w:t>共计</w:t>
            </w:r>
            <w:r>
              <w:rPr>
                <w:rFonts w:hint="eastAsia" w:ascii="仿宋_GB2312" w:hAnsi="宋体" w:eastAsia="仿宋_GB2312" w:cs="宋体"/>
                <w:sz w:val="24"/>
                <w:szCs w:val="24"/>
                <w:lang w:val="en-US" w:eastAsia="zh-CN"/>
              </w:rPr>
              <w:t>194.62</w:t>
            </w:r>
            <w:r>
              <w:rPr>
                <w:rFonts w:hint="eastAsia" w:ascii="仿宋_GB2312" w:hAnsi="宋体" w:eastAsia="仿宋_GB2312" w:cs="宋体"/>
                <w:sz w:val="24"/>
                <w:szCs w:val="24"/>
              </w:rPr>
              <w:t>万元，其中基本支出</w:t>
            </w:r>
            <w:r>
              <w:rPr>
                <w:rFonts w:hint="eastAsia" w:ascii="仿宋_GB2312" w:hAnsi="宋体" w:eastAsia="仿宋_GB2312" w:cs="宋体"/>
                <w:sz w:val="24"/>
                <w:szCs w:val="24"/>
                <w:lang w:val="en-US" w:eastAsia="zh-CN"/>
              </w:rPr>
              <w:t>166.23</w:t>
            </w:r>
            <w:r>
              <w:rPr>
                <w:rFonts w:hint="eastAsia" w:ascii="仿宋_GB2312" w:hAnsi="宋体" w:eastAsia="仿宋_GB2312" w:cs="宋体"/>
                <w:sz w:val="24"/>
                <w:szCs w:val="24"/>
              </w:rPr>
              <w:t>万元，</w:t>
            </w:r>
            <w:r>
              <w:rPr>
                <w:rFonts w:hint="eastAsia" w:ascii="仿宋_GB2312" w:hAnsi="宋体" w:eastAsia="仿宋_GB2312" w:cs="宋体"/>
                <w:sz w:val="24"/>
                <w:szCs w:val="24"/>
                <w:lang w:eastAsia="zh-CN"/>
              </w:rPr>
              <w:t>项目</w:t>
            </w:r>
            <w:r>
              <w:rPr>
                <w:rFonts w:hint="eastAsia" w:ascii="仿宋_GB2312" w:hAnsi="宋体" w:eastAsia="仿宋_GB2312" w:cs="宋体"/>
                <w:sz w:val="24"/>
                <w:szCs w:val="24"/>
              </w:rPr>
              <w:t>支出</w:t>
            </w:r>
            <w:r>
              <w:rPr>
                <w:rFonts w:hint="eastAsia" w:ascii="仿宋_GB2312" w:hAnsi="宋体" w:eastAsia="仿宋_GB2312" w:cs="宋体"/>
                <w:sz w:val="24"/>
                <w:szCs w:val="24"/>
                <w:lang w:val="en-US" w:eastAsia="zh-CN"/>
              </w:rPr>
              <w:t>28.38</w:t>
            </w:r>
            <w:r>
              <w:rPr>
                <w:rFonts w:hint="eastAsia" w:ascii="仿宋_GB2312" w:hAnsi="宋体" w:eastAsia="仿宋_GB2312" w:cs="宋体"/>
                <w:sz w:val="24"/>
                <w:szCs w:val="24"/>
              </w:rPr>
              <w:t>万元，年末结余0万元</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lang w:val="en-US" w:eastAsia="zh-CN"/>
              </w:rPr>
              <w:t>本年度“三公”经费年初预算0万元，实际支出0万元，其中公务接待费0万元，公务用车购置及运行维护费完成0万元，因公出国（境）费0万元。</w:t>
            </w:r>
          </w:p>
          <w:p>
            <w:pPr>
              <w:spacing w:line="576" w:lineRule="exact"/>
              <w:ind w:right="879" w:rightChars="419"/>
              <w:jc w:val="left"/>
              <w:rPr>
                <w:rFonts w:hint="eastAsia" w:ascii="仿宋_GB2312" w:hAnsi="宋体" w:eastAsia="仿宋_GB2312" w:cs="宋体"/>
                <w:sz w:val="24"/>
                <w:szCs w:val="24"/>
                <w:lang w:val="en-US" w:eastAsia="zh-CN"/>
              </w:rPr>
            </w:pPr>
            <w:r>
              <w:rPr>
                <w:rFonts w:hint="eastAsia" w:ascii="仿宋_GB2312" w:hAnsi="宋体" w:eastAsia="仿宋_GB2312" w:cs="宋体"/>
                <w:sz w:val="24"/>
                <w:szCs w:val="24"/>
                <w:lang w:val="en-US" w:eastAsia="zh-CN"/>
              </w:rPr>
              <w:t>二、预算管理方面：</w:t>
            </w:r>
          </w:p>
          <w:p>
            <w:pPr>
              <w:spacing w:line="576" w:lineRule="exact"/>
              <w:ind w:right="879" w:rightChars="419"/>
              <w:jc w:val="left"/>
              <w:rPr>
                <w:rFonts w:hint="eastAsia" w:ascii="仿宋_GB2312" w:hAnsi="宋体" w:eastAsia="仿宋_GB2312" w:cs="宋体"/>
                <w:sz w:val="24"/>
                <w:szCs w:val="24"/>
                <w:lang w:val="en-US" w:eastAsia="zh-CN"/>
              </w:rPr>
            </w:pPr>
            <w:r>
              <w:rPr>
                <w:rFonts w:hint="eastAsia" w:ascii="仿宋_GB2312" w:hAnsi="宋体" w:eastAsia="仿宋_GB2312" w:cs="宋体"/>
                <w:sz w:val="24"/>
                <w:szCs w:val="24"/>
                <w:lang w:val="en-US" w:eastAsia="zh-CN"/>
              </w:rPr>
              <w:t>（1）管理制度健全性：我单位制定了《财务管理制度》和《内部控制手册》，明确了经费审批权限及程序，经费预算管理、财务收支管理、资产购置与处置、政府采购管理、财务监督，开展资金使用监督和绩效评估，进一步落实厉行节约的各项规定，确保“三公”经费使用合理合规。</w:t>
            </w:r>
          </w:p>
          <w:p>
            <w:pPr>
              <w:spacing w:line="576" w:lineRule="exact"/>
              <w:ind w:right="879" w:rightChars="419"/>
              <w:jc w:val="left"/>
              <w:rPr>
                <w:rFonts w:hint="eastAsia" w:ascii="仿宋_GB2312" w:hAnsi="宋体" w:eastAsia="仿宋_GB2312" w:cs="宋体"/>
                <w:sz w:val="24"/>
                <w:szCs w:val="24"/>
                <w:lang w:val="en-US" w:eastAsia="zh-CN"/>
              </w:rPr>
            </w:pPr>
            <w:r>
              <w:rPr>
                <w:rFonts w:hint="eastAsia" w:ascii="仿宋_GB2312" w:hAnsi="宋体" w:eastAsia="仿宋_GB2312" w:cs="宋体"/>
                <w:sz w:val="24"/>
                <w:szCs w:val="24"/>
                <w:lang w:val="en-US" w:eastAsia="zh-CN"/>
              </w:rPr>
              <w:t>（2）专账核算：我单位项目支出全部分项目单独核算。</w:t>
            </w:r>
          </w:p>
          <w:p>
            <w:pPr>
              <w:spacing w:line="576" w:lineRule="exact"/>
              <w:ind w:right="879" w:rightChars="419"/>
              <w:jc w:val="left"/>
              <w:rPr>
                <w:rFonts w:hint="eastAsia" w:ascii="仿宋_GB2312" w:hAnsi="宋体" w:eastAsia="仿宋_GB2312" w:cs="宋体"/>
                <w:sz w:val="24"/>
                <w:szCs w:val="24"/>
                <w:lang w:val="en-US" w:eastAsia="zh-CN"/>
              </w:rPr>
            </w:pPr>
            <w:r>
              <w:rPr>
                <w:rFonts w:hint="eastAsia" w:ascii="仿宋_GB2312" w:hAnsi="宋体" w:eastAsia="仿宋_GB2312" w:cs="宋体"/>
                <w:sz w:val="24"/>
                <w:szCs w:val="24"/>
                <w:lang w:val="en-US" w:eastAsia="zh-CN"/>
              </w:rPr>
              <w:t>（3）预决算公开：我单位按照规定时限和规定内容在单位门户网站以及湘潭县人民政府网站公开部门预算、决算以及绩效自评信息，各项应向社会公开的信息及时、完整、真实。</w:t>
            </w:r>
          </w:p>
          <w:p>
            <w:pPr>
              <w:spacing w:line="576" w:lineRule="exact"/>
              <w:ind w:right="879" w:rightChars="419"/>
              <w:jc w:val="left"/>
              <w:rPr>
                <w:rFonts w:hint="eastAsia" w:ascii="仿宋_GB2312" w:hAnsi="宋体" w:eastAsia="仿宋_GB2312" w:cs="宋体"/>
                <w:sz w:val="24"/>
                <w:szCs w:val="24"/>
                <w:lang w:val="en-US" w:eastAsia="zh-CN"/>
              </w:rPr>
            </w:pPr>
            <w:r>
              <w:rPr>
                <w:rFonts w:hint="eastAsia" w:ascii="仿宋_GB2312" w:hAnsi="宋体" w:eastAsia="仿宋_GB2312" w:cs="宋体"/>
                <w:sz w:val="24"/>
                <w:szCs w:val="24"/>
                <w:lang w:val="en-US" w:eastAsia="zh-CN"/>
              </w:rPr>
              <w:t>（4）政府采购：按照《中华人民共和国政府采购法》《政府采购内部控制制度》的要求，对达到政府采购限额的货物和服务都进行了政府采购，采购执行率100%。</w:t>
            </w:r>
          </w:p>
          <w:p>
            <w:pPr>
              <w:spacing w:line="576" w:lineRule="exact"/>
              <w:ind w:right="879" w:rightChars="419"/>
              <w:jc w:val="left"/>
              <w:rPr>
                <w:rFonts w:hint="eastAsia"/>
                <w:lang w:eastAsia="zh-CN"/>
              </w:rPr>
            </w:pPr>
            <w:r>
              <w:rPr>
                <w:rFonts w:hint="eastAsia" w:ascii="仿宋_GB2312" w:hAnsi="宋体" w:eastAsia="仿宋_GB2312" w:cs="宋体"/>
                <w:sz w:val="24"/>
                <w:szCs w:val="24"/>
                <w:lang w:val="en-US" w:eastAsia="zh-CN"/>
              </w:rPr>
              <w:t>（5）资产管理：我单位制定了《资产管理内控制度》，国有资产的管理严格按照制度的相关工作要求，规范会计核算，保障资产系统数据与财务数据的一致性；全面开展了资产清查工作，上报国有资产报表数据真实、准确、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jc w:val="center"/>
        </w:trPr>
        <w:tc>
          <w:tcPr>
            <w:tcW w:w="1384" w:type="dxa"/>
            <w:vMerge w:val="continue"/>
            <w:noWrap w:val="0"/>
            <w:vAlign w:val="top"/>
          </w:tcPr>
          <w:p>
            <w:pPr>
              <w:spacing w:line="576" w:lineRule="exact"/>
              <w:jc w:val="center"/>
              <w:rPr>
                <w:rFonts w:ascii="仿宋_GB2312" w:hAnsi="宋体" w:eastAsia="仿宋_GB2312" w:cs="宋体"/>
                <w:sz w:val="24"/>
                <w:szCs w:val="24"/>
              </w:rPr>
            </w:pPr>
          </w:p>
        </w:tc>
        <w:tc>
          <w:tcPr>
            <w:tcW w:w="1862" w:type="dxa"/>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绩效目标完成情况</w:t>
            </w:r>
          </w:p>
        </w:tc>
        <w:tc>
          <w:tcPr>
            <w:tcW w:w="5976" w:type="dxa"/>
            <w:noWrap w:val="0"/>
            <w:vAlign w:val="center"/>
          </w:tcPr>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rPr>
              <w:t>2024年，</w:t>
            </w:r>
            <w:r>
              <w:rPr>
                <w:rFonts w:hint="eastAsia" w:ascii="仿宋_GB2312" w:hAnsi="宋体" w:eastAsia="仿宋_GB2312" w:cs="宋体"/>
                <w:sz w:val="24"/>
                <w:szCs w:val="24"/>
                <w:lang w:eastAsia="zh-CN"/>
              </w:rPr>
              <w:t>在县委、县政府的坚强领导下，</w:t>
            </w:r>
            <w:r>
              <w:rPr>
                <w:rFonts w:hint="eastAsia" w:ascii="仿宋_GB2312" w:hAnsi="宋体" w:eastAsia="仿宋_GB2312" w:cs="宋体"/>
                <w:sz w:val="24"/>
                <w:szCs w:val="24"/>
              </w:rPr>
              <w:t>县工商联紧紧</w:t>
            </w:r>
            <w:r>
              <w:rPr>
                <w:rFonts w:hint="eastAsia" w:ascii="仿宋_GB2312" w:hAnsi="宋体" w:eastAsia="仿宋_GB2312" w:cs="宋体"/>
                <w:sz w:val="24"/>
                <w:szCs w:val="24"/>
                <w:lang w:eastAsia="zh-CN"/>
              </w:rPr>
              <w:t>围绕中心、服务大局</w:t>
            </w:r>
            <w:r>
              <w:rPr>
                <w:rFonts w:hint="eastAsia" w:ascii="仿宋_GB2312" w:hAnsi="宋体" w:eastAsia="仿宋_GB2312" w:cs="宋体"/>
                <w:sz w:val="24"/>
                <w:szCs w:val="24"/>
              </w:rPr>
              <w:t>，紧扣“三提一领”发展目标，</w:t>
            </w:r>
            <w:r>
              <w:rPr>
                <w:rFonts w:hint="eastAsia" w:ascii="仿宋_GB2312" w:hAnsi="宋体" w:eastAsia="仿宋_GB2312" w:cs="宋体"/>
                <w:sz w:val="24"/>
                <w:szCs w:val="24"/>
                <w:lang w:eastAsia="zh-CN"/>
              </w:rPr>
              <w:t>着力打造“四大品牌”</w:t>
            </w:r>
            <w:r>
              <w:rPr>
                <w:rFonts w:hint="eastAsia" w:ascii="仿宋_GB2312" w:hAnsi="宋体" w:eastAsia="仿宋_GB2312" w:cs="宋体"/>
                <w:sz w:val="24"/>
                <w:szCs w:val="24"/>
              </w:rPr>
              <w:t>，</w:t>
            </w:r>
            <w:r>
              <w:rPr>
                <w:rFonts w:hint="eastAsia" w:ascii="仿宋_GB2312" w:hAnsi="宋体" w:eastAsia="仿宋_GB2312" w:cs="宋体"/>
                <w:sz w:val="24"/>
                <w:szCs w:val="24"/>
                <w:lang w:eastAsia="zh-CN"/>
              </w:rPr>
              <w:t>有力促进了“两个健康”，</w:t>
            </w:r>
            <w:r>
              <w:rPr>
                <w:rFonts w:hint="eastAsia" w:ascii="仿宋_GB2312" w:hAnsi="宋体" w:eastAsia="仿宋_GB2312" w:cs="宋体"/>
                <w:sz w:val="24"/>
                <w:szCs w:val="24"/>
              </w:rPr>
              <w:t>较好地完成了</w:t>
            </w:r>
            <w:r>
              <w:rPr>
                <w:rFonts w:hint="eastAsia" w:ascii="仿宋_GB2312" w:hAnsi="宋体" w:eastAsia="仿宋_GB2312" w:cs="宋体"/>
                <w:sz w:val="24"/>
                <w:szCs w:val="24"/>
                <w:lang w:eastAsia="zh-CN"/>
              </w:rPr>
              <w:t>全年</w:t>
            </w:r>
            <w:r>
              <w:rPr>
                <w:rFonts w:hint="eastAsia" w:ascii="仿宋_GB2312" w:hAnsi="宋体" w:eastAsia="仿宋_GB2312" w:cs="宋体"/>
                <w:sz w:val="24"/>
                <w:szCs w:val="24"/>
              </w:rPr>
              <w:t>工作任务。</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eastAsia="zh-CN"/>
              </w:rPr>
              <w:t>（一）</w:t>
            </w:r>
            <w:r>
              <w:rPr>
                <w:rFonts w:hint="eastAsia" w:ascii="仿宋_GB2312" w:hAnsi="宋体" w:eastAsia="仿宋_GB2312" w:cs="宋体"/>
                <w:sz w:val="24"/>
                <w:szCs w:val="24"/>
              </w:rPr>
              <w:t>坚持以</w:t>
            </w:r>
            <w:r>
              <w:rPr>
                <w:rFonts w:hint="eastAsia" w:ascii="仿宋_GB2312" w:hAnsi="宋体" w:eastAsia="仿宋_GB2312" w:cs="宋体"/>
                <w:sz w:val="24"/>
                <w:szCs w:val="24"/>
                <w:lang w:eastAsia="zh-CN"/>
              </w:rPr>
              <w:t>“八大工程”</w:t>
            </w:r>
            <w:r>
              <w:rPr>
                <w:rFonts w:hint="eastAsia" w:ascii="仿宋_GB2312" w:hAnsi="宋体" w:eastAsia="仿宋_GB2312" w:cs="宋体"/>
                <w:sz w:val="24"/>
                <w:szCs w:val="24"/>
              </w:rPr>
              <w:t>为抓手，服务发展大局有新作为</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1.</w:t>
            </w:r>
            <w:r>
              <w:rPr>
                <w:rFonts w:hint="eastAsia" w:ascii="仿宋_GB2312" w:hAnsi="宋体" w:eastAsia="仿宋_GB2312" w:cs="宋体"/>
                <w:sz w:val="24"/>
                <w:szCs w:val="24"/>
              </w:rPr>
              <w:t>助力湘商回归和返乡创业。</w:t>
            </w:r>
            <w:r>
              <w:rPr>
                <w:rFonts w:hint="eastAsia" w:ascii="仿宋_GB2312" w:hAnsi="宋体" w:eastAsia="仿宋_GB2312" w:cs="宋体"/>
                <w:sz w:val="24"/>
                <w:szCs w:val="24"/>
                <w:lang w:val="en-US" w:eastAsia="zh-CN"/>
              </w:rPr>
              <w:t>大力推动湘商回归，</w:t>
            </w:r>
            <w:r>
              <w:rPr>
                <w:rFonts w:hint="eastAsia" w:ascii="仿宋_GB2312" w:hAnsi="宋体" w:eastAsia="仿宋_GB2312" w:cs="宋体"/>
                <w:sz w:val="24"/>
                <w:szCs w:val="24"/>
              </w:rPr>
              <w:t>机关干部联系</w:t>
            </w:r>
            <w:r>
              <w:rPr>
                <w:rFonts w:hint="eastAsia" w:ascii="仿宋_GB2312" w:hAnsi="宋体" w:eastAsia="仿宋_GB2312" w:cs="宋体"/>
                <w:sz w:val="24"/>
                <w:szCs w:val="24"/>
                <w:lang w:val="en-US" w:eastAsia="zh-CN"/>
              </w:rPr>
              <w:t>130</w:t>
            </w:r>
            <w:r>
              <w:rPr>
                <w:rFonts w:hint="eastAsia" w:ascii="仿宋_GB2312" w:hAnsi="宋体" w:eastAsia="仿宋_GB2312" w:cs="宋体"/>
                <w:sz w:val="24"/>
                <w:szCs w:val="24"/>
              </w:rPr>
              <w:t>多名</w:t>
            </w:r>
            <w:r>
              <w:rPr>
                <w:rFonts w:hint="eastAsia" w:ascii="仿宋_GB2312" w:hAnsi="宋体" w:eastAsia="仿宋_GB2312" w:cs="宋体"/>
                <w:sz w:val="24"/>
                <w:szCs w:val="24"/>
                <w:lang w:eastAsia="zh-CN"/>
              </w:rPr>
              <w:t>湘</w:t>
            </w:r>
            <w:r>
              <w:rPr>
                <w:rFonts w:hint="eastAsia" w:ascii="仿宋_GB2312" w:hAnsi="宋体" w:eastAsia="仿宋_GB2312" w:cs="宋体"/>
                <w:sz w:val="24"/>
                <w:szCs w:val="24"/>
              </w:rPr>
              <w:t>商企业家，发挥1</w:t>
            </w:r>
            <w:r>
              <w:rPr>
                <w:rFonts w:hint="eastAsia" w:ascii="仿宋_GB2312" w:hAnsi="宋体" w:eastAsia="仿宋_GB2312" w:cs="宋体"/>
                <w:sz w:val="24"/>
                <w:szCs w:val="24"/>
                <w:lang w:val="en-US" w:eastAsia="zh-CN"/>
              </w:rPr>
              <w:t>3</w:t>
            </w:r>
            <w:r>
              <w:rPr>
                <w:rFonts w:hint="eastAsia" w:ascii="仿宋_GB2312" w:hAnsi="宋体" w:eastAsia="仿宋_GB2312" w:cs="宋体"/>
                <w:sz w:val="24"/>
                <w:szCs w:val="24"/>
              </w:rPr>
              <w:t>家湘商回归联络服务站的作用，为乡友们返乡投资创业提供</w:t>
            </w:r>
            <w:r>
              <w:rPr>
                <w:rFonts w:hint="eastAsia" w:ascii="仿宋_GB2312" w:hAnsi="宋体" w:eastAsia="仿宋_GB2312" w:cs="宋体"/>
                <w:sz w:val="24"/>
                <w:szCs w:val="24"/>
                <w:lang w:eastAsia="zh-CN"/>
              </w:rPr>
              <w:t>优质</w:t>
            </w:r>
            <w:r>
              <w:rPr>
                <w:rFonts w:hint="eastAsia" w:ascii="仿宋_GB2312" w:hAnsi="宋体" w:eastAsia="仿宋_GB2312" w:cs="宋体"/>
                <w:sz w:val="24"/>
                <w:szCs w:val="24"/>
              </w:rPr>
              <w:t>服务。开展春暖湘商系列活动，邀请30名湘商</w:t>
            </w:r>
            <w:r>
              <w:rPr>
                <w:rFonts w:hint="eastAsia" w:ascii="仿宋_GB2312" w:hAnsi="宋体" w:eastAsia="仿宋_GB2312" w:cs="宋体"/>
                <w:sz w:val="24"/>
                <w:szCs w:val="24"/>
                <w:lang w:eastAsia="zh-CN"/>
              </w:rPr>
              <w:t>精英</w:t>
            </w:r>
            <w:r>
              <w:rPr>
                <w:rFonts w:hint="eastAsia" w:ascii="仿宋_GB2312" w:hAnsi="宋体" w:eastAsia="仿宋_GB2312" w:cs="宋体"/>
                <w:sz w:val="24"/>
                <w:szCs w:val="24"/>
              </w:rPr>
              <w:t>参加“春暖莲乡”返乡知名人士迎新春联谊会，</w:t>
            </w:r>
            <w:r>
              <w:rPr>
                <w:rFonts w:hint="eastAsia" w:ascii="仿宋_GB2312" w:hAnsi="宋体" w:eastAsia="仿宋_GB2312" w:cs="宋体"/>
                <w:sz w:val="24"/>
                <w:szCs w:val="24"/>
                <w:lang w:eastAsia="zh-CN"/>
              </w:rPr>
              <w:t>邀请</w:t>
            </w:r>
            <w:r>
              <w:rPr>
                <w:rFonts w:hint="eastAsia" w:ascii="仿宋_GB2312" w:hAnsi="宋体" w:eastAsia="仿宋_GB2312" w:cs="宋体"/>
                <w:sz w:val="24"/>
                <w:szCs w:val="24"/>
                <w:lang w:val="en-US" w:eastAsia="zh-CN"/>
              </w:rPr>
              <w:t>25名</w:t>
            </w:r>
            <w:r>
              <w:rPr>
                <w:rFonts w:hint="eastAsia" w:ascii="仿宋_GB2312" w:hAnsi="宋体" w:eastAsia="仿宋_GB2312" w:cs="宋体"/>
                <w:sz w:val="24"/>
                <w:szCs w:val="24"/>
              </w:rPr>
              <w:t>湘商</w:t>
            </w:r>
            <w:r>
              <w:rPr>
                <w:rFonts w:hint="eastAsia" w:ascii="仿宋_GB2312" w:hAnsi="宋体" w:eastAsia="仿宋_GB2312" w:cs="宋体"/>
                <w:sz w:val="24"/>
                <w:szCs w:val="24"/>
                <w:lang w:eastAsia="zh-CN"/>
              </w:rPr>
              <w:t>精英</w:t>
            </w:r>
            <w:r>
              <w:rPr>
                <w:rFonts w:hint="eastAsia" w:ascii="仿宋_GB2312" w:hAnsi="宋体" w:eastAsia="仿宋_GB2312" w:cs="宋体"/>
                <w:sz w:val="24"/>
                <w:szCs w:val="24"/>
                <w:lang w:val="en-US" w:eastAsia="zh-CN"/>
              </w:rPr>
              <w:t>参加第四届潭商大会湘潭县“湘商回归”招商推介会，</w:t>
            </w:r>
            <w:r>
              <w:rPr>
                <w:rFonts w:hint="eastAsia" w:ascii="仿宋_GB2312" w:hAnsi="宋体" w:eastAsia="仿宋_GB2312" w:cs="宋体"/>
                <w:sz w:val="24"/>
                <w:szCs w:val="24"/>
              </w:rPr>
              <w:t>畅叙友情、共话发展。</w:t>
            </w:r>
            <w:r>
              <w:rPr>
                <w:rFonts w:hint="eastAsia" w:ascii="仿宋_GB2312" w:hAnsi="宋体" w:eastAsia="仿宋_GB2312" w:cs="宋体"/>
                <w:sz w:val="24"/>
                <w:szCs w:val="24"/>
                <w:lang w:eastAsia="zh-CN"/>
              </w:rPr>
              <w:t>以异地湖南、湘潭商会活动为契机，赴北京、宜昌、</w:t>
            </w:r>
            <w:r>
              <w:rPr>
                <w:rFonts w:hint="eastAsia" w:ascii="仿宋_GB2312" w:hAnsi="宋体" w:eastAsia="仿宋_GB2312" w:cs="宋体"/>
                <w:sz w:val="24"/>
                <w:szCs w:val="24"/>
              </w:rPr>
              <w:t>江西吉安</w:t>
            </w:r>
            <w:r>
              <w:rPr>
                <w:rFonts w:hint="eastAsia" w:ascii="仿宋_GB2312" w:hAnsi="宋体" w:eastAsia="仿宋_GB2312" w:cs="宋体"/>
                <w:sz w:val="24"/>
                <w:szCs w:val="24"/>
                <w:lang w:eastAsia="zh-CN"/>
              </w:rPr>
              <w:t>等地开展招商引资推介</w:t>
            </w:r>
            <w:r>
              <w:rPr>
                <w:rFonts w:hint="eastAsia" w:ascii="仿宋_GB2312" w:hAnsi="宋体" w:eastAsia="仿宋_GB2312" w:cs="宋体"/>
                <w:sz w:val="24"/>
                <w:szCs w:val="24"/>
                <w:lang w:val="en-US" w:eastAsia="zh-CN"/>
              </w:rPr>
              <w:t>3场次。</w:t>
            </w:r>
            <w:r>
              <w:rPr>
                <w:rFonts w:hint="eastAsia" w:ascii="仿宋_GB2312" w:hAnsi="宋体" w:eastAsia="仿宋_GB2312" w:cs="宋体"/>
                <w:sz w:val="24"/>
                <w:szCs w:val="24"/>
              </w:rPr>
              <w:t>主席</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rPr>
              <w:t>书记</w:t>
            </w:r>
            <w:r>
              <w:rPr>
                <w:rFonts w:hint="eastAsia" w:ascii="仿宋_GB2312" w:hAnsi="宋体" w:eastAsia="仿宋_GB2312" w:cs="宋体"/>
                <w:sz w:val="24"/>
                <w:szCs w:val="24"/>
                <w:lang w:eastAsia="zh-CN"/>
              </w:rPr>
              <w:t>分别</w:t>
            </w:r>
            <w:r>
              <w:rPr>
                <w:rFonts w:hint="eastAsia" w:ascii="仿宋_GB2312" w:hAnsi="宋体" w:eastAsia="仿宋_GB2312" w:cs="宋体"/>
                <w:sz w:val="24"/>
                <w:szCs w:val="24"/>
              </w:rPr>
              <w:t>赴</w:t>
            </w:r>
            <w:r>
              <w:rPr>
                <w:rFonts w:hint="eastAsia" w:ascii="仿宋_GB2312" w:hAnsi="宋体" w:eastAsia="仿宋_GB2312" w:cs="宋体"/>
                <w:sz w:val="24"/>
                <w:szCs w:val="24"/>
                <w:lang w:eastAsia="zh-CN"/>
              </w:rPr>
              <w:t>北京、天津、</w:t>
            </w:r>
            <w:r>
              <w:rPr>
                <w:rFonts w:hint="eastAsia" w:ascii="仿宋_GB2312" w:hAnsi="宋体" w:eastAsia="仿宋_GB2312" w:cs="宋体"/>
                <w:sz w:val="24"/>
                <w:szCs w:val="24"/>
              </w:rPr>
              <w:t>广州</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rPr>
              <w:t>深圳等地开展招商活动，接待了来我县投资考察的</w:t>
            </w:r>
            <w:r>
              <w:rPr>
                <w:rFonts w:hint="eastAsia" w:ascii="仿宋_GB2312" w:hAnsi="宋体" w:eastAsia="仿宋_GB2312" w:cs="宋体"/>
                <w:sz w:val="24"/>
                <w:szCs w:val="24"/>
                <w:lang w:val="en-US" w:eastAsia="zh-CN"/>
              </w:rPr>
              <w:t>10</w:t>
            </w:r>
            <w:r>
              <w:rPr>
                <w:rFonts w:hint="eastAsia" w:ascii="仿宋_GB2312" w:hAnsi="宋体" w:eastAsia="仿宋_GB2312" w:cs="宋体"/>
                <w:sz w:val="24"/>
                <w:szCs w:val="24"/>
              </w:rPr>
              <w:t>批</w:t>
            </w:r>
            <w:r>
              <w:rPr>
                <w:rFonts w:hint="eastAsia" w:ascii="仿宋_GB2312" w:hAnsi="宋体" w:eastAsia="仿宋_GB2312" w:cs="宋体"/>
                <w:sz w:val="24"/>
                <w:szCs w:val="24"/>
                <w:lang w:eastAsia="zh-CN"/>
              </w:rPr>
              <w:t>次</w:t>
            </w:r>
            <w:r>
              <w:rPr>
                <w:rFonts w:hint="eastAsia" w:ascii="仿宋_GB2312" w:hAnsi="宋体" w:eastAsia="仿宋_GB2312" w:cs="宋体"/>
                <w:sz w:val="24"/>
                <w:szCs w:val="24"/>
              </w:rPr>
              <w:t>客商</w:t>
            </w:r>
            <w:r>
              <w:rPr>
                <w:rFonts w:hint="eastAsia" w:ascii="仿宋_GB2312" w:hAnsi="宋体" w:eastAsia="仿宋_GB2312" w:cs="宋体"/>
                <w:sz w:val="24"/>
                <w:szCs w:val="24"/>
                <w:lang w:eastAsia="zh-CN"/>
              </w:rPr>
              <w:t>，促成了</w:t>
            </w:r>
            <w:r>
              <w:rPr>
                <w:rFonts w:hint="eastAsia" w:ascii="仿宋_GB2312" w:hAnsi="宋体" w:eastAsia="仿宋_GB2312" w:cs="宋体"/>
                <w:sz w:val="24"/>
                <w:szCs w:val="24"/>
                <w:lang w:val="en-US" w:eastAsia="zh-CN"/>
              </w:rPr>
              <w:t>6个项目落户湘潭县</w:t>
            </w:r>
            <w:r>
              <w:rPr>
                <w:rFonts w:hint="eastAsia" w:ascii="仿宋_GB2312" w:hAnsi="宋体" w:eastAsia="仿宋_GB2312" w:cs="宋体"/>
                <w:sz w:val="24"/>
                <w:szCs w:val="24"/>
              </w:rPr>
              <w:t>。</w:t>
            </w:r>
          </w:p>
          <w:p>
            <w:pPr>
              <w:spacing w:line="576" w:lineRule="exact"/>
              <w:ind w:right="879" w:rightChars="419" w:firstLine="480" w:firstLineChars="200"/>
              <w:jc w:val="left"/>
              <w:rPr>
                <w:rFonts w:hint="eastAsia" w:ascii="仿宋_GB2312" w:hAnsi="宋体" w:eastAsia="仿宋_GB2312" w:cs="宋体"/>
                <w:sz w:val="24"/>
                <w:szCs w:val="24"/>
                <w:lang w:val="en" w:eastAsia="zh-CN"/>
              </w:rPr>
            </w:pPr>
            <w:r>
              <w:rPr>
                <w:rFonts w:hint="eastAsia" w:ascii="仿宋_GB2312" w:hAnsi="宋体" w:eastAsia="仿宋_GB2312" w:cs="宋体"/>
                <w:sz w:val="24"/>
                <w:szCs w:val="24"/>
                <w:lang w:val="en-US" w:eastAsia="zh-CN"/>
              </w:rPr>
              <w:t>2.</w:t>
            </w:r>
            <w:r>
              <w:rPr>
                <w:rFonts w:hint="eastAsia" w:ascii="仿宋_GB2312" w:hAnsi="宋体" w:eastAsia="仿宋_GB2312" w:cs="宋体"/>
                <w:sz w:val="24"/>
                <w:szCs w:val="24"/>
              </w:rPr>
              <w:t>助力优化营商环境。</w:t>
            </w:r>
            <w:r>
              <w:rPr>
                <w:rFonts w:hint="eastAsia" w:ascii="仿宋_GB2312" w:hAnsi="宋体" w:eastAsia="仿宋_GB2312" w:cs="宋体"/>
                <w:sz w:val="24"/>
                <w:szCs w:val="24"/>
                <w:lang w:eastAsia="zh-CN"/>
              </w:rPr>
              <w:t>深入</w:t>
            </w:r>
            <w:r>
              <w:rPr>
                <w:rFonts w:hint="eastAsia" w:ascii="仿宋_GB2312" w:hAnsi="宋体" w:eastAsia="仿宋_GB2312" w:cs="宋体"/>
                <w:sz w:val="24"/>
                <w:szCs w:val="24"/>
                <w:lang w:val="en-US" w:eastAsia="zh-CN"/>
              </w:rPr>
              <w:t>推进优化营商环境一号工程，</w:t>
            </w:r>
            <w:r>
              <w:rPr>
                <w:rFonts w:hint="eastAsia" w:ascii="仿宋_GB2312" w:hAnsi="宋体" w:eastAsia="仿宋_GB2312" w:cs="宋体"/>
                <w:sz w:val="24"/>
                <w:szCs w:val="24"/>
              </w:rPr>
              <w:t>开展</w:t>
            </w:r>
            <w:r>
              <w:rPr>
                <w:rFonts w:hint="eastAsia" w:ascii="仿宋_GB2312" w:hAnsi="宋体" w:eastAsia="仿宋_GB2312" w:cs="宋体"/>
                <w:sz w:val="24"/>
                <w:szCs w:val="24"/>
                <w:lang w:val="en-US" w:eastAsia="zh-CN"/>
              </w:rPr>
              <w:t>2024年上半年</w:t>
            </w:r>
            <w:r>
              <w:rPr>
                <w:rFonts w:hint="eastAsia" w:ascii="仿宋_GB2312" w:hAnsi="宋体" w:eastAsia="仿宋_GB2312" w:cs="宋体"/>
                <w:sz w:val="24"/>
                <w:szCs w:val="24"/>
              </w:rPr>
              <w:t>市场主体满意度调查，</w:t>
            </w:r>
            <w:r>
              <w:rPr>
                <w:rFonts w:hint="eastAsia" w:ascii="仿宋_GB2312" w:hAnsi="宋体" w:eastAsia="仿宋_GB2312" w:cs="宋体"/>
                <w:sz w:val="24"/>
                <w:szCs w:val="24"/>
                <w:lang w:val="en-US" w:eastAsia="zh-CN"/>
              </w:rPr>
              <w:t>回收有效问卷1020份，形成了《湘潭县2024年上半年市场主体满意度调查报告》，抓好以评促改，提升满意度。扎实抓好营商环境主观评价工作，完成调查问卷1907份。</w:t>
            </w:r>
            <w:r>
              <w:rPr>
                <w:rFonts w:hint="eastAsia" w:ascii="仿宋_GB2312" w:hAnsi="宋体" w:eastAsia="仿宋_GB2312" w:cs="宋体"/>
                <w:sz w:val="24"/>
                <w:szCs w:val="24"/>
                <w:lang w:val="en" w:eastAsia="zh-CN"/>
              </w:rPr>
              <w:t>与县委政法委、县公安局推进“三高四新·法治护航”三年专项行动，化解涉企疑难矛盾纠纷12起。开展县域民营经济法治环境建设专题调研，与县人民检察院召开“法治护航·问需企业”座谈会，与县人民法院召开“司法助企·问需企业”座谈会，聚焦经营主体反映强烈的突出问题提供精细服务。与县司法局、律师服务团联合开展民营企业法治体检行动，出具法律意见书</w:t>
            </w:r>
            <w:r>
              <w:rPr>
                <w:rFonts w:hint="eastAsia" w:ascii="仿宋_GB2312" w:hAnsi="宋体" w:eastAsia="仿宋_GB2312" w:cs="宋体"/>
                <w:sz w:val="24"/>
                <w:szCs w:val="24"/>
                <w:lang w:val="en-US" w:eastAsia="zh-CN"/>
              </w:rPr>
              <w:t>1</w:t>
            </w:r>
            <w:r>
              <w:rPr>
                <w:rFonts w:hint="eastAsia" w:ascii="仿宋_GB2312" w:hAnsi="宋体" w:eastAsia="仿宋_GB2312" w:cs="宋体"/>
                <w:sz w:val="24"/>
                <w:szCs w:val="24"/>
                <w:lang w:val="en" w:eastAsia="zh-CN"/>
              </w:rPr>
              <w:t>6份，上法治课</w:t>
            </w:r>
            <w:r>
              <w:rPr>
                <w:rFonts w:hint="eastAsia" w:ascii="仿宋_GB2312" w:hAnsi="宋体" w:eastAsia="仿宋_GB2312" w:cs="宋体"/>
                <w:sz w:val="24"/>
                <w:szCs w:val="24"/>
                <w:lang w:val="en-US" w:eastAsia="zh-CN"/>
              </w:rPr>
              <w:t>12</w:t>
            </w:r>
            <w:r>
              <w:rPr>
                <w:rFonts w:hint="eastAsia" w:ascii="仿宋_GB2312" w:hAnsi="宋体" w:eastAsia="仿宋_GB2312" w:cs="宋体"/>
                <w:sz w:val="24"/>
                <w:szCs w:val="24"/>
                <w:lang w:val="en" w:eastAsia="zh-CN"/>
              </w:rPr>
              <w:t>场次，帮助企业解决产权、劳资、合同等法律纠纷</w:t>
            </w:r>
            <w:r>
              <w:rPr>
                <w:rFonts w:hint="eastAsia" w:ascii="仿宋_GB2312" w:hAnsi="宋体" w:eastAsia="仿宋_GB2312" w:cs="宋体"/>
                <w:sz w:val="24"/>
                <w:szCs w:val="24"/>
                <w:lang w:val="en-US" w:eastAsia="zh-CN"/>
              </w:rPr>
              <w:t>2</w:t>
            </w:r>
            <w:r>
              <w:rPr>
                <w:rFonts w:hint="eastAsia" w:ascii="仿宋_GB2312" w:hAnsi="宋体" w:eastAsia="仿宋_GB2312" w:cs="宋体"/>
                <w:sz w:val="24"/>
                <w:szCs w:val="24"/>
                <w:lang w:val="en" w:eastAsia="zh-CN"/>
              </w:rPr>
              <w:t>10件，开展“法律三进”活动，举办“企业管理+法律知识”专题培训班，参训人数达500余人次。</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3.</w:t>
            </w:r>
            <w:r>
              <w:rPr>
                <w:rFonts w:hint="eastAsia" w:ascii="仿宋_GB2312" w:hAnsi="宋体" w:eastAsia="仿宋_GB2312" w:cs="宋体"/>
                <w:sz w:val="24"/>
                <w:szCs w:val="24"/>
              </w:rPr>
              <w:t>助</w:t>
            </w:r>
            <w:r>
              <w:rPr>
                <w:rFonts w:hint="eastAsia" w:ascii="仿宋_GB2312" w:hAnsi="宋体" w:eastAsia="仿宋_GB2312" w:cs="宋体"/>
                <w:sz w:val="24"/>
                <w:szCs w:val="24"/>
                <w:lang w:eastAsia="zh-CN"/>
              </w:rPr>
              <w:t>力</w:t>
            </w:r>
            <w:r>
              <w:rPr>
                <w:rFonts w:hint="eastAsia" w:ascii="仿宋_GB2312" w:hAnsi="宋体" w:eastAsia="仿宋_GB2312" w:cs="宋体"/>
                <w:sz w:val="24"/>
                <w:szCs w:val="24"/>
              </w:rPr>
              <w:t>民营经济发展</w:t>
            </w:r>
            <w:r>
              <w:rPr>
                <w:rFonts w:hint="eastAsia" w:ascii="仿宋_GB2312" w:hAnsi="宋体" w:eastAsia="仿宋_GB2312" w:cs="宋体"/>
                <w:sz w:val="24"/>
                <w:szCs w:val="24"/>
                <w:lang w:eastAsia="zh-CN"/>
              </w:rPr>
              <w:t>壮大</w:t>
            </w:r>
            <w:r>
              <w:rPr>
                <w:rFonts w:hint="eastAsia" w:ascii="仿宋_GB2312" w:hAnsi="宋体" w:eastAsia="仿宋_GB2312" w:cs="宋体"/>
                <w:sz w:val="24"/>
                <w:szCs w:val="24"/>
              </w:rPr>
              <w:t>。制定《湘潭县建立完善促进民营经济发展壮大“235”机制实施方案》，明确2024年度重点任务，狠抓落实落地</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rPr>
              <w:t>“235”机制</w:t>
            </w:r>
            <w:r>
              <w:rPr>
                <w:rFonts w:hint="eastAsia" w:ascii="仿宋_GB2312" w:hAnsi="宋体" w:eastAsia="仿宋_GB2312" w:cs="宋体"/>
                <w:sz w:val="24"/>
                <w:szCs w:val="24"/>
                <w:lang w:eastAsia="zh-CN"/>
              </w:rPr>
              <w:t>引领湘潭县民营经济高质量发展》被中华工商时报、中国改革报等媒体报道</w:t>
            </w:r>
            <w:r>
              <w:rPr>
                <w:rFonts w:hint="eastAsia" w:ascii="仿宋_GB2312" w:hAnsi="宋体" w:eastAsia="仿宋_GB2312" w:cs="宋体"/>
                <w:sz w:val="24"/>
                <w:szCs w:val="24"/>
                <w:lang w:val="en" w:eastAsia="zh-CN"/>
              </w:rPr>
              <w:t>；</w:t>
            </w:r>
            <w:r>
              <w:rPr>
                <w:rFonts w:hint="eastAsia" w:ascii="仿宋_GB2312" w:hAnsi="宋体" w:eastAsia="仿宋_GB2312" w:cs="宋体"/>
                <w:sz w:val="24"/>
                <w:szCs w:val="24"/>
              </w:rPr>
              <w:t>抓实民营经济发展“六个一”工作，</w:t>
            </w:r>
            <w:r>
              <w:rPr>
                <w:rFonts w:hint="eastAsia" w:ascii="仿宋_GB2312" w:hAnsi="宋体" w:eastAsia="仿宋_GB2312" w:cs="宋体"/>
                <w:sz w:val="24"/>
                <w:szCs w:val="24"/>
                <w:lang w:val="en-US" w:eastAsia="zh-CN"/>
              </w:rPr>
              <w:t>助推民营企业培优培强，</w:t>
            </w:r>
            <w:r>
              <w:rPr>
                <w:rFonts w:hint="eastAsia" w:ascii="仿宋_GB2312" w:hAnsi="宋体" w:eastAsia="仿宋_GB2312" w:cs="宋体"/>
                <w:sz w:val="24"/>
                <w:szCs w:val="24"/>
              </w:rPr>
              <w:t>金铠新材料等68家企业申报</w:t>
            </w:r>
            <w:r>
              <w:rPr>
                <w:rFonts w:hint="eastAsia" w:ascii="仿宋_GB2312" w:hAnsi="宋体" w:eastAsia="仿宋_GB2312" w:cs="宋体"/>
                <w:sz w:val="24"/>
                <w:szCs w:val="24"/>
                <w:lang w:eastAsia="zh-CN"/>
              </w:rPr>
              <w:t>了</w:t>
            </w:r>
            <w:r>
              <w:rPr>
                <w:rFonts w:hint="eastAsia" w:ascii="仿宋_GB2312" w:hAnsi="宋体" w:eastAsia="仿宋_GB2312" w:cs="宋体"/>
                <w:sz w:val="24"/>
                <w:szCs w:val="24"/>
              </w:rPr>
              <w:t>高新技术企业，新大粉末等14家企业获批省专精特新中小企业</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rPr>
              <w:t>飞欧特等4家企业申报</w:t>
            </w:r>
            <w:r>
              <w:rPr>
                <w:rFonts w:hint="eastAsia" w:ascii="仿宋_GB2312" w:hAnsi="宋体" w:eastAsia="仿宋_GB2312" w:cs="宋体"/>
                <w:sz w:val="24"/>
                <w:szCs w:val="24"/>
                <w:lang w:eastAsia="zh-CN"/>
              </w:rPr>
              <w:t>了</w:t>
            </w:r>
            <w:r>
              <w:rPr>
                <w:rFonts w:hint="eastAsia" w:ascii="仿宋_GB2312" w:hAnsi="宋体" w:eastAsia="仿宋_GB2312" w:cs="宋体"/>
                <w:sz w:val="24"/>
                <w:szCs w:val="24"/>
              </w:rPr>
              <w:t>国家级专精特新“小巨人”企业</w:t>
            </w:r>
            <w:r>
              <w:rPr>
                <w:rFonts w:hint="eastAsia" w:ascii="仿宋_GB2312" w:hAnsi="宋体" w:eastAsia="仿宋_GB2312" w:cs="宋体"/>
                <w:sz w:val="24"/>
                <w:szCs w:val="24"/>
                <w:lang w:eastAsia="zh-CN"/>
              </w:rPr>
              <w:t>，力威液压等</w:t>
            </w:r>
            <w:r>
              <w:rPr>
                <w:rFonts w:hint="eastAsia" w:ascii="仿宋_GB2312" w:hAnsi="宋体" w:eastAsia="仿宋_GB2312" w:cs="宋体"/>
                <w:sz w:val="24"/>
                <w:szCs w:val="24"/>
                <w:lang w:val="en-US" w:eastAsia="zh-CN"/>
              </w:rPr>
              <w:t>2家企业成功复核</w:t>
            </w:r>
            <w:r>
              <w:rPr>
                <w:rFonts w:hint="eastAsia" w:ascii="仿宋_GB2312" w:hAnsi="宋体" w:eastAsia="仿宋_GB2312" w:cs="宋体"/>
                <w:sz w:val="24"/>
                <w:szCs w:val="24"/>
              </w:rPr>
              <w:t>国家级专精特新“小巨人”企业</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lang w:val="en-US" w:eastAsia="zh-CN"/>
              </w:rPr>
              <w:t>湘达离心机等4家企业申报湖南股交所挂牌企业；加强惠企政策宣传，</w:t>
            </w:r>
            <w:r>
              <w:rPr>
                <w:rFonts w:hint="eastAsia" w:ascii="仿宋_GB2312" w:hAnsi="宋体" w:eastAsia="仿宋_GB2312" w:cs="宋体"/>
                <w:sz w:val="24"/>
                <w:szCs w:val="24"/>
                <w:lang w:eastAsia="zh-CN"/>
              </w:rPr>
              <w:t>编印了</w:t>
            </w:r>
            <w:r>
              <w:rPr>
                <w:rFonts w:hint="eastAsia" w:ascii="仿宋_GB2312" w:hAnsi="宋体" w:eastAsia="仿宋_GB2312" w:cs="宋体"/>
                <w:sz w:val="24"/>
                <w:szCs w:val="24"/>
                <w:lang w:val="en-US" w:eastAsia="zh-CN"/>
              </w:rPr>
              <w:t>湘潭县民营企业支持政策手册发放至执委</w:t>
            </w:r>
            <w:r>
              <w:rPr>
                <w:rFonts w:hint="eastAsia" w:ascii="仿宋_GB2312" w:hAnsi="宋体" w:eastAsia="仿宋_GB2312" w:cs="宋体"/>
                <w:sz w:val="24"/>
                <w:szCs w:val="24"/>
              </w:rPr>
              <w:t>；发挥湘潭县民营企业服务中心作用，落实《湘潭县民营企业维权投诉办理工作制度》，</w:t>
            </w:r>
            <w:r>
              <w:rPr>
                <w:rFonts w:hint="eastAsia" w:ascii="仿宋_GB2312" w:hAnsi="宋体" w:eastAsia="仿宋_GB2312" w:cs="宋体"/>
                <w:sz w:val="24"/>
                <w:szCs w:val="24"/>
                <w:lang w:val="en-US" w:eastAsia="zh-CN"/>
              </w:rPr>
              <w:t>与县行政审批服务局联合下发《关于民营企业主通过湘潭市12345政务服务便民热线反映诉求的通知》，收到64条诉求，交办至相关职能部门，满意率100%；与税务局开展“春雨润苗”行动，涉税政策宣传服务达到200人次。举办了统战部部长与民营企业家面对面沟通座谈活动2场次，现场解决12个具体问题；</w:t>
            </w:r>
            <w:r>
              <w:rPr>
                <w:rFonts w:hint="eastAsia" w:ascii="仿宋_GB2312" w:hAnsi="宋体" w:eastAsia="仿宋_GB2312" w:cs="宋体"/>
                <w:sz w:val="24"/>
                <w:szCs w:val="24"/>
              </w:rPr>
              <w:t>开通民营企业家会客厅</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rPr>
              <w:t>每周一为企业家接待日，县工商联主席、书记、副主席负责接待，帮助企业释疑解惑、纾难解困</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lang w:val="en-US" w:eastAsia="zh-CN"/>
              </w:rPr>
              <w:t>接待企业家50余名，解决民营企业各类困难问题24个</w:t>
            </w:r>
            <w:r>
              <w:rPr>
                <w:rFonts w:hint="eastAsia" w:ascii="仿宋_GB2312" w:hAnsi="宋体" w:eastAsia="仿宋_GB2312" w:cs="宋体"/>
                <w:sz w:val="24"/>
                <w:szCs w:val="24"/>
              </w:rPr>
              <w:t>；实施年轻一代民营企业家“启明星”培养工程，</w:t>
            </w:r>
            <w:r>
              <w:rPr>
                <w:rFonts w:hint="eastAsia" w:ascii="仿宋_GB2312" w:hAnsi="宋体" w:eastAsia="仿宋_GB2312" w:cs="宋体"/>
                <w:sz w:val="24"/>
                <w:szCs w:val="24"/>
                <w:lang w:val="en" w:eastAsia="zh-CN"/>
              </w:rPr>
              <w:t>推荐了</w:t>
            </w:r>
            <w:r>
              <w:rPr>
                <w:rFonts w:hint="eastAsia" w:ascii="仿宋_GB2312" w:hAnsi="宋体" w:eastAsia="仿宋_GB2312" w:cs="宋体"/>
                <w:sz w:val="24"/>
                <w:szCs w:val="24"/>
                <w:lang w:val="en-US" w:eastAsia="zh-CN"/>
              </w:rPr>
              <w:t>3名优秀企业家为湘潭市</w:t>
            </w:r>
            <w:r>
              <w:rPr>
                <w:rFonts w:hint="eastAsia" w:ascii="仿宋_GB2312" w:hAnsi="宋体" w:eastAsia="仿宋_GB2312" w:cs="宋体"/>
                <w:sz w:val="24"/>
                <w:szCs w:val="24"/>
                <w:lang w:val="en" w:eastAsia="zh-CN"/>
              </w:rPr>
              <w:t>“启明星”培养工程人选，建立了</w:t>
            </w:r>
            <w:r>
              <w:rPr>
                <w:rFonts w:hint="eastAsia" w:ascii="仿宋_GB2312" w:hAnsi="宋体" w:eastAsia="仿宋_GB2312" w:cs="宋体"/>
                <w:sz w:val="24"/>
                <w:szCs w:val="24"/>
                <w:lang w:val="en-US" w:eastAsia="zh-CN"/>
              </w:rPr>
              <w:t>100名后备人选库，举办了</w:t>
            </w:r>
            <w:r>
              <w:rPr>
                <w:rFonts w:hint="eastAsia" w:ascii="仿宋_GB2312" w:hAnsi="宋体" w:eastAsia="仿宋_GB2312" w:cs="宋体"/>
                <w:sz w:val="24"/>
                <w:szCs w:val="24"/>
                <w:lang w:val="en" w:eastAsia="zh-CN"/>
              </w:rPr>
              <w:t>“启明星”培训班二期，参训人数达到</w:t>
            </w:r>
            <w:r>
              <w:rPr>
                <w:rFonts w:hint="eastAsia" w:ascii="仿宋_GB2312" w:hAnsi="宋体" w:eastAsia="仿宋_GB2312" w:cs="宋体"/>
                <w:sz w:val="24"/>
                <w:szCs w:val="24"/>
                <w:lang w:val="en-US" w:eastAsia="zh-CN"/>
              </w:rPr>
              <w:t>160人次；天易经开区商会成立青年委员会，30名青年企业家开展每月“同读一本书”活动，共同学习交流、成长进步；</w:t>
            </w:r>
            <w:r>
              <w:rPr>
                <w:rFonts w:hint="eastAsia" w:ascii="仿宋_GB2312" w:hAnsi="宋体" w:eastAsia="仿宋_GB2312" w:cs="宋体"/>
                <w:sz w:val="24"/>
                <w:szCs w:val="24"/>
              </w:rPr>
              <w:t>开展“企业之星”宣传报道，商会动态设立“企业之星”专栏，报道了</w:t>
            </w:r>
            <w:r>
              <w:rPr>
                <w:rFonts w:hint="eastAsia" w:ascii="仿宋_GB2312" w:hAnsi="宋体" w:eastAsia="仿宋_GB2312" w:cs="宋体"/>
                <w:sz w:val="24"/>
                <w:szCs w:val="24"/>
                <w:lang w:val="en-US" w:eastAsia="zh-CN"/>
              </w:rPr>
              <w:t>12</w:t>
            </w:r>
            <w:r>
              <w:rPr>
                <w:rFonts w:hint="eastAsia" w:ascii="仿宋_GB2312" w:hAnsi="宋体" w:eastAsia="仿宋_GB2312" w:cs="宋体"/>
                <w:sz w:val="24"/>
                <w:szCs w:val="24"/>
              </w:rPr>
              <w:t>名优秀企业家事迹。</w:t>
            </w:r>
          </w:p>
          <w:p>
            <w:pPr>
              <w:spacing w:line="576" w:lineRule="exact"/>
              <w:ind w:right="879" w:rightChars="419" w:firstLine="480" w:firstLineChars="200"/>
              <w:jc w:val="left"/>
              <w:rPr>
                <w:rFonts w:hint="eastAsia" w:ascii="仿宋_GB2312" w:hAnsi="宋体" w:eastAsia="仿宋_GB2312" w:cs="宋体"/>
                <w:sz w:val="24"/>
                <w:szCs w:val="24"/>
                <w:lang w:val="en-US" w:eastAsia="zh-CN"/>
              </w:rPr>
            </w:pPr>
            <w:r>
              <w:rPr>
                <w:rFonts w:hint="eastAsia" w:ascii="仿宋_GB2312" w:hAnsi="宋体" w:eastAsia="仿宋_GB2312" w:cs="宋体"/>
                <w:sz w:val="24"/>
                <w:szCs w:val="24"/>
                <w:lang w:val="en-US" w:eastAsia="zh-CN"/>
              </w:rPr>
              <w:t>4.</w:t>
            </w:r>
            <w:r>
              <w:rPr>
                <w:rFonts w:hint="eastAsia" w:ascii="仿宋_GB2312" w:hAnsi="宋体" w:eastAsia="仿宋_GB2312" w:cs="宋体"/>
                <w:sz w:val="24"/>
                <w:szCs w:val="24"/>
              </w:rPr>
              <w:t>助力乡村振兴。深入开展“百企兴百村”暨“百名青商兴百村”活动，加强村企对接，邀请湘潭市民营经济人士赴锦石乡碧泉村助力乡村振兴团建活动，做好碧泉村优质农产品宣传推介工作。引导民营企业履行社会责任，</w:t>
            </w:r>
            <w:r>
              <w:rPr>
                <w:rFonts w:hint="eastAsia" w:ascii="仿宋_GB2312" w:hAnsi="宋体" w:eastAsia="仿宋_GB2312" w:cs="宋体"/>
                <w:sz w:val="24"/>
                <w:szCs w:val="24"/>
                <w:lang w:eastAsia="zh-CN"/>
              </w:rPr>
              <w:t>全县商协会、异地商会及潭商企业家为公益事业</w:t>
            </w:r>
            <w:r>
              <w:rPr>
                <w:rFonts w:hint="eastAsia" w:ascii="仿宋_GB2312" w:hAnsi="宋体" w:eastAsia="仿宋_GB2312" w:cs="宋体"/>
                <w:sz w:val="24"/>
                <w:szCs w:val="24"/>
              </w:rPr>
              <w:t>捐款捐物84.8万元，</w:t>
            </w:r>
            <w:r>
              <w:rPr>
                <w:rFonts w:hint="eastAsia" w:ascii="仿宋_GB2312" w:hAnsi="宋体" w:eastAsia="仿宋_GB2312" w:cs="宋体"/>
                <w:sz w:val="24"/>
                <w:szCs w:val="24"/>
                <w:lang w:eastAsia="zh-CN"/>
              </w:rPr>
              <w:t>为防汛救灾灾后重建捐款捐物</w:t>
            </w:r>
            <w:r>
              <w:rPr>
                <w:rFonts w:hint="eastAsia" w:ascii="仿宋_GB2312" w:hAnsi="宋体" w:eastAsia="仿宋_GB2312" w:cs="宋体"/>
                <w:sz w:val="24"/>
                <w:szCs w:val="24"/>
                <w:lang w:val="en-US" w:eastAsia="zh-CN"/>
              </w:rPr>
              <w:t>512万元，奖优助学213.11万元，合计达到810万元，</w:t>
            </w:r>
            <w:r>
              <w:rPr>
                <w:rFonts w:hint="eastAsia" w:ascii="仿宋_GB2312" w:hAnsi="宋体" w:eastAsia="仿宋_GB2312" w:cs="宋体"/>
                <w:sz w:val="24"/>
                <w:szCs w:val="24"/>
                <w:lang w:val="en" w:eastAsia="zh-CN"/>
              </w:rPr>
              <w:t>彰显了民营企业家的良好形象</w:t>
            </w:r>
            <w:r>
              <w:rPr>
                <w:rFonts w:hint="eastAsia" w:ascii="仿宋_GB2312" w:hAnsi="宋体" w:eastAsia="仿宋_GB2312" w:cs="宋体"/>
                <w:sz w:val="24"/>
                <w:szCs w:val="24"/>
                <w:lang w:val="en-US" w:eastAsia="zh-CN"/>
              </w:rPr>
              <w:t>。</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（二）</w:t>
            </w:r>
            <w:r>
              <w:rPr>
                <w:rFonts w:hint="eastAsia" w:ascii="仿宋_GB2312" w:hAnsi="宋体" w:eastAsia="仿宋_GB2312" w:cs="宋体"/>
                <w:sz w:val="24"/>
                <w:szCs w:val="24"/>
              </w:rPr>
              <w:t>坚持以唱响经济发展光明论为主线，思想政治引领有新成效</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1.</w:t>
            </w:r>
            <w:r>
              <w:rPr>
                <w:rFonts w:hint="eastAsia" w:ascii="仿宋_GB2312" w:hAnsi="宋体" w:eastAsia="仿宋_GB2312" w:cs="宋体"/>
                <w:sz w:val="24"/>
                <w:szCs w:val="24"/>
              </w:rPr>
              <w:t>加强党的领导，</w:t>
            </w:r>
            <w:r>
              <w:rPr>
                <w:rFonts w:hint="eastAsia" w:ascii="仿宋_GB2312" w:hAnsi="宋体" w:eastAsia="仿宋_GB2312" w:cs="宋体"/>
                <w:sz w:val="24"/>
                <w:szCs w:val="24"/>
                <w:lang w:val="en-US" w:eastAsia="zh-CN"/>
              </w:rPr>
              <w:t>牢牢把握正确的政治方向</w:t>
            </w:r>
            <w:r>
              <w:rPr>
                <w:rFonts w:hint="eastAsia" w:ascii="仿宋_GB2312" w:hAnsi="宋体" w:eastAsia="仿宋_GB2312" w:cs="宋体"/>
                <w:sz w:val="24"/>
                <w:szCs w:val="24"/>
              </w:rPr>
              <w:t>。开展习近平新时代中国特色社会主义思想和党的二十大精神进机关、进商协会、进企业活动，召开党组会议、主席会长会议、</w:t>
            </w:r>
            <w:r>
              <w:rPr>
                <w:rFonts w:hint="eastAsia" w:ascii="仿宋_GB2312" w:hAnsi="宋体" w:eastAsia="仿宋_GB2312" w:cs="宋体"/>
                <w:sz w:val="24"/>
                <w:szCs w:val="24"/>
                <w:lang w:eastAsia="zh-CN"/>
              </w:rPr>
              <w:t>常委会会议</w:t>
            </w:r>
            <w:r>
              <w:rPr>
                <w:rFonts w:hint="eastAsia" w:ascii="仿宋_GB2312" w:hAnsi="宋体" w:eastAsia="仿宋_GB2312" w:cs="宋体"/>
                <w:sz w:val="24"/>
                <w:szCs w:val="24"/>
              </w:rPr>
              <w:t>、执委会议传达学习习近平总书记考察湖南重要讲话和指示精神，切实增强政治判断力、政治领悟力、政治执行力。召开党组会议</w:t>
            </w:r>
            <w:r>
              <w:rPr>
                <w:rFonts w:hint="eastAsia" w:ascii="仿宋_GB2312" w:hAnsi="宋体" w:eastAsia="仿宋_GB2312" w:cs="宋体"/>
                <w:sz w:val="24"/>
                <w:szCs w:val="24"/>
                <w:lang w:val="en-US" w:eastAsia="zh-CN"/>
              </w:rPr>
              <w:t>13</w:t>
            </w:r>
            <w:r>
              <w:rPr>
                <w:rFonts w:hint="eastAsia" w:ascii="仿宋_GB2312" w:hAnsi="宋体" w:eastAsia="仿宋_GB2312" w:cs="宋体"/>
                <w:sz w:val="24"/>
                <w:szCs w:val="24"/>
              </w:rPr>
              <w:t>次、主席办公会议</w:t>
            </w:r>
            <w:r>
              <w:rPr>
                <w:rFonts w:hint="eastAsia" w:ascii="仿宋_GB2312" w:hAnsi="宋体" w:eastAsia="仿宋_GB2312" w:cs="宋体"/>
                <w:sz w:val="24"/>
                <w:szCs w:val="24"/>
                <w:lang w:val="en-US" w:eastAsia="zh-CN"/>
              </w:rPr>
              <w:t>4</w:t>
            </w:r>
            <w:r>
              <w:rPr>
                <w:rFonts w:hint="eastAsia" w:ascii="仿宋_GB2312" w:hAnsi="宋体" w:eastAsia="仿宋_GB2312" w:cs="宋体"/>
                <w:sz w:val="24"/>
                <w:szCs w:val="24"/>
              </w:rPr>
              <w:t>次、机关干部会议</w:t>
            </w:r>
            <w:r>
              <w:rPr>
                <w:rFonts w:hint="eastAsia" w:ascii="仿宋_GB2312" w:hAnsi="宋体" w:eastAsia="仿宋_GB2312" w:cs="宋体"/>
                <w:sz w:val="24"/>
                <w:szCs w:val="24"/>
                <w:lang w:val="en-US" w:eastAsia="zh-CN"/>
              </w:rPr>
              <w:t>37</w:t>
            </w:r>
            <w:r>
              <w:rPr>
                <w:rFonts w:hint="eastAsia" w:ascii="仿宋_GB2312" w:hAnsi="宋体" w:eastAsia="仿宋_GB2312" w:cs="宋体"/>
                <w:sz w:val="24"/>
                <w:szCs w:val="24"/>
              </w:rPr>
              <w:t>次，研究落实工作举措，确保中央、省、市、县重大决策部署落地落实。</w:t>
            </w:r>
          </w:p>
          <w:p>
            <w:pPr>
              <w:spacing w:line="576" w:lineRule="exact"/>
              <w:ind w:right="879" w:rightChars="419" w:firstLine="480" w:firstLineChars="200"/>
              <w:jc w:val="left"/>
              <w:rPr>
                <w:rFonts w:hint="eastAsia" w:ascii="仿宋_GB2312" w:hAnsi="宋体" w:eastAsia="仿宋_GB2312" w:cs="宋体"/>
                <w:sz w:val="24"/>
                <w:szCs w:val="24"/>
                <w:lang w:val="en-US" w:eastAsia="zh-CN"/>
              </w:rPr>
            </w:pPr>
            <w:r>
              <w:rPr>
                <w:rFonts w:hint="eastAsia" w:ascii="仿宋_GB2312" w:hAnsi="宋体" w:eastAsia="仿宋_GB2312" w:cs="宋体"/>
                <w:sz w:val="24"/>
                <w:szCs w:val="24"/>
                <w:lang w:val="en-US" w:eastAsia="zh-CN"/>
              </w:rPr>
              <w:t>2.</w:t>
            </w:r>
            <w:r>
              <w:rPr>
                <w:rFonts w:hint="eastAsia" w:ascii="仿宋_GB2312" w:hAnsi="宋体" w:eastAsia="仿宋_GB2312" w:cs="宋体"/>
                <w:sz w:val="24"/>
                <w:szCs w:val="24"/>
              </w:rPr>
              <w:t>加强政策宣讲，提振发展信心。针对民营企业预期转弱、信心不足的突出问题，举办4期民营企业大讲堂，参训人员达400余人次，</w:t>
            </w:r>
            <w:r>
              <w:rPr>
                <w:rFonts w:hint="eastAsia" w:ascii="仿宋_GB2312" w:hAnsi="宋体" w:eastAsia="仿宋_GB2312" w:cs="宋体"/>
                <w:sz w:val="24"/>
                <w:szCs w:val="24"/>
                <w:lang w:val="en-US" w:eastAsia="zh-CN"/>
              </w:rPr>
              <w:t>根据企业所需所盼所求，聚焦民营企业发展中存在的问题，精心确定培训内容，重点学习全国两会精神、惠企政策、新公司法等，为民营企业高质量发展导航赋能，有力提振了发展信心，唱响了经济光明论。</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3.</w:t>
            </w:r>
            <w:r>
              <w:rPr>
                <w:rFonts w:hint="eastAsia" w:ascii="仿宋_GB2312" w:hAnsi="宋体" w:eastAsia="仿宋_GB2312" w:cs="宋体"/>
                <w:sz w:val="24"/>
                <w:szCs w:val="24"/>
              </w:rPr>
              <w:t>强化理想信念教育，实现凝心铸魂。开展以“学思想、明方向、强信心、建新功”为主题的民营经济人士理想信念教育活动，引导广大民营经济人士争做爱国敬业、守法经营、创业创新、回报社会的典范和践行亲清政商关系的表率。湖南金铠新材料科技股份有限公司、湖南皇爷实业有限公司荣获湘潭市“企业敢干”先进典型。湖南湘之坊生态农业股份有限公司董事长谷友利、湖南丰农文化发展有限责任公司董事长陈容丰荣获湘潭市“群众敢首创”先进典型。湖南双禾米业有限公司总经理李伟等4名执委荣获湘潭县第三届“优秀企业家”。</w:t>
            </w:r>
            <w:r>
              <w:rPr>
                <w:rFonts w:hint="eastAsia" w:ascii="仿宋_GB2312" w:hAnsi="宋体" w:eastAsia="仿宋_GB2312" w:cs="宋体"/>
                <w:sz w:val="24"/>
                <w:szCs w:val="24"/>
                <w:lang w:eastAsia="zh-CN"/>
              </w:rPr>
              <w:t>引导非公经济人士中的人大代表、政协委员建言献策，</w:t>
            </w:r>
            <w:r>
              <w:rPr>
                <w:rFonts w:hint="eastAsia" w:ascii="仿宋_GB2312" w:hAnsi="宋体" w:eastAsia="仿宋_GB2312" w:cs="宋体"/>
                <w:sz w:val="24"/>
                <w:szCs w:val="24"/>
                <w:lang w:val="en-US" w:eastAsia="zh-CN"/>
              </w:rPr>
              <w:t>撰写政协委员提案7件，人大代表建议38件，参政议政水平进一步提高。</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eastAsia="zh-CN"/>
              </w:rPr>
              <w:t>（三）</w:t>
            </w:r>
            <w:r>
              <w:rPr>
                <w:rFonts w:hint="eastAsia" w:ascii="仿宋_GB2312" w:hAnsi="宋体" w:eastAsia="仿宋_GB2312" w:cs="宋体"/>
                <w:sz w:val="24"/>
                <w:szCs w:val="24"/>
              </w:rPr>
              <w:t>坚持以县级四好商会全覆盖为目标，基层基础有新突破</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1.</w:t>
            </w:r>
            <w:r>
              <w:rPr>
                <w:rFonts w:hint="eastAsia" w:ascii="仿宋_GB2312" w:hAnsi="宋体" w:eastAsia="仿宋_GB2312" w:cs="宋体"/>
                <w:sz w:val="24"/>
                <w:szCs w:val="24"/>
              </w:rPr>
              <w:t>抓实“四好”商会创建。落实《湘潭县工商联“四好”商会建设若干措施》，督促指导易俗河镇、射埠镇、石鼓镇等商会成功创建县级“四好”商会，实现县级“四好”商会在乡镇的全覆盖。开展“四好”商会互学互助活动，共同提高。</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2.</w:t>
            </w:r>
            <w:r>
              <w:rPr>
                <w:rFonts w:hint="eastAsia" w:ascii="仿宋_GB2312" w:hAnsi="宋体" w:eastAsia="仿宋_GB2312" w:cs="宋体"/>
                <w:sz w:val="24"/>
                <w:szCs w:val="24"/>
              </w:rPr>
              <w:t>夯实基层基础。指导天易经开区、杨嘉桥镇等商会召开会员代表大会，选优配强基层商会班子。督促指导各基层商会完成年检工作。加强网上工商联建设，完善了湘潭县工商联的会员数据库</w:t>
            </w:r>
            <w:r>
              <w:rPr>
                <w:rFonts w:hint="eastAsia" w:ascii="仿宋_GB2312" w:hAnsi="宋体" w:eastAsia="仿宋_GB2312" w:cs="宋体"/>
                <w:sz w:val="24"/>
                <w:szCs w:val="24"/>
                <w:lang w:eastAsia="zh-CN"/>
              </w:rPr>
              <w:t>，会员达到</w:t>
            </w:r>
            <w:r>
              <w:rPr>
                <w:rFonts w:hint="eastAsia" w:ascii="仿宋_GB2312" w:hAnsi="宋体" w:eastAsia="仿宋_GB2312" w:cs="宋体"/>
                <w:sz w:val="24"/>
                <w:szCs w:val="24"/>
                <w:lang w:val="en-US" w:eastAsia="zh-CN"/>
              </w:rPr>
              <w:t>1474名</w:t>
            </w:r>
            <w:r>
              <w:rPr>
                <w:rFonts w:hint="eastAsia" w:ascii="仿宋_GB2312" w:hAnsi="宋体" w:eastAsia="仿宋_GB2312" w:cs="宋体"/>
                <w:sz w:val="24"/>
                <w:szCs w:val="24"/>
              </w:rPr>
              <w:t>。召开十三届五次执委会议，新增执委10名，队伍结构不断优化。</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3.</w:t>
            </w:r>
            <w:r>
              <w:rPr>
                <w:rFonts w:hint="eastAsia" w:ascii="仿宋_GB2312" w:hAnsi="宋体" w:eastAsia="仿宋_GB2312" w:cs="宋体"/>
                <w:sz w:val="24"/>
                <w:szCs w:val="24"/>
              </w:rPr>
              <w:t>加强学习交流。举办基层商会会长、秘书长培训班，安排部署基层组织建设，相互交流经验。石潭镇、白石镇、排头乡等商会发挥优势助力湘商回归返乡创业成效显著。天易经开区商会开展园区企业产销对接活动实现共赢。杨嘉桥镇商会开展领导力专题培训提升企业经营管理水平。石鼓镇商会开展“以手绘心庆六一，非遗传承亲子行”油纸伞绘画活动，推动文化传承和经济发展。加强对外交流，与湘阴县、吉安市吉州区</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lang w:val="en-US" w:eastAsia="zh-CN"/>
              </w:rPr>
              <w:t>安徽省肥西县等商会</w:t>
            </w:r>
            <w:r>
              <w:rPr>
                <w:rFonts w:hint="eastAsia" w:ascii="仿宋_GB2312" w:hAnsi="宋体" w:eastAsia="仿宋_GB2312" w:cs="宋体"/>
                <w:sz w:val="24"/>
                <w:szCs w:val="24"/>
              </w:rPr>
              <w:t>缔结友好商会，友好商会达到5</w:t>
            </w:r>
            <w:r>
              <w:rPr>
                <w:rFonts w:hint="eastAsia" w:ascii="仿宋_GB2312" w:hAnsi="宋体" w:eastAsia="仿宋_GB2312" w:cs="宋体"/>
                <w:sz w:val="24"/>
                <w:szCs w:val="24"/>
                <w:lang w:val="en-US" w:eastAsia="zh-CN"/>
              </w:rPr>
              <w:t>4</w:t>
            </w:r>
            <w:r>
              <w:rPr>
                <w:rFonts w:hint="eastAsia" w:ascii="仿宋_GB2312" w:hAnsi="宋体" w:eastAsia="仿宋_GB2312" w:cs="宋体"/>
                <w:sz w:val="24"/>
                <w:szCs w:val="24"/>
              </w:rPr>
              <w:t>个。</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eastAsia="zh-CN"/>
              </w:rPr>
              <w:t>（四）</w:t>
            </w:r>
            <w:r>
              <w:rPr>
                <w:rFonts w:hint="eastAsia" w:ascii="仿宋_GB2312" w:hAnsi="宋体" w:eastAsia="仿宋_GB2312" w:cs="宋体"/>
                <w:sz w:val="24"/>
                <w:szCs w:val="24"/>
              </w:rPr>
              <w:t>坚持以党纪学习教育为保障，干部作风有新转变。</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1.</w:t>
            </w:r>
            <w:r>
              <w:rPr>
                <w:rFonts w:hint="eastAsia" w:ascii="仿宋_GB2312" w:hAnsi="宋体" w:eastAsia="仿宋_GB2312" w:cs="宋体"/>
                <w:sz w:val="24"/>
                <w:szCs w:val="24"/>
              </w:rPr>
              <w:t>认真开展党纪学习教育。制定县工商联党纪学习教育工作方案，明确责任清单，组织机关党员干部逐条学习《中国共产党纪律处分条例》，认真开展了</w:t>
            </w:r>
            <w:r>
              <w:rPr>
                <w:rFonts w:hint="eastAsia" w:ascii="仿宋_GB2312" w:hAnsi="宋体" w:eastAsia="仿宋_GB2312" w:cs="宋体"/>
                <w:sz w:val="24"/>
                <w:szCs w:val="24"/>
                <w:lang w:val="en-US" w:eastAsia="zh-CN"/>
              </w:rPr>
              <w:t>4</w:t>
            </w:r>
            <w:r>
              <w:rPr>
                <w:rFonts w:hint="eastAsia" w:ascii="仿宋_GB2312" w:hAnsi="宋体" w:eastAsia="仿宋_GB2312" w:cs="宋体"/>
                <w:sz w:val="24"/>
                <w:szCs w:val="24"/>
              </w:rPr>
              <w:t>期专题研讨，与市工商联联合开展警示教育，参观湘潭县廉政教育基地，观看“镜鉴”警示教育片，教育引导党员干部学纪、知纪、明纪、守纪。</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2.</w:t>
            </w:r>
            <w:r>
              <w:rPr>
                <w:rFonts w:hint="eastAsia" w:ascii="仿宋_GB2312" w:hAnsi="宋体" w:eastAsia="仿宋_GB2312" w:cs="宋体"/>
                <w:sz w:val="24"/>
                <w:szCs w:val="24"/>
              </w:rPr>
              <w:t>扎实抓好党风廉政建设。</w:t>
            </w:r>
            <w:r>
              <w:rPr>
                <w:rFonts w:hint="eastAsia" w:ascii="仿宋_GB2312" w:hAnsi="宋体" w:eastAsia="仿宋_GB2312" w:cs="宋体"/>
                <w:sz w:val="24"/>
                <w:szCs w:val="24"/>
                <w:lang w:val="en-US" w:eastAsia="zh-CN"/>
              </w:rPr>
              <w:t>落实管党治党政治责任，纵深推进全面从严治党。</w:t>
            </w:r>
            <w:r>
              <w:rPr>
                <w:rFonts w:hint="eastAsia" w:ascii="仿宋_GB2312" w:hAnsi="宋体" w:eastAsia="仿宋_GB2312" w:cs="宋体"/>
                <w:sz w:val="24"/>
                <w:szCs w:val="24"/>
              </w:rPr>
              <w:t>持续开展清廉机关和清廉家庭建设，深化“两带头五整治”“正作风、提精神、鼓士气”</w:t>
            </w:r>
            <w:r>
              <w:rPr>
                <w:rFonts w:hint="eastAsia" w:ascii="仿宋_GB2312" w:hAnsi="宋体" w:eastAsia="仿宋_GB2312" w:cs="宋体"/>
                <w:sz w:val="24"/>
                <w:szCs w:val="24"/>
                <w:lang w:eastAsia="zh-CN"/>
              </w:rPr>
              <w:t>“群众身边不正之风和腐败问题集中整治”</w:t>
            </w:r>
            <w:r>
              <w:rPr>
                <w:rFonts w:hint="eastAsia" w:ascii="仿宋_GB2312" w:hAnsi="宋体" w:eastAsia="仿宋_GB2312" w:cs="宋体"/>
                <w:sz w:val="24"/>
                <w:szCs w:val="24"/>
              </w:rPr>
              <w:t>等专项行动，督促班子成员履行</w:t>
            </w:r>
            <w:r>
              <w:rPr>
                <w:rFonts w:hint="eastAsia" w:ascii="仿宋_GB2312" w:hAnsi="宋体" w:eastAsia="仿宋_GB2312" w:cs="宋体"/>
                <w:sz w:val="24"/>
                <w:szCs w:val="24"/>
                <w:lang w:eastAsia="zh-CN"/>
              </w:rPr>
              <w:t>“一岗双责”</w:t>
            </w:r>
            <w:r>
              <w:rPr>
                <w:rFonts w:hint="eastAsia" w:ascii="仿宋_GB2312" w:hAnsi="宋体" w:eastAsia="仿宋_GB2312" w:cs="宋体"/>
                <w:sz w:val="24"/>
                <w:szCs w:val="24"/>
              </w:rPr>
              <w:t>，加</w:t>
            </w:r>
            <w:r>
              <w:rPr>
                <w:rFonts w:hint="eastAsia" w:ascii="仿宋_GB2312" w:hAnsi="宋体" w:eastAsia="仿宋_GB2312" w:cs="宋体"/>
                <w:sz w:val="24"/>
                <w:szCs w:val="24"/>
                <w:lang w:eastAsia="zh-CN"/>
              </w:rPr>
              <w:t>强对</w:t>
            </w:r>
            <w:r>
              <w:rPr>
                <w:rFonts w:hint="eastAsia" w:ascii="仿宋_GB2312" w:hAnsi="宋体" w:eastAsia="仿宋_GB2312" w:cs="宋体"/>
                <w:sz w:val="24"/>
                <w:szCs w:val="24"/>
              </w:rPr>
              <w:t>干部纪律作风方面的监督检查，切实转变工作作风。</w:t>
            </w:r>
            <w:r>
              <w:rPr>
                <w:rFonts w:hint="eastAsia" w:ascii="仿宋_GB2312" w:hAnsi="宋体" w:eastAsia="仿宋_GB2312" w:cs="宋体"/>
                <w:sz w:val="24"/>
                <w:szCs w:val="24"/>
                <w:lang w:eastAsia="zh-CN"/>
              </w:rPr>
              <w:t>深入开展廉洁文化进企业活动，</w:t>
            </w:r>
            <w:r>
              <w:rPr>
                <w:rFonts w:hint="eastAsia" w:ascii="仿宋_GB2312" w:hAnsi="宋体" w:eastAsia="仿宋_GB2312" w:cs="宋体"/>
                <w:sz w:val="24"/>
                <w:szCs w:val="24"/>
              </w:rPr>
              <w:t>清廉民企建设</w:t>
            </w:r>
            <w:r>
              <w:rPr>
                <w:rFonts w:hint="eastAsia" w:ascii="仿宋_GB2312" w:hAnsi="宋体" w:eastAsia="仿宋_GB2312" w:cs="宋体"/>
                <w:sz w:val="24"/>
                <w:szCs w:val="24"/>
                <w:lang w:eastAsia="zh-CN"/>
              </w:rPr>
              <w:t>取得新成效</w:t>
            </w:r>
            <w:r>
              <w:rPr>
                <w:rFonts w:hint="eastAsia" w:ascii="仿宋_GB2312" w:hAnsi="宋体" w:eastAsia="仿宋_GB2312" w:cs="宋体"/>
                <w:sz w:val="24"/>
                <w:szCs w:val="24"/>
              </w:rPr>
              <w:t>。</w:t>
            </w:r>
          </w:p>
          <w:p>
            <w:pPr>
              <w:spacing w:line="576" w:lineRule="exact"/>
              <w:ind w:right="879" w:rightChars="419" w:firstLine="480" w:firstLineChars="200"/>
              <w:jc w:val="left"/>
              <w:rPr>
                <w:rFonts w:hint="eastAsia" w:ascii="仿宋_GB2312" w:hAnsi="宋体" w:eastAsia="仿宋_GB2312" w:cs="宋体"/>
                <w:sz w:val="24"/>
                <w:szCs w:val="24"/>
              </w:rPr>
            </w:pPr>
            <w:r>
              <w:rPr>
                <w:rFonts w:hint="eastAsia" w:ascii="仿宋_GB2312" w:hAnsi="宋体" w:eastAsia="仿宋_GB2312" w:cs="宋体"/>
                <w:sz w:val="24"/>
                <w:szCs w:val="24"/>
                <w:lang w:val="en-US" w:eastAsia="zh-CN"/>
              </w:rPr>
              <w:t>3.</w:t>
            </w:r>
            <w:r>
              <w:rPr>
                <w:rFonts w:hint="eastAsia" w:ascii="仿宋_GB2312" w:hAnsi="宋体" w:eastAsia="仿宋_GB2312" w:cs="宋体"/>
                <w:sz w:val="24"/>
                <w:szCs w:val="24"/>
              </w:rPr>
              <w:t>落实党组主体责任。牢固树立“抓好党建是最大政绩”的理念，加强对机关党支部的领导，</w:t>
            </w:r>
            <w:r>
              <w:rPr>
                <w:rFonts w:hint="eastAsia" w:ascii="仿宋_GB2312" w:hAnsi="宋体" w:eastAsia="仿宋_GB2312" w:cs="宋体"/>
                <w:sz w:val="24"/>
                <w:szCs w:val="24"/>
                <w:lang w:val="en-US" w:eastAsia="zh-CN"/>
              </w:rPr>
              <w:t>深入推进“五化”建设，引导党员干部深刻领悟“两个确立”的决定性意义，增强“四个意识”、坚定“四个自信”、做到“两个维护”。开展乡村振兴“双联共建、五个到户”“心连心走基层、面对面解难题”活动，为锦石乡金湖村解决资金5万元。</w:t>
            </w:r>
            <w:r>
              <w:rPr>
                <w:rFonts w:hint="eastAsia" w:ascii="仿宋_GB2312" w:hAnsi="宋体" w:eastAsia="仿宋_GB2312" w:cs="宋体"/>
                <w:sz w:val="24"/>
                <w:szCs w:val="24"/>
              </w:rPr>
              <w:t>落实意识形态工作责任制和网络意识形态工作责任制，加强对各类意识形态阵地管理，切实维护网络意识形态安全。办好每月一期商会动态，提高时效性、可读性。及时推介典型，省、市各类媒体报道工商联、民营企业先进事迹</w:t>
            </w:r>
            <w:r>
              <w:rPr>
                <w:rFonts w:hint="eastAsia" w:ascii="仿宋_GB2312" w:hAnsi="宋体" w:eastAsia="仿宋_GB2312" w:cs="宋体"/>
                <w:sz w:val="24"/>
                <w:szCs w:val="24"/>
                <w:lang w:val="en-US" w:eastAsia="zh-CN"/>
              </w:rPr>
              <w:t>60</w:t>
            </w:r>
            <w:r>
              <w:rPr>
                <w:rFonts w:hint="eastAsia" w:ascii="仿宋_GB2312" w:hAnsi="宋体" w:eastAsia="仿宋_GB2312" w:cs="宋体"/>
                <w:sz w:val="24"/>
                <w:szCs w:val="24"/>
              </w:rPr>
              <w:t>条以上。</w:t>
            </w:r>
            <w:r>
              <w:rPr>
                <w:rFonts w:hint="eastAsia" w:ascii="仿宋_GB2312" w:hAnsi="宋体" w:eastAsia="仿宋_GB2312" w:cs="宋体"/>
                <w:sz w:val="24"/>
                <w:szCs w:val="24"/>
                <w:lang w:val="en-US" w:eastAsia="zh-CN"/>
              </w:rPr>
              <w:t>扎实创建“三表率一模范”机关，提升规范化管理水平。进一步明确机关干部岗位职责，发挥办公室、商务经济部、民营企业服务中心的职能作用，建立周调度、月总结、季讲评机制，统筹有序推进各项工作。落实消防和安全生产主体责任，分析问题隐患，强化整改落实，确保安全生产形势持续稳定。</w:t>
            </w:r>
          </w:p>
          <w:p>
            <w:pPr>
              <w:spacing w:line="576" w:lineRule="exact"/>
              <w:ind w:right="879" w:rightChars="419" w:firstLine="480" w:firstLineChars="200"/>
              <w:jc w:val="left"/>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存在的问题分析及改进措施</w:t>
            </w:r>
          </w:p>
        </w:tc>
        <w:tc>
          <w:tcPr>
            <w:tcW w:w="1862" w:type="dxa"/>
            <w:noWrap w:val="0"/>
            <w:vAlign w:val="center"/>
          </w:tcPr>
          <w:p>
            <w:pPr>
              <w:spacing w:line="576" w:lineRule="exact"/>
              <w:jc w:val="center"/>
              <w:rPr>
                <w:rFonts w:ascii="仿宋_GB2312" w:hAnsi="宋体" w:eastAsia="仿宋_GB2312" w:cs="宋体"/>
                <w:sz w:val="24"/>
                <w:szCs w:val="24"/>
              </w:rPr>
            </w:pPr>
            <w:r>
              <w:rPr>
                <w:rFonts w:hint="eastAsia" w:ascii="仿宋_GB2312" w:hAnsi="宋体" w:eastAsia="仿宋_GB2312" w:cs="宋体"/>
                <w:sz w:val="24"/>
                <w:szCs w:val="24"/>
              </w:rPr>
              <w:t>存在的问题</w:t>
            </w:r>
          </w:p>
        </w:tc>
        <w:tc>
          <w:tcPr>
            <w:tcW w:w="5976" w:type="dxa"/>
            <w:noWrap w:val="0"/>
            <w:vAlign w:val="center"/>
          </w:tcPr>
          <w:p>
            <w:pPr>
              <w:spacing w:line="576" w:lineRule="exact"/>
              <w:ind w:right="879" w:rightChars="419"/>
              <w:jc w:val="left"/>
              <w:rPr>
                <w:rFonts w:ascii="仿宋_GB2312" w:hAnsi="宋体" w:eastAsia="仿宋_GB2312" w:cs="宋体"/>
                <w:sz w:val="24"/>
                <w:szCs w:val="24"/>
              </w:rPr>
            </w:pPr>
            <w:r>
              <w:rPr>
                <w:rFonts w:hint="eastAsia" w:ascii="仿宋_GB2312" w:hAnsi="宋体" w:eastAsia="仿宋_GB2312" w:cs="宋体"/>
                <w:sz w:val="24"/>
                <w:szCs w:val="24"/>
              </w:rPr>
              <w:t>1.工商联机关科室较少，单位工作人员少</w:t>
            </w:r>
            <w:r>
              <w:rPr>
                <w:rFonts w:hint="eastAsia" w:ascii="仿宋_GB2312" w:hAnsi="宋体" w:eastAsia="仿宋_GB2312" w:cs="宋体"/>
                <w:sz w:val="24"/>
                <w:szCs w:val="24"/>
                <w:lang w:eastAsia="zh-CN"/>
              </w:rPr>
              <w:t>，</w:t>
            </w:r>
            <w:r>
              <w:rPr>
                <w:rFonts w:hint="eastAsia" w:ascii="仿宋_GB2312" w:hAnsi="宋体" w:eastAsia="仿宋_GB2312" w:cs="宋体"/>
                <w:sz w:val="24"/>
                <w:szCs w:val="24"/>
              </w:rPr>
              <w:t>活动举办较多，工作任务较重。</w:t>
            </w:r>
          </w:p>
          <w:p>
            <w:pPr>
              <w:spacing w:line="576" w:lineRule="exact"/>
              <w:ind w:right="879" w:rightChars="419"/>
              <w:jc w:val="left"/>
              <w:rPr>
                <w:rFonts w:ascii="仿宋_GB2312" w:hAnsi="宋体" w:eastAsia="仿宋_GB2312" w:cs="宋体"/>
                <w:sz w:val="24"/>
                <w:szCs w:val="24"/>
              </w:rPr>
            </w:pPr>
            <w:r>
              <w:rPr>
                <w:rFonts w:hint="eastAsia" w:ascii="仿宋_GB2312" w:hAnsi="宋体" w:eastAsia="仿宋_GB2312" w:cs="宋体"/>
                <w:sz w:val="24"/>
                <w:szCs w:val="24"/>
              </w:rPr>
              <w:t>2.财政安排的预算资金主要用于人员工资支出，日常公用经费支出预算不足，实际工作运行中存在占用业务工作项目经费来填补医保缴费、工会经费、老干部活动经费及其他无预算支出等。</w:t>
            </w:r>
          </w:p>
          <w:p>
            <w:pPr>
              <w:spacing w:line="576" w:lineRule="exact"/>
              <w:ind w:right="879" w:rightChars="419"/>
              <w:jc w:val="left"/>
              <w:rPr>
                <w:rFonts w:ascii="仿宋_GB2312" w:hAnsi="宋体" w:eastAsia="仿宋_GB2312" w:cs="宋体"/>
                <w:sz w:val="24"/>
                <w:szCs w:val="24"/>
              </w:rPr>
            </w:pPr>
            <w:r>
              <w:rPr>
                <w:rFonts w:hint="eastAsia" w:ascii="仿宋_GB2312" w:hAnsi="宋体" w:eastAsia="仿宋_GB2312" w:cs="宋体"/>
                <w:sz w:val="24"/>
                <w:szCs w:val="24"/>
              </w:rPr>
              <w:t>3.各项费用支出管理制度还有不够完善、明确和细化的部分。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6" w:hRule="atLeast"/>
          <w:jc w:val="center"/>
        </w:trPr>
        <w:tc>
          <w:tcPr>
            <w:tcW w:w="1384" w:type="dxa"/>
            <w:vMerge w:val="continue"/>
            <w:noWrap w:val="0"/>
            <w:vAlign w:val="top"/>
          </w:tcPr>
          <w:p>
            <w:pPr>
              <w:spacing w:line="576" w:lineRule="exact"/>
              <w:jc w:val="center"/>
              <w:rPr>
                <w:rFonts w:ascii="仿宋_GB2312" w:hAnsi="宋体" w:eastAsia="仿宋_GB2312" w:cs="宋体"/>
              </w:rPr>
            </w:pPr>
          </w:p>
        </w:tc>
        <w:tc>
          <w:tcPr>
            <w:tcW w:w="1862" w:type="dxa"/>
            <w:noWrap w:val="0"/>
            <w:vAlign w:val="center"/>
          </w:tcPr>
          <w:p>
            <w:pPr>
              <w:spacing w:line="576" w:lineRule="exact"/>
              <w:jc w:val="center"/>
              <w:rPr>
                <w:rFonts w:ascii="仿宋_GB2312" w:hAnsi="宋体" w:eastAsia="仿宋_GB2312" w:cs="宋体"/>
              </w:rPr>
            </w:pPr>
            <w:r>
              <w:rPr>
                <w:rFonts w:hint="eastAsia" w:ascii="仿宋_GB2312" w:hAnsi="宋体" w:eastAsia="仿宋_GB2312" w:cs="宋体"/>
              </w:rPr>
              <w:t>改进措施</w:t>
            </w:r>
          </w:p>
        </w:tc>
        <w:tc>
          <w:tcPr>
            <w:tcW w:w="5976" w:type="dxa"/>
            <w:noWrap w:val="0"/>
            <w:vAlign w:val="center"/>
          </w:tcPr>
          <w:p>
            <w:pPr>
              <w:spacing w:line="576" w:lineRule="exact"/>
              <w:ind w:right="879" w:rightChars="419"/>
              <w:rPr>
                <w:rFonts w:ascii="仿宋_GB2312" w:hAnsi="宋体" w:eastAsia="仿宋_GB2312" w:cs="宋体"/>
                <w:sz w:val="24"/>
                <w:szCs w:val="24"/>
              </w:rPr>
            </w:pPr>
            <w:r>
              <w:rPr>
                <w:rFonts w:hint="eastAsia" w:ascii="仿宋_GB2312" w:hAnsi="宋体" w:eastAsia="仿宋_GB2312" w:cs="宋体"/>
                <w:sz w:val="24"/>
                <w:szCs w:val="24"/>
              </w:rPr>
              <w:t>1.以购买服务的方式，进一步加强引导和服务非公有制企业的能力和水平。</w:t>
            </w:r>
          </w:p>
          <w:p>
            <w:pPr>
              <w:spacing w:line="576" w:lineRule="exact"/>
              <w:ind w:right="879" w:rightChars="419"/>
              <w:rPr>
                <w:rFonts w:ascii="仿宋_GB2312" w:hAnsi="宋体" w:eastAsia="仿宋_GB2312" w:cs="宋体"/>
                <w:sz w:val="24"/>
                <w:szCs w:val="24"/>
              </w:rPr>
            </w:pPr>
            <w:r>
              <w:rPr>
                <w:rFonts w:hint="eastAsia" w:ascii="仿宋_GB2312" w:hAnsi="宋体" w:eastAsia="仿宋_GB2312" w:cs="宋体"/>
                <w:sz w:val="24"/>
                <w:szCs w:val="24"/>
              </w:rPr>
              <w:t>2.进一步细化财务管理制度，完善和提高预算执行的力度和精确度，切实提高机关工作效能。</w:t>
            </w:r>
          </w:p>
          <w:p>
            <w:pPr>
              <w:spacing w:line="576" w:lineRule="exact"/>
              <w:ind w:right="879" w:rightChars="419"/>
              <w:rPr>
                <w:rFonts w:ascii="仿宋_GB2312" w:hAnsi="宋体" w:eastAsia="仿宋_GB2312" w:cs="宋体"/>
                <w:sz w:val="24"/>
                <w:szCs w:val="24"/>
              </w:rPr>
            </w:pPr>
            <w:r>
              <w:rPr>
                <w:rFonts w:hint="eastAsia" w:ascii="仿宋_GB2312" w:hAnsi="宋体" w:eastAsia="仿宋_GB2312" w:cs="宋体"/>
                <w:sz w:val="24"/>
                <w:szCs w:val="24"/>
              </w:rPr>
              <w:t>3.进一步加强财务业务知识的培训力度，加大对财务的监管力度。</w:t>
            </w:r>
          </w:p>
          <w:p>
            <w:pPr>
              <w:spacing w:line="576" w:lineRule="exact"/>
              <w:ind w:right="879" w:rightChars="419"/>
              <w:rPr>
                <w:rFonts w:ascii="仿宋_GB2312" w:hAnsi="宋体" w:eastAsia="仿宋_GB2312" w:cs="宋体"/>
                <w:sz w:val="24"/>
                <w:szCs w:val="24"/>
              </w:rPr>
            </w:pPr>
            <w:r>
              <w:rPr>
                <w:rFonts w:hint="eastAsia" w:ascii="仿宋_GB2312" w:hAnsi="宋体" w:eastAsia="仿宋_GB2312" w:cs="宋体"/>
                <w:sz w:val="24"/>
                <w:szCs w:val="24"/>
              </w:rPr>
              <w:t>4.继续加强工商联联系非公企业的能力和水平，促进非公经济发展，促进非公人士健康成长的能力和水平，为非公经济凝心聚力。</w:t>
            </w:r>
          </w:p>
          <w:p>
            <w:pPr>
              <w:spacing w:line="576" w:lineRule="exact"/>
              <w:ind w:right="879" w:rightChars="419"/>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384" w:type="dxa"/>
            <w:vMerge w:val="continue"/>
            <w:noWrap w:val="0"/>
            <w:vAlign w:val="top"/>
          </w:tcPr>
          <w:p>
            <w:pPr>
              <w:spacing w:line="576" w:lineRule="exact"/>
              <w:jc w:val="center"/>
              <w:rPr>
                <w:rFonts w:ascii="仿宋_GB2312" w:hAnsi="宋体" w:eastAsia="仿宋_GB2312" w:cs="宋体"/>
              </w:rPr>
            </w:pPr>
          </w:p>
        </w:tc>
        <w:tc>
          <w:tcPr>
            <w:tcW w:w="1862" w:type="dxa"/>
            <w:noWrap w:val="0"/>
            <w:vAlign w:val="center"/>
          </w:tcPr>
          <w:p>
            <w:pPr>
              <w:spacing w:line="576" w:lineRule="exact"/>
              <w:jc w:val="center"/>
              <w:rPr>
                <w:rFonts w:ascii="仿宋_GB2312" w:hAnsi="宋体" w:eastAsia="仿宋_GB2312" w:cs="宋体"/>
              </w:rPr>
            </w:pPr>
            <w:r>
              <w:rPr>
                <w:rFonts w:hint="eastAsia" w:ascii="仿宋_GB2312" w:hAnsi="宋体" w:eastAsia="仿宋_GB2312" w:cs="宋体"/>
              </w:rPr>
              <w:t>其他需要说明问题</w:t>
            </w:r>
          </w:p>
        </w:tc>
        <w:tc>
          <w:tcPr>
            <w:tcW w:w="5976" w:type="dxa"/>
            <w:noWrap w:val="0"/>
            <w:vAlign w:val="center"/>
          </w:tcPr>
          <w:p>
            <w:pPr>
              <w:spacing w:line="576" w:lineRule="exact"/>
              <w:ind w:right="879" w:rightChars="419"/>
              <w:jc w:val="center"/>
              <w:rPr>
                <w:rFonts w:ascii="仿宋_GB2312" w:hAnsi="宋体" w:eastAsia="仿宋_GB2312" w:cs="宋体"/>
                <w:sz w:val="24"/>
                <w:szCs w:val="24"/>
              </w:rPr>
            </w:pPr>
            <w:r>
              <w:rPr>
                <w:rFonts w:hint="eastAsia" w:ascii="仿宋_GB2312" w:hAnsi="宋体" w:eastAsia="仿宋_GB2312" w:cs="宋体"/>
                <w:sz w:val="24"/>
                <w:szCs w:val="24"/>
              </w:rPr>
              <w:t>无</w:t>
            </w:r>
          </w:p>
        </w:tc>
      </w:tr>
    </w:tbl>
    <w:p>
      <w:pPr>
        <w:ind w:firstLine="0" w:firstLineChars="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F89C77"/>
    <w:multiLevelType w:val="singleLevel"/>
    <w:tmpl w:val="B7F89C77"/>
    <w:lvl w:ilvl="0" w:tentative="0">
      <w:start w:val="1"/>
      <w:numFmt w:val="chineseCounting"/>
      <w:suff w:val="nothing"/>
      <w:lvlText w:val="%1、"/>
      <w:lvlJc w:val="left"/>
      <w:rPr>
        <w:rFonts w:hint="eastAsia"/>
      </w:rPr>
    </w:lvl>
  </w:abstractNum>
  <w:abstractNum w:abstractNumId="1">
    <w:nsid w:val="E95D214A"/>
    <w:multiLevelType w:val="singleLevel"/>
    <w:tmpl w:val="E95D214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Y2U4MDBiNTU4ODI0YzlhYmE0MDE0MzI0NjUwNGUifQ=="/>
  </w:docVars>
  <w:rsids>
    <w:rsidRoot w:val="004506F9"/>
    <w:rsid w:val="0002229B"/>
    <w:rsid w:val="000273BD"/>
    <w:rsid w:val="000415B7"/>
    <w:rsid w:val="00041E3F"/>
    <w:rsid w:val="00055DAA"/>
    <w:rsid w:val="00061F7B"/>
    <w:rsid w:val="000658A3"/>
    <w:rsid w:val="00074155"/>
    <w:rsid w:val="000929B5"/>
    <w:rsid w:val="000969EB"/>
    <w:rsid w:val="000A3F69"/>
    <w:rsid w:val="000E72C7"/>
    <w:rsid w:val="00101C8F"/>
    <w:rsid w:val="00103957"/>
    <w:rsid w:val="001162D0"/>
    <w:rsid w:val="00152C6D"/>
    <w:rsid w:val="00161642"/>
    <w:rsid w:val="00162D39"/>
    <w:rsid w:val="001678BD"/>
    <w:rsid w:val="001A1143"/>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9427B"/>
    <w:rsid w:val="002E0A30"/>
    <w:rsid w:val="003130C4"/>
    <w:rsid w:val="00316C4B"/>
    <w:rsid w:val="0032192B"/>
    <w:rsid w:val="003479BD"/>
    <w:rsid w:val="003539B8"/>
    <w:rsid w:val="00356745"/>
    <w:rsid w:val="00364B5C"/>
    <w:rsid w:val="0037197D"/>
    <w:rsid w:val="00375FBE"/>
    <w:rsid w:val="003768D5"/>
    <w:rsid w:val="00376FEC"/>
    <w:rsid w:val="003C47E6"/>
    <w:rsid w:val="003C4FC2"/>
    <w:rsid w:val="00416E61"/>
    <w:rsid w:val="004245E8"/>
    <w:rsid w:val="0042790C"/>
    <w:rsid w:val="004506F9"/>
    <w:rsid w:val="00460E4E"/>
    <w:rsid w:val="004717A2"/>
    <w:rsid w:val="00473CA2"/>
    <w:rsid w:val="00473DF3"/>
    <w:rsid w:val="00487911"/>
    <w:rsid w:val="00491741"/>
    <w:rsid w:val="0049506D"/>
    <w:rsid w:val="004E72D6"/>
    <w:rsid w:val="004F713B"/>
    <w:rsid w:val="00500E5F"/>
    <w:rsid w:val="005122EF"/>
    <w:rsid w:val="0051441A"/>
    <w:rsid w:val="0051588B"/>
    <w:rsid w:val="00517C33"/>
    <w:rsid w:val="00523644"/>
    <w:rsid w:val="0054069E"/>
    <w:rsid w:val="00544866"/>
    <w:rsid w:val="00551AB0"/>
    <w:rsid w:val="00563681"/>
    <w:rsid w:val="005767CC"/>
    <w:rsid w:val="0057731A"/>
    <w:rsid w:val="00590D9F"/>
    <w:rsid w:val="00595D26"/>
    <w:rsid w:val="005A74E6"/>
    <w:rsid w:val="005B404E"/>
    <w:rsid w:val="005B669D"/>
    <w:rsid w:val="005D4D55"/>
    <w:rsid w:val="005E2CFB"/>
    <w:rsid w:val="005F3D1C"/>
    <w:rsid w:val="0062378F"/>
    <w:rsid w:val="00641842"/>
    <w:rsid w:val="00651EEC"/>
    <w:rsid w:val="00665D17"/>
    <w:rsid w:val="00691E8C"/>
    <w:rsid w:val="006A22C4"/>
    <w:rsid w:val="006A351B"/>
    <w:rsid w:val="006B0422"/>
    <w:rsid w:val="006C1B53"/>
    <w:rsid w:val="006D5189"/>
    <w:rsid w:val="006D7730"/>
    <w:rsid w:val="006E5284"/>
    <w:rsid w:val="006F10EB"/>
    <w:rsid w:val="006F3EB5"/>
    <w:rsid w:val="006F4A0A"/>
    <w:rsid w:val="00702E34"/>
    <w:rsid w:val="00704395"/>
    <w:rsid w:val="00717621"/>
    <w:rsid w:val="00720FF1"/>
    <w:rsid w:val="00727A53"/>
    <w:rsid w:val="0073736E"/>
    <w:rsid w:val="007854E6"/>
    <w:rsid w:val="00787B42"/>
    <w:rsid w:val="007A040C"/>
    <w:rsid w:val="007C4539"/>
    <w:rsid w:val="007F3657"/>
    <w:rsid w:val="00810374"/>
    <w:rsid w:val="00812ED5"/>
    <w:rsid w:val="008204F3"/>
    <w:rsid w:val="008277D9"/>
    <w:rsid w:val="0084478C"/>
    <w:rsid w:val="0086638C"/>
    <w:rsid w:val="0087428E"/>
    <w:rsid w:val="008A3E8D"/>
    <w:rsid w:val="00913E9A"/>
    <w:rsid w:val="00920579"/>
    <w:rsid w:val="009237C4"/>
    <w:rsid w:val="00933739"/>
    <w:rsid w:val="00943DF5"/>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AA166C"/>
    <w:rsid w:val="00B33BEA"/>
    <w:rsid w:val="00B36887"/>
    <w:rsid w:val="00B379C3"/>
    <w:rsid w:val="00B451D5"/>
    <w:rsid w:val="00B57C9F"/>
    <w:rsid w:val="00B63572"/>
    <w:rsid w:val="00B845B3"/>
    <w:rsid w:val="00B85D8B"/>
    <w:rsid w:val="00BB4A40"/>
    <w:rsid w:val="00BD6C3E"/>
    <w:rsid w:val="00BE3674"/>
    <w:rsid w:val="00BF0776"/>
    <w:rsid w:val="00C10681"/>
    <w:rsid w:val="00C2076F"/>
    <w:rsid w:val="00C3049A"/>
    <w:rsid w:val="00C31B1E"/>
    <w:rsid w:val="00C77645"/>
    <w:rsid w:val="00CC61BD"/>
    <w:rsid w:val="00CE04C3"/>
    <w:rsid w:val="00CE76A0"/>
    <w:rsid w:val="00D148C6"/>
    <w:rsid w:val="00D17A8A"/>
    <w:rsid w:val="00D32C8B"/>
    <w:rsid w:val="00D415BA"/>
    <w:rsid w:val="00D4194D"/>
    <w:rsid w:val="00D5679D"/>
    <w:rsid w:val="00D644EE"/>
    <w:rsid w:val="00D747D8"/>
    <w:rsid w:val="00DC6185"/>
    <w:rsid w:val="00DD06FF"/>
    <w:rsid w:val="00DD5FE9"/>
    <w:rsid w:val="00DD7CAA"/>
    <w:rsid w:val="00E00C7A"/>
    <w:rsid w:val="00E37D6C"/>
    <w:rsid w:val="00E51CC1"/>
    <w:rsid w:val="00E55B68"/>
    <w:rsid w:val="00E67BE6"/>
    <w:rsid w:val="00E73AAE"/>
    <w:rsid w:val="00E76520"/>
    <w:rsid w:val="00E8683C"/>
    <w:rsid w:val="00EA2B72"/>
    <w:rsid w:val="00EB088B"/>
    <w:rsid w:val="00EB6C0C"/>
    <w:rsid w:val="00EF543C"/>
    <w:rsid w:val="00F25650"/>
    <w:rsid w:val="00F4638E"/>
    <w:rsid w:val="00F74360"/>
    <w:rsid w:val="00FB462F"/>
    <w:rsid w:val="00FE16FA"/>
    <w:rsid w:val="00FE328A"/>
    <w:rsid w:val="00FE6269"/>
    <w:rsid w:val="04B22974"/>
    <w:rsid w:val="07755EFB"/>
    <w:rsid w:val="07C840FE"/>
    <w:rsid w:val="0FE46F87"/>
    <w:rsid w:val="16DF408F"/>
    <w:rsid w:val="1711348D"/>
    <w:rsid w:val="186A33A8"/>
    <w:rsid w:val="1A080C13"/>
    <w:rsid w:val="1EB01CDB"/>
    <w:rsid w:val="1F1A4D91"/>
    <w:rsid w:val="20B9511A"/>
    <w:rsid w:val="233C273C"/>
    <w:rsid w:val="27483067"/>
    <w:rsid w:val="284E65ED"/>
    <w:rsid w:val="31625AE6"/>
    <w:rsid w:val="31D273D2"/>
    <w:rsid w:val="3352148D"/>
    <w:rsid w:val="3360114B"/>
    <w:rsid w:val="33831645"/>
    <w:rsid w:val="36893501"/>
    <w:rsid w:val="3863358E"/>
    <w:rsid w:val="3B19776D"/>
    <w:rsid w:val="3DE36144"/>
    <w:rsid w:val="3DF21317"/>
    <w:rsid w:val="3E9E6ED1"/>
    <w:rsid w:val="41845D8E"/>
    <w:rsid w:val="42222E88"/>
    <w:rsid w:val="43A46648"/>
    <w:rsid w:val="459117C5"/>
    <w:rsid w:val="474B2221"/>
    <w:rsid w:val="4B8C6E8E"/>
    <w:rsid w:val="4BD30CFD"/>
    <w:rsid w:val="4CCA7EF7"/>
    <w:rsid w:val="4CF747C8"/>
    <w:rsid w:val="51383C7A"/>
    <w:rsid w:val="55CD07F1"/>
    <w:rsid w:val="56CD3EC0"/>
    <w:rsid w:val="5781093E"/>
    <w:rsid w:val="598E572C"/>
    <w:rsid w:val="5A2B4FBB"/>
    <w:rsid w:val="5A5F6685"/>
    <w:rsid w:val="652A5DF5"/>
    <w:rsid w:val="6AB452F9"/>
    <w:rsid w:val="6B8B1BD4"/>
    <w:rsid w:val="71D0098E"/>
    <w:rsid w:val="72E5043E"/>
    <w:rsid w:val="76D52C65"/>
    <w:rsid w:val="78EF0B61"/>
    <w:rsid w:val="7B1A3C0F"/>
    <w:rsid w:val="7B3462C9"/>
    <w:rsid w:val="7C373E48"/>
    <w:rsid w:val="7C7E155B"/>
    <w:rsid w:val="7DC97CEA"/>
    <w:rsid w:val="7EA20800"/>
    <w:rsid w:val="7F691169"/>
    <w:rsid w:val="7FE945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locked/>
    <w:uiPriority w:val="0"/>
    <w:pPr>
      <w:keepNext/>
      <w:keepLines/>
      <w:spacing w:line="576" w:lineRule="auto"/>
      <w:outlineLvl w:val="0"/>
    </w:pPr>
    <w:rPr>
      <w:b/>
      <w:kern w:val="44"/>
      <w:sz w:val="4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1"/>
    <w:qFormat/>
    <w:uiPriority w:val="99"/>
    <w:pPr>
      <w:shd w:val="clear" w:color="auto" w:fill="FFFFFF"/>
      <w:spacing w:before="100" w:beforeAutospacing="1" w:after="100" w:afterAutospacing="1"/>
      <w:ind w:left="562"/>
      <w:jc w:val="center"/>
    </w:pPr>
    <w:rPr>
      <w:rFonts w:ascii="宋体"/>
      <w:b/>
      <w:bCs/>
    </w:r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endnote text"/>
    <w:basedOn w:val="1"/>
    <w:semiHidden/>
    <w:qFormat/>
    <w:uiPriority w:val="0"/>
    <w:rPr>
      <w:rFonts w:ascii="宋体" w:hAnsi="宋体"/>
    </w:rPr>
  </w:style>
  <w:style w:type="paragraph" w:styleId="7">
    <w:name w:val="Balloon Text"/>
    <w:basedOn w:val="1"/>
    <w:link w:val="15"/>
    <w:semiHidden/>
    <w:qFormat/>
    <w:uiPriority w:val="99"/>
    <w:rPr>
      <w:rFonts w:cs="Times New Roman"/>
      <w:kern w:val="0"/>
      <w:sz w:val="18"/>
      <w:szCs w:val="18"/>
    </w:rPr>
  </w:style>
  <w:style w:type="paragraph" w:styleId="8">
    <w:name w:val="footer"/>
    <w:basedOn w:val="1"/>
    <w:link w:val="16"/>
    <w:qFormat/>
    <w:uiPriority w:val="99"/>
    <w:pPr>
      <w:tabs>
        <w:tab w:val="center" w:pos="4153"/>
        <w:tab w:val="right" w:pos="8306"/>
      </w:tabs>
      <w:snapToGrid w:val="0"/>
      <w:jc w:val="left"/>
    </w:pPr>
    <w:rPr>
      <w:rFonts w:cs="Times New Roman"/>
      <w:kern w:val="0"/>
      <w:sz w:val="18"/>
      <w:szCs w:val="18"/>
    </w:rPr>
  </w:style>
  <w:style w:type="paragraph" w:styleId="9">
    <w:name w:val="header"/>
    <w:basedOn w:val="1"/>
    <w:link w:val="17"/>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styleId="10">
    <w:name w:val="footnote text"/>
    <w:basedOn w:val="1"/>
    <w:next w:val="5"/>
    <w:semiHidden/>
    <w:qFormat/>
    <w:uiPriority w:val="0"/>
    <w:pPr>
      <w:snapToGrid w:val="0"/>
      <w:jc w:val="left"/>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4">
    <w:name w:val="正文格式"/>
    <w:qFormat/>
    <w:uiPriority w:val="0"/>
    <w:pPr>
      <w:spacing w:before="156" w:beforeLines="50" w:after="156" w:afterLines="50" w:line="360" w:lineRule="auto"/>
      <w:ind w:firstLine="480" w:firstLineChars="200"/>
    </w:pPr>
    <w:rPr>
      <w:rFonts w:ascii="Times New Roman" w:hAnsi="Times New Roman" w:eastAsia="宋体" w:cs="Times New Roman"/>
      <w:kern w:val="2"/>
      <w:sz w:val="24"/>
      <w:szCs w:val="22"/>
      <w:lang w:val="en-US" w:eastAsia="zh-CN" w:bidi="ar-SA"/>
    </w:rPr>
  </w:style>
  <w:style w:type="character" w:customStyle="1" w:styleId="15">
    <w:name w:val="批注框文本 Char"/>
    <w:link w:val="7"/>
    <w:semiHidden/>
    <w:qFormat/>
    <w:locked/>
    <w:uiPriority w:val="99"/>
    <w:rPr>
      <w:sz w:val="18"/>
      <w:szCs w:val="18"/>
    </w:rPr>
  </w:style>
  <w:style w:type="character" w:customStyle="1" w:styleId="16">
    <w:name w:val="页脚 Char"/>
    <w:link w:val="8"/>
    <w:qFormat/>
    <w:locked/>
    <w:uiPriority w:val="99"/>
    <w:rPr>
      <w:sz w:val="18"/>
      <w:szCs w:val="18"/>
    </w:rPr>
  </w:style>
  <w:style w:type="character" w:customStyle="1" w:styleId="17">
    <w:name w:val="页眉 Char"/>
    <w:link w:val="9"/>
    <w:qFormat/>
    <w:locked/>
    <w:uiPriority w:val="99"/>
    <w:rPr>
      <w:sz w:val="18"/>
      <w:szCs w:val="18"/>
    </w:rPr>
  </w:style>
  <w:style w:type="paragraph" w:customStyle="1" w:styleId="18">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9">
    <w:name w:val="List Paragraph"/>
    <w:basedOn w:val="1"/>
    <w:qFormat/>
    <w:uiPriority w:val="99"/>
    <w:pPr>
      <w:ind w:firstLine="420" w:firstLineChars="200"/>
    </w:pPr>
  </w:style>
  <w:style w:type="paragraph" w:customStyle="1" w:styleId="20">
    <w:name w:val="List Paragraph1"/>
    <w:basedOn w:val="1"/>
    <w:qFormat/>
    <w:uiPriority w:val="99"/>
    <w:pPr>
      <w:ind w:firstLine="420" w:firstLineChars="200"/>
    </w:pPr>
  </w:style>
  <w:style w:type="paragraph" w:customStyle="1" w:styleId="21">
    <w:name w:val="BodyText1I2"/>
    <w:basedOn w:val="22"/>
    <w:qFormat/>
    <w:uiPriority w:val="99"/>
    <w:pPr>
      <w:ind w:firstLine="420" w:firstLineChars="200"/>
    </w:pPr>
    <w:rPr>
      <w:b/>
      <w:bCs/>
      <w:kern w:val="44"/>
      <w:sz w:val="32"/>
      <w:szCs w:val="44"/>
    </w:rPr>
  </w:style>
  <w:style w:type="paragraph" w:customStyle="1" w:styleId="22">
    <w:name w:val="BodyTextIndent"/>
    <w:basedOn w:val="1"/>
    <w:qFormat/>
    <w:uiPriority w:val="99"/>
    <w:pPr>
      <w:spacing w:after="120"/>
      <w:ind w:left="420" w:leftChars="200"/>
      <w:textAlignment w:val="baseline"/>
    </w:pPr>
    <w:rPr>
      <w:kern w:val="0"/>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39</Pages>
  <Words>12144</Words>
  <Characters>14080</Characters>
  <Lines>41</Lines>
  <Paragraphs>27</Paragraphs>
  <TotalTime>19</TotalTime>
  <ScaleCrop>false</ScaleCrop>
  <LinksUpToDate>false</LinksUpToDate>
  <CharactersWithSpaces>15214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2022-08-03T07:08:00Z</dcterms:created>
  <dc:creator>李航 null</dc:creator>
  <cp:lastModifiedBy>王嘉雨</cp:lastModifiedBy>
  <cp:lastPrinted>2021-07-28T00:12:00Z</cp:lastPrinted>
  <dcterms:modified xsi:type="dcterms:W3CDTF">2025-09-17T09:07:19Z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2052-12.1.0.15712</vt:lpwstr>
  </property>
  <property fmtid="{D5CDD505-2E9C-101B-9397-08002B2CF9AE}" pid="4" name="ICV">
    <vt:lpwstr>A00058939F114252AF753074D8E4EE78_13</vt:lpwstr>
  </property>
  <property fmtid="{D5CDD505-2E9C-101B-9397-08002B2CF9AE}" pid="5" name="KSOTemplateDocerSaveRecord">
    <vt:lpwstr>eyJoZGlkIjoiYmQxMTQ4NWM3N2ViNjhmNGE2ZmM2MGJiZWFlNzVkZTEiLCJ1c2VySWQiOiI0NTUxOTg3MTQifQ==</vt:lpwstr>
  </property>
</Properties>
</file>