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1999B6">
      <w:pPr>
        <w:spacing w:line="580" w:lineRule="exact"/>
        <w:rPr>
          <w:rFonts w:ascii="仿宋_GB2312" w:hAnsi="仿宋_GB2312" w:eastAsia="仿宋_GB2312" w:cs="仿宋_GB2312"/>
          <w:sz w:val="32"/>
          <w:szCs w:val="32"/>
        </w:rPr>
      </w:pPr>
      <w:bookmarkStart w:id="19" w:name="_GoBack"/>
      <w:bookmarkEnd w:id="19"/>
    </w:p>
    <w:p w14:paraId="1989E0DC">
      <w:pPr>
        <w:spacing w:line="580" w:lineRule="exact"/>
        <w:rPr>
          <w:rFonts w:ascii="仿宋_GB2312" w:hAnsi="仿宋_GB2312" w:eastAsia="仿宋_GB2312" w:cs="仿宋_GB2312"/>
          <w:sz w:val="32"/>
          <w:szCs w:val="32"/>
        </w:rPr>
      </w:pPr>
    </w:p>
    <w:p w14:paraId="46B710C3">
      <w:pPr>
        <w:spacing w:line="580" w:lineRule="exact"/>
        <w:rPr>
          <w:rFonts w:ascii="仿宋_GB2312" w:hAnsi="仿宋_GB2312" w:eastAsia="仿宋_GB2312" w:cs="仿宋_GB2312"/>
          <w:sz w:val="32"/>
          <w:szCs w:val="32"/>
        </w:rPr>
      </w:pPr>
    </w:p>
    <w:p w14:paraId="680D9F30">
      <w:pPr>
        <w:spacing w:line="580" w:lineRule="exact"/>
        <w:rPr>
          <w:rFonts w:ascii="仿宋_GB2312" w:hAnsi="仿宋_GB2312" w:eastAsia="仿宋_GB2312" w:cs="仿宋_GB2312"/>
          <w:sz w:val="32"/>
          <w:szCs w:val="32"/>
        </w:rPr>
      </w:pPr>
    </w:p>
    <w:p w14:paraId="109CCAF3">
      <w:pPr>
        <w:spacing w:line="580" w:lineRule="exact"/>
        <w:rPr>
          <w:rFonts w:ascii="仿宋_GB2312" w:hAnsi="仿宋_GB2312" w:eastAsia="仿宋_GB2312" w:cs="仿宋_GB2312"/>
          <w:sz w:val="32"/>
          <w:szCs w:val="32"/>
        </w:rPr>
      </w:pPr>
    </w:p>
    <w:p w14:paraId="4EA3FC36">
      <w:pPr>
        <w:spacing w:line="580" w:lineRule="exact"/>
        <w:rPr>
          <w:rFonts w:ascii="仿宋_GB2312" w:hAnsi="仿宋_GB2312" w:eastAsia="仿宋_GB2312" w:cs="仿宋_GB2312"/>
          <w:sz w:val="32"/>
          <w:szCs w:val="32"/>
        </w:rPr>
      </w:pPr>
    </w:p>
    <w:p w14:paraId="612D1930">
      <w:pPr>
        <w:spacing w:line="580" w:lineRule="exact"/>
        <w:rPr>
          <w:rFonts w:ascii="仿宋_GB2312" w:hAnsi="仿宋_GB2312" w:eastAsia="仿宋_GB2312" w:cs="仿宋_GB2312"/>
          <w:sz w:val="32"/>
          <w:szCs w:val="32"/>
        </w:rPr>
      </w:pPr>
    </w:p>
    <w:p w14:paraId="63E8279A">
      <w:pPr>
        <w:spacing w:line="580" w:lineRule="exact"/>
        <w:rPr>
          <w:rFonts w:ascii="仿宋_GB2312" w:hAnsi="仿宋_GB2312" w:eastAsia="仿宋_GB2312" w:cs="仿宋_GB2312"/>
          <w:sz w:val="32"/>
          <w:szCs w:val="32"/>
        </w:rPr>
      </w:pPr>
    </w:p>
    <w:p w14:paraId="26916E32">
      <w:pPr>
        <w:spacing w:line="580" w:lineRule="exact"/>
        <w:rPr>
          <w:rFonts w:ascii="仿宋_GB2312" w:hAnsi="仿宋_GB2312" w:eastAsia="仿宋_GB2312" w:cs="仿宋_GB2312"/>
          <w:sz w:val="32"/>
          <w:szCs w:val="32"/>
        </w:rPr>
      </w:pPr>
    </w:p>
    <w:p w14:paraId="1BBA0B77">
      <w:pPr>
        <w:spacing w:line="580" w:lineRule="exact"/>
        <w:rPr>
          <w:rFonts w:ascii="仿宋_GB2312" w:hAnsi="仿宋_GB2312" w:eastAsia="仿宋_GB2312" w:cs="仿宋_GB2312"/>
          <w:sz w:val="32"/>
          <w:szCs w:val="32"/>
        </w:rPr>
      </w:pPr>
    </w:p>
    <w:p w14:paraId="627DA133">
      <w:pPr>
        <w:spacing w:line="580" w:lineRule="exact"/>
        <w:rPr>
          <w:rFonts w:ascii="仿宋_GB2312" w:hAnsi="仿宋_GB2312" w:eastAsia="仿宋_GB2312" w:cs="仿宋_GB2312"/>
          <w:sz w:val="32"/>
          <w:szCs w:val="32"/>
        </w:rPr>
      </w:pPr>
    </w:p>
    <w:p w14:paraId="416FD9C1">
      <w:pPr>
        <w:spacing w:line="580" w:lineRule="exact"/>
        <w:rPr>
          <w:rFonts w:ascii="仿宋_GB2312" w:hAnsi="仿宋_GB2312" w:eastAsia="仿宋_GB2312" w:cs="仿宋_GB2312"/>
          <w:sz w:val="32"/>
          <w:szCs w:val="32"/>
        </w:rPr>
      </w:pPr>
    </w:p>
    <w:p w14:paraId="02420D6E">
      <w:pPr>
        <w:spacing w:line="580" w:lineRule="exact"/>
        <w:rPr>
          <w:rFonts w:ascii="仿宋_GB2312" w:hAnsi="Arial" w:eastAsia="仿宋_GB2312" w:cs="Arial"/>
          <w:color w:val="333333"/>
          <w:sz w:val="32"/>
          <w:szCs w:val="32"/>
          <w:shd w:val="clear" w:color="auto" w:fill="FFFFFF"/>
        </w:rPr>
      </w:pPr>
      <w:r>
        <w:rPr>
          <w:rFonts w:hint="eastAsia" w:ascii="仿宋_GB2312" w:hAnsi="Arial" w:eastAsia="仿宋_GB2312" w:cs="Arial"/>
          <w:color w:val="333333"/>
          <w:sz w:val="32"/>
          <w:szCs w:val="32"/>
          <w:shd w:val="clear" w:color="auto" w:fill="FFFFFF"/>
        </w:rPr>
        <w:t>潭县应急字〔2025〕20号                         俞铁军</w:t>
      </w:r>
    </w:p>
    <w:p w14:paraId="00E0C314">
      <w:pPr>
        <w:spacing w:line="580" w:lineRule="exact"/>
        <w:rPr>
          <w:rFonts w:ascii="方正小标宋简体" w:hAnsi="方正小标宋简体" w:eastAsia="方正小标宋简体" w:cs="方正小标宋简体"/>
          <w:sz w:val="44"/>
        </w:rPr>
      </w:pPr>
    </w:p>
    <w:p w14:paraId="6E50951B">
      <w:pPr>
        <w:overflowPunct w:val="0"/>
        <w:topLinePunct/>
        <w:spacing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湘潭县应急管理局</w:t>
      </w:r>
    </w:p>
    <w:p w14:paraId="00B3D03B">
      <w:pPr>
        <w:overflowPunct w:val="0"/>
        <w:topLinePunct/>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关于呈报《湘潭兴友德机械设备制造有限公司 “12·1” 物体打击事故调查报告》的请示</w:t>
      </w:r>
    </w:p>
    <w:p w14:paraId="1F1E5B1A">
      <w:pPr>
        <w:spacing w:line="560" w:lineRule="exact"/>
        <w:ind w:firstLine="880" w:firstLineChars="200"/>
        <w:jc w:val="center"/>
        <w:rPr>
          <w:rFonts w:ascii="方正小标宋简体" w:hAnsi="方正小标宋简体" w:eastAsia="方正小标宋简体" w:cs="方正小标宋简体"/>
          <w:sz w:val="44"/>
          <w:szCs w:val="44"/>
        </w:rPr>
      </w:pPr>
    </w:p>
    <w:p w14:paraId="4A12737C">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县人民政府：</w:t>
      </w:r>
    </w:p>
    <w:p w14:paraId="1449BECE">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2024年12月1日8时许，湘潭兴友德机械设备制造有限公司在行车吊运</w:t>
      </w:r>
      <w:r>
        <w:rPr>
          <w:rFonts w:hint="eastAsia" w:ascii="仿宋_GB2312" w:hAnsi="仿宋_GB2312" w:eastAsia="仿宋_GB2312" w:cs="仿宋_GB2312"/>
          <w:kern w:val="0"/>
          <w:sz w:val="32"/>
          <w:szCs w:val="32"/>
        </w:rPr>
        <w:t>高低温垫底座</w:t>
      </w:r>
      <w:r>
        <w:rPr>
          <w:rFonts w:hint="eastAsia" w:ascii="仿宋_GB2312" w:hAnsi="仿宋_GB2312" w:eastAsia="仿宋_GB2312" w:cs="仿宋_GB2312"/>
          <w:sz w:val="32"/>
          <w:szCs w:val="32"/>
        </w:rPr>
        <w:t>过程中发生一起物体打击事故，伤者因伤情较重于12月2日2时许死亡，直接经济损失约89万元。</w:t>
      </w:r>
    </w:p>
    <w:p w14:paraId="27469177">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事故发生后，湘潭县人民政府授权我局依法牵头成立以县公安局、县总工会、天易经开区产业发展局为成员单位的事故调查组，同时邀请县纪委监委对事故调查组的工作进行监督。调查组对此次事故进行了全面调查，并撰写了调查报告。</w:t>
      </w:r>
    </w:p>
    <w:p w14:paraId="0A42B7E2">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现随文呈报《</w:t>
      </w:r>
      <w:r>
        <w:rPr>
          <w:rFonts w:hint="eastAsia" w:ascii="仿宋_GB2312" w:hAnsi="仿宋_GB2312" w:eastAsia="仿宋_GB2312" w:cs="仿宋_GB2312"/>
          <w:kern w:val="0"/>
          <w:sz w:val="32"/>
          <w:szCs w:val="32"/>
        </w:rPr>
        <w:t>湘潭兴友德机械设备制造有限公司</w:t>
      </w:r>
      <w:r>
        <w:rPr>
          <w:rFonts w:hint="eastAsia" w:ascii="仿宋_GB2312" w:hAnsi="仿宋_GB2312" w:eastAsia="仿宋_GB2312" w:cs="仿宋_GB2312"/>
          <w:sz w:val="32"/>
          <w:szCs w:val="32"/>
        </w:rPr>
        <w:t>“12·1”物体打击事故调查报告》（附后），请审批。</w:t>
      </w:r>
    </w:p>
    <w:p w14:paraId="1697F2CB">
      <w:pPr>
        <w:spacing w:line="560" w:lineRule="exact"/>
        <w:ind w:firstLine="960" w:firstLineChars="300"/>
        <w:rPr>
          <w:rFonts w:ascii="仿宋_GB2312" w:hAnsi="仿宋_GB2312" w:eastAsia="仿宋_GB2312" w:cs="仿宋_GB2312"/>
          <w:sz w:val="32"/>
          <w:szCs w:val="32"/>
        </w:rPr>
      </w:pPr>
    </w:p>
    <w:p w14:paraId="10ABE832">
      <w:pPr>
        <w:spacing w:line="560" w:lineRule="exact"/>
        <w:ind w:firstLine="640" w:firstLineChars="200"/>
        <w:rPr>
          <w:rFonts w:ascii="仿宋_GB2312" w:hAnsi="仿宋_GB2312" w:eastAsia="仿宋_GB2312" w:cs="仿宋_GB2312"/>
          <w:sz w:val="32"/>
          <w:szCs w:val="32"/>
        </w:rPr>
      </w:pPr>
    </w:p>
    <w:p w14:paraId="643552B5">
      <w:pPr>
        <w:spacing w:line="560" w:lineRule="exact"/>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湘潭兴友德机械设备制造有限公司</w:t>
      </w:r>
    </w:p>
    <w:p w14:paraId="55B60F78">
      <w:pPr>
        <w:spacing w:line="560" w:lineRule="exact"/>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“12·1”物体打击事故</w:t>
      </w:r>
    </w:p>
    <w:p w14:paraId="507617F8">
      <w:pPr>
        <w:spacing w:line="560" w:lineRule="exact"/>
        <w:ind w:right="1120" w:firstLine="960" w:firstLineChars="30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湘潭县应急管理局 代章                                 2025年7月8日 </w:t>
      </w:r>
    </w:p>
    <w:p w14:paraId="5D643A38">
      <w:pPr>
        <w:spacing w:line="560" w:lineRule="exact"/>
        <w:ind w:right="1120" w:firstLine="960" w:firstLineChars="300"/>
        <w:jc w:val="right"/>
        <w:rPr>
          <w:rFonts w:ascii="仿宋_GB2312" w:hAnsi="仿宋_GB2312" w:eastAsia="仿宋_GB2312" w:cs="仿宋_GB2312"/>
          <w:sz w:val="32"/>
          <w:szCs w:val="32"/>
        </w:rPr>
      </w:pPr>
    </w:p>
    <w:p w14:paraId="567E5A55">
      <w:pPr>
        <w:spacing w:line="560" w:lineRule="exact"/>
        <w:ind w:right="1120" w:firstLine="960" w:firstLineChars="300"/>
        <w:jc w:val="right"/>
        <w:rPr>
          <w:rFonts w:ascii="仿宋_GB2312" w:hAnsi="仿宋_GB2312" w:eastAsia="仿宋_GB2312" w:cs="仿宋_GB2312"/>
          <w:sz w:val="32"/>
          <w:szCs w:val="32"/>
        </w:rPr>
      </w:pPr>
    </w:p>
    <w:p w14:paraId="3223BECE">
      <w:pPr>
        <w:spacing w:line="560" w:lineRule="exact"/>
        <w:ind w:firstLine="883" w:firstLineChars="200"/>
        <w:jc w:val="center"/>
        <w:rPr>
          <w:rFonts w:ascii="宋体" w:hAnsi="宋体" w:cs="宋体"/>
          <w:b/>
          <w:sz w:val="44"/>
          <w:szCs w:val="44"/>
        </w:rPr>
      </w:pPr>
    </w:p>
    <w:p w14:paraId="2E3F4140">
      <w:pPr>
        <w:spacing w:line="560" w:lineRule="exact"/>
        <w:ind w:firstLine="883" w:firstLineChars="200"/>
        <w:jc w:val="center"/>
        <w:rPr>
          <w:rFonts w:ascii="宋体" w:hAnsi="宋体" w:cs="宋体"/>
          <w:b/>
          <w:sz w:val="44"/>
          <w:szCs w:val="44"/>
        </w:rPr>
      </w:pPr>
    </w:p>
    <w:p w14:paraId="28F950B5">
      <w:pPr>
        <w:spacing w:line="560" w:lineRule="exact"/>
        <w:ind w:firstLine="883" w:firstLineChars="200"/>
        <w:jc w:val="center"/>
        <w:rPr>
          <w:rFonts w:ascii="宋体" w:hAnsi="宋体" w:cs="宋体"/>
          <w:b/>
          <w:sz w:val="44"/>
          <w:szCs w:val="44"/>
        </w:rPr>
      </w:pPr>
    </w:p>
    <w:p w14:paraId="7A894DC2">
      <w:pPr>
        <w:spacing w:line="560" w:lineRule="exact"/>
        <w:ind w:firstLine="883" w:firstLineChars="200"/>
        <w:jc w:val="center"/>
        <w:rPr>
          <w:rFonts w:ascii="宋体" w:hAnsi="宋体" w:cs="宋体"/>
          <w:b/>
          <w:sz w:val="44"/>
          <w:szCs w:val="44"/>
        </w:rPr>
      </w:pPr>
    </w:p>
    <w:p w14:paraId="1FE346E7">
      <w:pPr>
        <w:spacing w:line="560" w:lineRule="exact"/>
        <w:ind w:firstLine="883" w:firstLineChars="200"/>
        <w:jc w:val="center"/>
        <w:rPr>
          <w:rFonts w:ascii="宋体" w:hAnsi="宋体" w:cs="宋体"/>
          <w:b/>
          <w:sz w:val="44"/>
          <w:szCs w:val="44"/>
        </w:rPr>
      </w:pPr>
    </w:p>
    <w:p w14:paraId="602D1DFC">
      <w:pPr>
        <w:spacing w:line="560" w:lineRule="exact"/>
        <w:ind w:firstLine="883" w:firstLineChars="200"/>
        <w:jc w:val="center"/>
        <w:rPr>
          <w:rFonts w:ascii="宋体" w:hAnsi="宋体" w:cs="宋体"/>
          <w:b/>
          <w:sz w:val="44"/>
          <w:szCs w:val="44"/>
        </w:rPr>
      </w:pPr>
    </w:p>
    <w:p w14:paraId="5E945D07">
      <w:pPr>
        <w:spacing w:line="560" w:lineRule="exact"/>
        <w:ind w:firstLine="883" w:firstLineChars="200"/>
        <w:jc w:val="center"/>
        <w:rPr>
          <w:rFonts w:ascii="宋体" w:hAnsi="宋体" w:cs="宋体"/>
          <w:b/>
          <w:sz w:val="44"/>
          <w:szCs w:val="44"/>
        </w:rPr>
      </w:pPr>
    </w:p>
    <w:p w14:paraId="15C335E0">
      <w:pPr>
        <w:spacing w:line="560" w:lineRule="exact"/>
        <w:ind w:firstLine="883" w:firstLineChars="200"/>
        <w:jc w:val="center"/>
        <w:rPr>
          <w:rFonts w:ascii="宋体" w:hAnsi="宋体" w:cs="宋体"/>
          <w:b/>
          <w:sz w:val="44"/>
          <w:szCs w:val="44"/>
        </w:rPr>
      </w:pPr>
    </w:p>
    <w:p w14:paraId="53E91E55">
      <w:pPr>
        <w:spacing w:line="560" w:lineRule="exact"/>
        <w:ind w:firstLine="883" w:firstLineChars="200"/>
        <w:jc w:val="center"/>
        <w:rPr>
          <w:rFonts w:ascii="宋体" w:hAnsi="宋体" w:cs="宋体"/>
          <w:b/>
          <w:sz w:val="44"/>
          <w:szCs w:val="44"/>
        </w:rPr>
      </w:pPr>
    </w:p>
    <w:p w14:paraId="7A1E990F">
      <w:pPr>
        <w:spacing w:line="560" w:lineRule="exact"/>
        <w:ind w:firstLine="883" w:firstLineChars="200"/>
        <w:jc w:val="center"/>
        <w:rPr>
          <w:rFonts w:ascii="宋体" w:hAnsi="宋体" w:cs="宋体"/>
          <w:b/>
          <w:sz w:val="44"/>
          <w:szCs w:val="44"/>
        </w:rPr>
      </w:pPr>
    </w:p>
    <w:p w14:paraId="406214BF">
      <w:pPr>
        <w:spacing w:line="560" w:lineRule="exact"/>
        <w:ind w:firstLine="883" w:firstLineChars="200"/>
        <w:jc w:val="center"/>
        <w:rPr>
          <w:rFonts w:ascii="宋体" w:hAnsi="宋体" w:cs="宋体"/>
          <w:b/>
          <w:sz w:val="44"/>
          <w:szCs w:val="44"/>
        </w:rPr>
      </w:pPr>
    </w:p>
    <w:p w14:paraId="6A9D4D6C">
      <w:pPr>
        <w:spacing w:line="560" w:lineRule="exact"/>
        <w:ind w:firstLine="883" w:firstLineChars="200"/>
        <w:jc w:val="center"/>
        <w:rPr>
          <w:rFonts w:ascii="宋体" w:hAnsi="宋体" w:cs="宋体"/>
          <w:b/>
          <w:sz w:val="44"/>
          <w:szCs w:val="44"/>
        </w:rPr>
      </w:pPr>
    </w:p>
    <w:p w14:paraId="0D910FF5">
      <w:pPr>
        <w:spacing w:line="560" w:lineRule="exact"/>
        <w:ind w:firstLine="883" w:firstLineChars="200"/>
        <w:jc w:val="center"/>
        <w:rPr>
          <w:rFonts w:ascii="宋体" w:hAnsi="宋体" w:cs="宋体"/>
          <w:b/>
          <w:sz w:val="44"/>
          <w:szCs w:val="44"/>
        </w:rPr>
      </w:pPr>
    </w:p>
    <w:p w14:paraId="5F62B16C">
      <w:pPr>
        <w:spacing w:line="560" w:lineRule="exact"/>
        <w:ind w:firstLine="883" w:firstLineChars="200"/>
        <w:jc w:val="center"/>
        <w:rPr>
          <w:rFonts w:ascii="宋体" w:hAnsi="宋体" w:cs="宋体"/>
          <w:b/>
          <w:sz w:val="44"/>
          <w:szCs w:val="44"/>
        </w:rPr>
      </w:pPr>
    </w:p>
    <w:p w14:paraId="4D28C723">
      <w:pPr>
        <w:spacing w:line="560" w:lineRule="exact"/>
        <w:ind w:firstLine="883" w:firstLineChars="200"/>
        <w:jc w:val="center"/>
        <w:rPr>
          <w:rFonts w:ascii="仿宋_GB2312" w:eastAsia="仿宋_GB2312"/>
          <w:sz w:val="32"/>
          <w:szCs w:val="32"/>
        </w:rPr>
      </w:pPr>
      <w:r>
        <w:rPr>
          <w:rFonts w:hint="eastAsia" w:ascii="宋体" w:hAnsi="宋体" w:cs="宋体"/>
          <w:b/>
          <w:sz w:val="44"/>
          <w:szCs w:val="44"/>
        </w:rPr>
        <w:t>湘潭兴友德机械设备制造有限公司 “12· 1”物体打击事故调查报告</w:t>
      </w:r>
    </w:p>
    <w:p w14:paraId="3B1C4204">
      <w:pPr>
        <w:spacing w:line="560" w:lineRule="exact"/>
        <w:ind w:firstLine="640" w:firstLineChars="200"/>
        <w:rPr>
          <w:rFonts w:ascii="仿宋_GB2312" w:eastAsia="仿宋_GB2312"/>
          <w:sz w:val="32"/>
          <w:szCs w:val="32"/>
        </w:rPr>
      </w:pPr>
    </w:p>
    <w:p w14:paraId="44ACB8A7">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2024年12月1日8时许，湘潭兴友德机械设备制造有限公司在行车吊运</w:t>
      </w:r>
      <w:r>
        <w:rPr>
          <w:rFonts w:hint="eastAsia" w:ascii="仿宋_GB2312" w:hAnsi="仿宋_GB2312" w:eastAsia="仿宋_GB2312" w:cs="仿宋_GB2312"/>
          <w:kern w:val="0"/>
          <w:sz w:val="32"/>
          <w:szCs w:val="32"/>
        </w:rPr>
        <w:t>高低温垫底座</w:t>
      </w:r>
      <w:r>
        <w:rPr>
          <w:rFonts w:hint="eastAsia" w:ascii="仿宋_GB2312" w:hAnsi="仿宋_GB2312" w:eastAsia="仿宋_GB2312" w:cs="仿宋_GB2312"/>
          <w:sz w:val="32"/>
          <w:szCs w:val="32"/>
        </w:rPr>
        <w:t>过程中发生一起物体打击事故，伤者因伤情较重于12月2日2时许死亡，直接经济损失约89万元。</w:t>
      </w:r>
    </w:p>
    <w:p w14:paraId="023C102C">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中华人民共和国安全生产法》《生产安全事故报告与调查处理条例》等法律法规的规定。2024年12月2日，经湘潭县人民政府批准，组成由县应急管理局牵头，县公安局、县总工会、天易经开区产业发展局为成员单位的事故调查组，同时邀请县纪委监委对事故调查组的工作进行监督。</w:t>
      </w:r>
    </w:p>
    <w:p w14:paraId="69DFAEE2">
      <w:pPr>
        <w:pStyle w:val="2"/>
        <w:spacing w:line="560" w:lineRule="exact"/>
        <w:ind w:firstLine="640" w:firstLineChars="200"/>
        <w:jc w:val="both"/>
        <w:rPr>
          <w:rFonts w:ascii="仿宋_GB2312" w:hAnsi="仿宋_GB2312" w:eastAsia="仿宋_GB2312" w:cs="仿宋_GB2312"/>
          <w:snapToGrid/>
          <w:color w:val="auto"/>
          <w:sz w:val="32"/>
          <w:szCs w:val="32"/>
          <w:lang w:eastAsia="zh-CN"/>
        </w:rPr>
      </w:pPr>
      <w:r>
        <w:rPr>
          <w:rFonts w:hint="eastAsia" w:ascii="仿宋_GB2312" w:hAnsi="仿宋_GB2312" w:eastAsia="仿宋_GB2312" w:cs="仿宋_GB2312"/>
          <w:snapToGrid/>
          <w:color w:val="auto"/>
          <w:sz w:val="32"/>
          <w:szCs w:val="32"/>
          <w:lang w:eastAsia="zh-CN"/>
        </w:rPr>
        <w:t>事故调查组按照“四不放过”和“科学严谨、依法依规、实事求是、注重实效”的原则，通过现场勘查、调查取证和综合分析，查清了事故发生经过、原因，认定了事故性质和责任，提出了对责任者和责任单位的处理意见，并针对事故原因及暴露出的突出问题，提出了防范措施和整改建议。</w:t>
      </w:r>
    </w:p>
    <w:p w14:paraId="0DC662B5">
      <w:pPr>
        <w:pStyle w:val="2"/>
        <w:spacing w:line="560" w:lineRule="exact"/>
        <w:ind w:firstLine="640" w:firstLineChars="200"/>
        <w:jc w:val="both"/>
        <w:rPr>
          <w:rFonts w:ascii="仿宋_GB2312" w:hAnsi="仿宋_GB2312" w:eastAsia="仿宋_GB2312" w:cs="仿宋_GB2312"/>
          <w:snapToGrid/>
          <w:color w:val="auto"/>
          <w:sz w:val="32"/>
          <w:szCs w:val="32"/>
          <w:lang w:eastAsia="zh-CN"/>
        </w:rPr>
      </w:pPr>
      <w:r>
        <w:rPr>
          <w:rFonts w:hint="eastAsia" w:ascii="仿宋_GB2312" w:hAnsi="仿宋_GB2312" w:eastAsia="仿宋_GB2312" w:cs="仿宋_GB2312"/>
          <w:color w:val="333333"/>
          <w:sz w:val="32"/>
          <w:szCs w:val="32"/>
          <w:shd w:val="clear" w:color="auto" w:fill="FFFFFF"/>
          <w:lang w:eastAsia="zh-CN"/>
        </w:rPr>
        <w:t>事故调查组认定，</w:t>
      </w:r>
      <w:r>
        <w:rPr>
          <w:rFonts w:hint="eastAsia" w:ascii="仿宋_GB2312" w:hAnsi="仿宋_GB2312" w:eastAsia="仿宋_GB2312" w:cs="仿宋_GB2312"/>
          <w:sz w:val="32"/>
          <w:szCs w:val="32"/>
          <w:lang w:eastAsia="zh-CN"/>
        </w:rPr>
        <w:t>湘潭兴友德机械设备制造有限公司</w:t>
      </w:r>
      <w:r>
        <w:rPr>
          <w:rFonts w:hint="eastAsia" w:ascii="仿宋_GB2312" w:hAnsi="仿宋_GB2312" w:eastAsia="仿宋_GB2312" w:cs="仿宋_GB2312"/>
          <w:color w:val="333333"/>
          <w:sz w:val="32"/>
          <w:szCs w:val="32"/>
          <w:shd w:val="clear" w:color="auto" w:fill="FFFFFF"/>
          <w:lang w:eastAsia="zh-CN"/>
        </w:rPr>
        <w:t>“12·1”物体打击事故是一起一般生产安全责任事故。</w:t>
      </w:r>
    </w:p>
    <w:p w14:paraId="218E53A7">
      <w:pPr>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一、事故单位情况</w:t>
      </w:r>
    </w:p>
    <w:p w14:paraId="33D2E309">
      <w:pPr>
        <w:spacing w:line="560" w:lineRule="exact"/>
        <w:ind w:firstLine="482" w:firstLineChars="150"/>
        <w:rPr>
          <w:rFonts w:ascii="楷体_GB2312" w:hAnsi="楷体_GB2312" w:eastAsia="楷体_GB2312" w:cs="楷体_GB2312"/>
          <w:b/>
          <w:kern w:val="0"/>
          <w:sz w:val="32"/>
          <w:szCs w:val="32"/>
        </w:rPr>
      </w:pPr>
      <w:r>
        <w:rPr>
          <w:rFonts w:hint="eastAsia" w:ascii="楷体_GB2312" w:hAnsi="楷体_GB2312" w:eastAsia="楷体_GB2312" w:cs="楷体_GB2312"/>
          <w:b/>
          <w:kern w:val="0"/>
          <w:sz w:val="32"/>
          <w:szCs w:val="32"/>
        </w:rPr>
        <w:t>（一）湘潭兴友德机械设备制造有限公司基本情况</w:t>
      </w:r>
    </w:p>
    <w:p w14:paraId="4898801B">
      <w:pPr>
        <w:spacing w:line="560" w:lineRule="exact"/>
        <w:ind w:firstLine="482" w:firstLineChars="150"/>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1. 湘潭兴友德机械设备制造有限公司概况</w:t>
      </w:r>
    </w:p>
    <w:p w14:paraId="5E448722">
      <w:pPr>
        <w:spacing w:line="560" w:lineRule="exact"/>
        <w:ind w:firstLine="480" w:firstLineChars="150"/>
        <w:rPr>
          <w:rFonts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湘潭兴友德机械设备制造有限公司（以下简称兴友德公司）成立于2022年7月15日，法定代表人为郭</w:t>
      </w:r>
      <w:r>
        <w:rPr>
          <w:rFonts w:hint="eastAsia" w:cs="仿宋_GB2312" w:asciiTheme="minorEastAsia" w:hAnsiTheme="minorEastAsia" w:eastAsiaTheme="minorEastAsia"/>
          <w:kern w:val="0"/>
          <w:sz w:val="32"/>
          <w:szCs w:val="32"/>
        </w:rPr>
        <w:t>某</w:t>
      </w:r>
      <w:r>
        <w:rPr>
          <w:rFonts w:hint="eastAsia" w:ascii="仿宋_GB2312" w:hAnsi="仿宋_GB2312" w:eastAsia="仿宋_GB2312" w:cs="仿宋_GB2312"/>
          <w:kern w:val="0"/>
          <w:sz w:val="32"/>
          <w:szCs w:val="32"/>
        </w:rPr>
        <w:t>，注册资本为100万元人民币，统一社会信用代码为91430321MABRG40</w:t>
      </w:r>
      <w:r>
        <w:rPr>
          <w:rFonts w:hint="eastAsia" w:ascii="仿宋_GB2312" w:hAnsi="仿宋_GB2312" w:cs="仿宋_GB2312" w:eastAsiaTheme="minorEastAsia"/>
          <w:kern w:val="0"/>
          <w:sz w:val="32"/>
          <w:szCs w:val="32"/>
        </w:rPr>
        <w:t>***</w:t>
      </w:r>
      <w:r>
        <w:rPr>
          <w:rFonts w:hint="eastAsia" w:ascii="仿宋_GB2312" w:hAnsi="仿宋_GB2312" w:eastAsia="仿宋_GB2312" w:cs="仿宋_GB2312"/>
          <w:kern w:val="0"/>
          <w:sz w:val="32"/>
          <w:szCs w:val="32"/>
        </w:rPr>
        <w:t>，有限责任公司；企业注册地址位于湖南省湘潭市湘潭县易俗河镇凤凰中路宏通名居商住楼2栋1楼，所属行业为通用设备制造业，经营范围包含：许可项目：其他未列明通用设备制造业。（依法须经批准的项目，经相关部门批准后方可开展经营活动，具体经营项目以批准文件或许可证件为准）一般项目：通用设备制造（不含特种设备制造）；机械设备销售；铸造机械制造等。（除依法须经批准的项目外，自主开展法律法规未禁止、未限制的经营活动）。</w:t>
      </w:r>
      <w:bookmarkStart w:id="0" w:name="_Toc919"/>
    </w:p>
    <w:bookmarkEnd w:id="0"/>
    <w:p w14:paraId="59746A5C">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兴友德公司股东为甘智</w:t>
      </w:r>
      <w:r>
        <w:rPr>
          <w:rFonts w:hint="eastAsia" w:ascii="仿宋_GB2312" w:hAnsi="仿宋_GB2312" w:cs="仿宋_GB2312" w:eastAsiaTheme="minorEastAsia"/>
          <w:kern w:val="0"/>
          <w:sz w:val="32"/>
          <w:szCs w:val="32"/>
        </w:rPr>
        <w:t>某</w:t>
      </w:r>
      <w:r>
        <w:rPr>
          <w:rFonts w:hint="eastAsia" w:ascii="仿宋_GB2312" w:hAnsi="仿宋_GB2312" w:eastAsia="仿宋_GB2312" w:cs="仿宋_GB2312"/>
          <w:kern w:val="0"/>
          <w:sz w:val="32"/>
          <w:szCs w:val="32"/>
        </w:rPr>
        <w:t>和郭</w:t>
      </w:r>
      <w:r>
        <w:rPr>
          <w:rFonts w:hint="eastAsia" w:ascii="仿宋_GB2312" w:hAnsi="仿宋_GB2312" w:cs="仿宋_GB2312" w:eastAsiaTheme="minorEastAsia"/>
          <w:kern w:val="0"/>
          <w:sz w:val="32"/>
          <w:szCs w:val="32"/>
        </w:rPr>
        <w:t>某</w:t>
      </w:r>
      <w:r>
        <w:rPr>
          <w:rFonts w:hint="eastAsia" w:ascii="仿宋_GB2312" w:hAnsi="仿宋_GB2312" w:eastAsia="仿宋_GB2312" w:cs="仿宋_GB2312"/>
          <w:kern w:val="0"/>
          <w:sz w:val="32"/>
          <w:szCs w:val="32"/>
        </w:rPr>
        <w:t>（马友</w:t>
      </w:r>
      <w:r>
        <w:rPr>
          <w:rFonts w:hint="eastAsia" w:ascii="仿宋_GB2312" w:hAnsi="仿宋_GB2312" w:cs="仿宋_GB2312" w:eastAsiaTheme="minorEastAsia"/>
          <w:kern w:val="0"/>
          <w:sz w:val="32"/>
          <w:szCs w:val="32"/>
        </w:rPr>
        <w:t>某</w:t>
      </w:r>
      <w:r>
        <w:rPr>
          <w:rFonts w:hint="eastAsia" w:ascii="仿宋_GB2312" w:hAnsi="仿宋_GB2312" w:eastAsia="仿宋_GB2312" w:cs="仿宋_GB2312"/>
          <w:kern w:val="0"/>
          <w:sz w:val="32"/>
          <w:szCs w:val="32"/>
        </w:rPr>
        <w:t>妻子），郭</w:t>
      </w:r>
      <w:r>
        <w:rPr>
          <w:rFonts w:hint="eastAsia" w:ascii="仿宋_GB2312" w:hAnsi="仿宋_GB2312" w:cs="仿宋_GB2312" w:eastAsiaTheme="minorEastAsia"/>
          <w:kern w:val="0"/>
          <w:sz w:val="32"/>
          <w:szCs w:val="32"/>
        </w:rPr>
        <w:t>某</w:t>
      </w:r>
      <w:r>
        <w:rPr>
          <w:rFonts w:hint="eastAsia" w:ascii="仿宋_GB2312" w:hAnsi="仿宋_GB2312" w:eastAsia="仿宋_GB2312" w:cs="仿宋_GB2312"/>
          <w:kern w:val="0"/>
          <w:sz w:val="32"/>
          <w:szCs w:val="32"/>
        </w:rPr>
        <w:t>占股51%，甘智勇占股49%。公司日常的生产经营由马友明负责，同时负责部分业务对接、产品接送。</w:t>
      </w:r>
      <w:bookmarkStart w:id="1" w:name="OLE_LINK13"/>
      <w:bookmarkStart w:id="2" w:name="OLE_LINK12"/>
      <w:r>
        <w:rPr>
          <w:rFonts w:hint="eastAsia" w:ascii="仿宋_GB2312" w:hAnsi="仿宋_GB2312" w:eastAsia="仿宋_GB2312" w:cs="仿宋_GB2312"/>
          <w:kern w:val="0"/>
          <w:sz w:val="32"/>
          <w:szCs w:val="32"/>
        </w:rPr>
        <w:t>甘智</w:t>
      </w:r>
      <w:bookmarkEnd w:id="1"/>
      <w:bookmarkEnd w:id="2"/>
      <w:r>
        <w:rPr>
          <w:rFonts w:hint="eastAsia" w:ascii="仿宋_GB2312" w:hAnsi="仿宋_GB2312" w:cs="仿宋_GB2312" w:eastAsiaTheme="minorEastAsia"/>
          <w:kern w:val="0"/>
          <w:sz w:val="32"/>
          <w:szCs w:val="32"/>
        </w:rPr>
        <w:t>某</w:t>
      </w:r>
      <w:r>
        <w:rPr>
          <w:rFonts w:hint="eastAsia" w:ascii="仿宋_GB2312" w:hAnsi="仿宋_GB2312" w:eastAsia="仿宋_GB2312" w:cs="仿宋_GB2312"/>
          <w:kern w:val="0"/>
          <w:sz w:val="32"/>
          <w:szCs w:val="32"/>
        </w:rPr>
        <w:t>负责出纳、采购、技术及对接公司业务和账务。郭</w:t>
      </w:r>
      <w:r>
        <w:rPr>
          <w:rFonts w:hint="eastAsia" w:ascii="仿宋_GB2312" w:hAnsi="仿宋_GB2312" w:cs="仿宋_GB2312" w:eastAsiaTheme="minorEastAsia"/>
          <w:kern w:val="0"/>
          <w:sz w:val="32"/>
          <w:szCs w:val="32"/>
        </w:rPr>
        <w:t>某</w:t>
      </w:r>
      <w:r>
        <w:rPr>
          <w:rFonts w:hint="eastAsia" w:ascii="仿宋_GB2312" w:hAnsi="仿宋_GB2312" w:eastAsia="仿宋_GB2312" w:cs="仿宋_GB2312"/>
          <w:kern w:val="0"/>
          <w:sz w:val="32"/>
          <w:szCs w:val="32"/>
        </w:rPr>
        <w:t>负责公账支出。正式员工4人（麻洪</w:t>
      </w:r>
      <w:bookmarkStart w:id="3" w:name="OLE_LINK6"/>
      <w:bookmarkStart w:id="4" w:name="OLE_LINK1"/>
      <w:r>
        <w:rPr>
          <w:rFonts w:hint="eastAsia" w:ascii="仿宋_GB2312" w:hAnsi="仿宋_GB2312" w:eastAsia="仿宋_GB2312" w:cs="仿宋_GB2312"/>
          <w:kern w:val="0"/>
          <w:sz w:val="32"/>
          <w:szCs w:val="32"/>
        </w:rPr>
        <w:t>某</w:t>
      </w:r>
      <w:bookmarkEnd w:id="3"/>
      <w:bookmarkEnd w:id="4"/>
      <w:r>
        <w:rPr>
          <w:rFonts w:hint="eastAsia" w:ascii="仿宋_GB2312" w:hAnsi="仿宋_GB2312" w:eastAsia="仿宋_GB2312" w:cs="仿宋_GB2312"/>
          <w:kern w:val="0"/>
          <w:sz w:val="32"/>
          <w:szCs w:val="32"/>
        </w:rPr>
        <w:t>、朱玉某，杨应某，付焰某），临时工1人（赵某），其中朱玉某、杨应某为镗工，麻洪某为钳工，付焰某、赵某为车工。</w:t>
      </w:r>
    </w:p>
    <w:p w14:paraId="32AAE1A7">
      <w:pPr>
        <w:adjustRightInd w:val="0"/>
        <w:snapToGrid w:val="0"/>
        <w:spacing w:line="560" w:lineRule="exact"/>
        <w:ind w:firstLine="643" w:firstLineChars="200"/>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2.公司安全管理情况</w:t>
      </w:r>
    </w:p>
    <w:p w14:paraId="71D7B241">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马友</w:t>
      </w:r>
      <w:r>
        <w:rPr>
          <w:rFonts w:hint="eastAsia" w:ascii="仿宋_GB2312" w:hAnsi="仿宋_GB2312" w:cs="仿宋_GB2312" w:eastAsiaTheme="minorEastAsia"/>
          <w:kern w:val="0"/>
          <w:sz w:val="32"/>
          <w:szCs w:val="32"/>
        </w:rPr>
        <w:t>某</w:t>
      </w:r>
      <w:r>
        <w:rPr>
          <w:rFonts w:hint="eastAsia" w:ascii="仿宋_GB2312" w:hAnsi="仿宋_GB2312" w:eastAsia="仿宋_GB2312" w:cs="仿宋_GB2312"/>
          <w:kern w:val="0"/>
          <w:sz w:val="32"/>
          <w:szCs w:val="32"/>
        </w:rPr>
        <w:t>口头任命朱玉龙负责现场调度和安全管理。公司除制定了《行车安全操作规程》《镗床安全操作规程》外，无任何安全生产相关资料，未对作业人员开展相关教育培训。</w:t>
      </w:r>
    </w:p>
    <w:p w14:paraId="06D78FF6">
      <w:pPr>
        <w:spacing w:line="560" w:lineRule="exact"/>
        <w:ind w:firstLine="482" w:firstLineChars="150"/>
        <w:rPr>
          <w:rFonts w:ascii="楷体_GB2312" w:hAnsi="楷体_GB2312" w:eastAsia="楷体_GB2312" w:cs="楷体_GB2312"/>
          <w:b/>
          <w:kern w:val="0"/>
          <w:sz w:val="32"/>
          <w:szCs w:val="32"/>
        </w:rPr>
      </w:pPr>
      <w:r>
        <w:rPr>
          <w:rFonts w:hint="eastAsia" w:ascii="楷体_GB2312" w:hAnsi="楷体_GB2312" w:eastAsia="楷体_GB2312" w:cs="楷体_GB2312"/>
          <w:b/>
          <w:kern w:val="0"/>
          <w:sz w:val="32"/>
          <w:szCs w:val="32"/>
        </w:rPr>
        <w:t>（二）湖南鼎珩智能机械有限公司基本情况</w:t>
      </w:r>
    </w:p>
    <w:p w14:paraId="574491A8">
      <w:pPr>
        <w:autoSpaceDE w:val="0"/>
        <w:autoSpaceDN w:val="0"/>
        <w:adjustRightInd w:val="0"/>
        <w:spacing w:line="560" w:lineRule="exact"/>
        <w:ind w:firstLine="643"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1. 湖南鼎珩智能机械有限公司概况</w:t>
      </w:r>
    </w:p>
    <w:p w14:paraId="4611A359">
      <w:pPr>
        <w:autoSpaceDE w:val="0"/>
        <w:autoSpaceDN w:val="0"/>
        <w:adjustRightIn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湖南鼎珩智能机械有限公司（以下简称鼎珩公司）成立于2010年9月20日，系有限责任公司，法定代表人梁楚</w:t>
      </w:r>
      <w:r>
        <w:rPr>
          <w:rFonts w:hint="eastAsia" w:ascii="仿宋_GB2312" w:hAnsi="仿宋_GB2312" w:cs="仿宋_GB2312" w:eastAsiaTheme="minorEastAsia"/>
          <w:kern w:val="0"/>
          <w:sz w:val="32"/>
          <w:szCs w:val="32"/>
        </w:rPr>
        <w:t>某</w:t>
      </w:r>
      <w:r>
        <w:rPr>
          <w:rFonts w:hint="eastAsia" w:ascii="仿宋_GB2312" w:hAnsi="仿宋_GB2312" w:eastAsia="仿宋_GB2312" w:cs="仿宋_GB2312"/>
          <w:kern w:val="0"/>
          <w:sz w:val="32"/>
          <w:szCs w:val="32"/>
        </w:rPr>
        <w:t>，实际负责人为梁艳</w:t>
      </w:r>
      <w:r>
        <w:rPr>
          <w:rFonts w:hint="eastAsia" w:ascii="仿宋_GB2312" w:hAnsi="仿宋_GB2312" w:cs="仿宋_GB2312" w:eastAsiaTheme="minorEastAsia"/>
          <w:kern w:val="0"/>
          <w:sz w:val="32"/>
          <w:szCs w:val="32"/>
        </w:rPr>
        <w:t>某</w:t>
      </w:r>
      <w:r>
        <w:rPr>
          <w:rFonts w:hint="eastAsia" w:ascii="仿宋_GB2312" w:hAnsi="仿宋_GB2312" w:eastAsia="仿宋_GB2312" w:cs="仿宋_GB2312"/>
          <w:kern w:val="0"/>
          <w:sz w:val="32"/>
          <w:szCs w:val="32"/>
        </w:rPr>
        <w:t>，注册资本贰仟万元整，住所为湘潭县易俗河镇金雀路，经营范围：通用设备、工程机械设备的制造、销售、租赁；汽车、汽车配件、建筑材料销售；房屋及本公司生产设备租赁。</w:t>
      </w:r>
    </w:p>
    <w:p w14:paraId="1D86A601">
      <w:pPr>
        <w:autoSpaceDE w:val="0"/>
        <w:autoSpaceDN w:val="0"/>
        <w:adjustRightInd w:val="0"/>
        <w:spacing w:line="560" w:lineRule="exact"/>
        <w:ind w:firstLine="643"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2.安全管理情况：</w:t>
      </w:r>
    </w:p>
    <w:p w14:paraId="04220E28">
      <w:pPr>
        <w:autoSpaceDE w:val="0"/>
        <w:autoSpaceDN w:val="0"/>
        <w:adjustRightIn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鼎珩公司系兴友德公司生产厂房出租方。鼎珩公司不涉及具体的生产活动，主要租赁厂房给生产经营单位。</w:t>
      </w:r>
    </w:p>
    <w:p w14:paraId="0360D8BB">
      <w:pPr>
        <w:autoSpaceDE w:val="0"/>
        <w:autoSpaceDN w:val="0"/>
        <w:adjustRightInd w:val="0"/>
        <w:spacing w:line="560" w:lineRule="exact"/>
        <w:ind w:firstLine="640" w:firstLineChars="200"/>
        <w:rPr>
          <w:rFonts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鼎珩公司每年年初召开一次租赁方负责人的安全会议，建立微信工作群，传达上级和相关部门的文件工作要求及安全生产注意事项。梁艳湘在对租赁企业的管理中，不定期开展了巡查，排查了起重机吊钩的防脱装置、员工防护用品佩戴、电动自行车的安全管理等隐患，并督促落实整改。</w:t>
      </w:r>
    </w:p>
    <w:p w14:paraId="7BAD5224">
      <w:pPr>
        <w:widowControl/>
        <w:spacing w:line="560" w:lineRule="exact"/>
        <w:ind w:firstLine="482" w:firstLineChars="15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3.合同签订情况</w:t>
      </w:r>
    </w:p>
    <w:p w14:paraId="55B4F8F9">
      <w:pPr>
        <w:adjustRightInd w:val="0"/>
        <w:snapToGrid w:val="0"/>
        <w:spacing w:line="560" w:lineRule="exact"/>
        <w:ind w:firstLine="640" w:firstLineChars="200"/>
        <w:rPr>
          <w:rFonts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2024年3月兴友德公司与湖南鼎珩智能机械有限公司签订租赁协议从事生产经营活动，租赁厂房面积为200平方米，主要从事机械加工。2024年7月22日签订安全生产管理协议书</w:t>
      </w:r>
      <w:r>
        <w:rPr>
          <w:rFonts w:hint="eastAsia" w:ascii="仿宋_GB2312" w:hAnsi="仿宋_GB2312" w:eastAsia="仿宋_GB2312" w:cs="仿宋_GB2312"/>
          <w:color w:val="FF0000"/>
          <w:kern w:val="0"/>
          <w:sz w:val="32"/>
          <w:szCs w:val="32"/>
        </w:rPr>
        <w:t>。</w:t>
      </w:r>
    </w:p>
    <w:p w14:paraId="336988B3">
      <w:pPr>
        <w:spacing w:line="560" w:lineRule="exact"/>
        <w:ind w:firstLine="482" w:firstLineChars="150"/>
        <w:rPr>
          <w:rFonts w:ascii="楷体_GB2312" w:hAnsi="楷体_GB2312" w:eastAsia="楷体_GB2312" w:cs="楷体_GB2312"/>
          <w:b/>
          <w:kern w:val="0"/>
          <w:sz w:val="32"/>
          <w:szCs w:val="32"/>
        </w:rPr>
      </w:pPr>
      <w:r>
        <w:rPr>
          <w:rFonts w:hint="eastAsia" w:ascii="楷体_GB2312" w:hAnsi="楷体_GB2312" w:eastAsia="楷体_GB2312" w:cs="楷体_GB2312"/>
          <w:b/>
          <w:kern w:val="0"/>
          <w:sz w:val="32"/>
          <w:szCs w:val="32"/>
        </w:rPr>
        <w:t>（三）事故设备有关情况</w:t>
      </w:r>
    </w:p>
    <w:p w14:paraId="0AD1BCDF">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1.桥式起重机（地面操作）</w:t>
      </w:r>
    </w:p>
    <w:p w14:paraId="4578D8C2">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桥式起重机出厂日期为为2023年3月31日，型号为LD2-22.5A3。（载重为两吨）</w:t>
      </w:r>
    </w:p>
    <w:p w14:paraId="6B5B6845">
      <w:pPr>
        <w:adjustRightInd w:val="0"/>
        <w:snapToGrid w:val="0"/>
        <w:spacing w:line="560" w:lineRule="exact"/>
        <w:ind w:firstLine="640" w:firstLineChars="200"/>
        <w:rPr>
          <w:rFonts w:ascii="仿宋_GB2312" w:hAnsi="仿宋_GB2312" w:eastAsia="仿宋_GB2312" w:cs="仿宋_GB2312"/>
          <w:color w:val="FF0000"/>
          <w:kern w:val="0"/>
          <w:sz w:val="32"/>
          <w:szCs w:val="32"/>
        </w:rPr>
      </w:pPr>
      <w:bookmarkStart w:id="5" w:name="_Toc4424"/>
      <w:r>
        <w:rPr>
          <w:rFonts w:hint="eastAsia" w:ascii="仿宋_GB2312" w:hAnsi="仿宋_GB2312" w:eastAsia="仿宋_GB2312" w:cs="仿宋_GB2312"/>
          <w:kern w:val="0"/>
          <w:sz w:val="32"/>
          <w:szCs w:val="32"/>
        </w:rPr>
        <w:t>2.高低温垫底座基本情况</w:t>
      </w:r>
    </w:p>
    <w:p w14:paraId="2A2FF6F8">
      <w:pPr>
        <w:adjustRightInd w:val="0"/>
        <w:snapToGrid w:val="0"/>
        <w:spacing w:line="560" w:lineRule="exact"/>
        <w:ind w:firstLine="640" w:firstLineChars="200"/>
        <w:rPr>
          <w:rFonts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由6块35mm厚的小钢板拼焊而成，长1.8m，宽960mm,长高445.8mm，短高300mm左右，长方形焊接产品，产品重量674.6公斤。</w:t>
      </w:r>
    </w:p>
    <w:p w14:paraId="33EE78C6">
      <w:pPr>
        <w:adjustRightInd w:val="0"/>
        <w:snapToGrid w:val="0"/>
        <w:jc w:val="center"/>
        <w:rPr>
          <w:rFonts w:ascii="Times New Roman" w:hAnsi="Times New Roman" w:eastAsia="仿宋_GB2312" w:cs="仿宋_GB2312"/>
          <w:color w:val="FF0000"/>
          <w:kern w:val="0"/>
          <w:sz w:val="32"/>
          <w:szCs w:val="32"/>
        </w:rPr>
      </w:pPr>
      <w:r>
        <w:rPr>
          <w:rFonts w:hint="eastAsia" w:ascii="Times New Roman" w:hAnsi="Times New Roman" w:eastAsia="仿宋_GB2312" w:cs="仿宋_GB2312"/>
          <w:color w:val="FF0000"/>
          <w:kern w:val="0"/>
          <w:sz w:val="32"/>
          <w:szCs w:val="32"/>
        </w:rPr>
        <w:drawing>
          <wp:inline distT="0" distB="0" distL="114300" distR="114300">
            <wp:extent cx="5013960" cy="1851660"/>
            <wp:effectExtent l="0" t="0" r="0" b="7620"/>
            <wp:docPr id="7" name="图片 7" descr="41ab79c1fa1b262341446d9c4c1b2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41ab79c1fa1b262341446d9c4c1b2bd"/>
                    <pic:cNvPicPr>
                      <a:picLocks noChangeAspect="1"/>
                    </pic:cNvPicPr>
                  </pic:nvPicPr>
                  <pic:blipFill>
                    <a:blip r:embed="rId5" cstate="print"/>
                    <a:stretch>
                      <a:fillRect/>
                    </a:stretch>
                  </pic:blipFill>
                  <pic:spPr>
                    <a:xfrm>
                      <a:off x="0" y="0"/>
                      <a:ext cx="5013960" cy="1851660"/>
                    </a:xfrm>
                    <a:prstGeom prst="rect">
                      <a:avLst/>
                    </a:prstGeom>
                  </pic:spPr>
                </pic:pic>
              </a:graphicData>
            </a:graphic>
          </wp:inline>
        </w:drawing>
      </w:r>
    </w:p>
    <w:p w14:paraId="7603AD35">
      <w:pPr>
        <w:spacing w:line="560" w:lineRule="exact"/>
        <w:ind w:firstLine="482" w:firstLineChars="150"/>
        <w:rPr>
          <w:rFonts w:ascii="楷体_GB2312" w:hAnsi="楷体_GB2312" w:eastAsia="楷体_GB2312" w:cs="楷体_GB2312"/>
          <w:b/>
          <w:kern w:val="0"/>
          <w:sz w:val="32"/>
          <w:szCs w:val="32"/>
        </w:rPr>
      </w:pPr>
      <w:r>
        <w:rPr>
          <w:rFonts w:hint="eastAsia" w:ascii="楷体_GB2312" w:hAnsi="楷体_GB2312" w:eastAsia="楷体_GB2312" w:cs="楷体_GB2312"/>
          <w:b/>
          <w:kern w:val="0"/>
          <w:sz w:val="32"/>
          <w:szCs w:val="32"/>
        </w:rPr>
        <w:t>（四）死者的基本情况</w:t>
      </w:r>
    </w:p>
    <w:p w14:paraId="26453B13">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朱玉</w:t>
      </w:r>
      <w:r>
        <w:rPr>
          <w:rFonts w:hint="eastAsia" w:ascii="仿宋_GB2312" w:hAnsi="仿宋_GB2312" w:cs="仿宋_GB2312" w:eastAsiaTheme="minorEastAsia"/>
          <w:sz w:val="32"/>
          <w:szCs w:val="32"/>
        </w:rPr>
        <w:t>某</w:t>
      </w:r>
      <w:r>
        <w:rPr>
          <w:rFonts w:hint="eastAsia" w:ascii="仿宋_GB2312" w:hAnsi="仿宋_GB2312" w:eastAsia="仿宋_GB2312" w:cs="仿宋_GB2312"/>
          <w:sz w:val="32"/>
          <w:szCs w:val="32"/>
        </w:rPr>
        <w:t>，男，39岁，身份证号码430381198502283</w:t>
      </w:r>
      <w:r>
        <w:rPr>
          <w:rFonts w:hint="eastAsia" w:ascii="仿宋_GB2312" w:hAnsi="仿宋_GB2312" w:cs="仿宋_GB2312" w:eastAsiaTheme="minorEastAsia"/>
          <w:sz w:val="32"/>
          <w:szCs w:val="32"/>
        </w:rPr>
        <w:t>***</w:t>
      </w:r>
      <w:r>
        <w:rPr>
          <w:rFonts w:hint="eastAsia" w:ascii="仿宋_GB2312" w:hAnsi="仿宋_GB2312" w:eastAsia="仿宋_GB2312" w:cs="仿宋_GB2312"/>
          <w:sz w:val="32"/>
          <w:szCs w:val="32"/>
        </w:rPr>
        <w:t>，户籍住址：湘乡市梅桥镇汇丰村第三村民组</w:t>
      </w:r>
      <w:r>
        <w:rPr>
          <w:rFonts w:hint="eastAsia" w:ascii="仿宋_GB2312" w:hAnsi="仿宋_GB2312" w:eastAsia="仿宋_GB2312" w:cs="仿宋_GB2312"/>
          <w:kern w:val="0"/>
          <w:sz w:val="32"/>
          <w:szCs w:val="32"/>
        </w:rPr>
        <w:t>。</w:t>
      </w:r>
    </w:p>
    <w:bookmarkEnd w:id="5"/>
    <w:p w14:paraId="1FDDDC12">
      <w:pPr>
        <w:spacing w:line="560" w:lineRule="exact"/>
        <w:ind w:firstLine="640" w:firstLineChars="200"/>
        <w:rPr>
          <w:rFonts w:ascii="黑体" w:hAnsi="黑体" w:eastAsia="黑体" w:cs="黑体"/>
          <w:bCs/>
          <w:sz w:val="32"/>
          <w:szCs w:val="32"/>
        </w:rPr>
      </w:pPr>
      <w:bookmarkStart w:id="6" w:name="_Toc16091"/>
      <w:r>
        <w:rPr>
          <w:rFonts w:hint="eastAsia" w:ascii="黑体" w:hAnsi="黑体" w:eastAsia="黑体" w:cs="黑体"/>
          <w:bCs/>
          <w:sz w:val="32"/>
          <w:szCs w:val="32"/>
        </w:rPr>
        <w:t>二、事故发生经过及应急处置情况</w:t>
      </w:r>
      <w:bookmarkEnd w:id="6"/>
    </w:p>
    <w:p w14:paraId="4E000F51">
      <w:pPr>
        <w:spacing w:line="560" w:lineRule="exact"/>
        <w:ind w:firstLine="482" w:firstLineChars="150"/>
        <w:rPr>
          <w:rFonts w:ascii="楷体_GB2312" w:hAnsi="楷体_GB2312" w:eastAsia="楷体_GB2312" w:cs="楷体_GB2312"/>
          <w:b/>
          <w:kern w:val="0"/>
          <w:sz w:val="32"/>
          <w:szCs w:val="32"/>
        </w:rPr>
      </w:pPr>
      <w:bookmarkStart w:id="7" w:name="br10"/>
      <w:bookmarkEnd w:id="7"/>
      <w:bookmarkStart w:id="8" w:name="br9"/>
      <w:bookmarkEnd w:id="8"/>
      <w:bookmarkStart w:id="9" w:name="_Toc15649"/>
      <w:r>
        <w:rPr>
          <w:rFonts w:hint="eastAsia" w:ascii="楷体_GB2312" w:hAnsi="楷体_GB2312" w:eastAsia="楷体_GB2312" w:cs="楷体_GB2312"/>
          <w:b/>
          <w:kern w:val="0"/>
          <w:sz w:val="32"/>
          <w:szCs w:val="32"/>
        </w:rPr>
        <w:t>（一）事故</w:t>
      </w:r>
      <w:bookmarkEnd w:id="9"/>
      <w:r>
        <w:rPr>
          <w:rFonts w:hint="eastAsia" w:ascii="楷体_GB2312" w:hAnsi="楷体_GB2312" w:eastAsia="楷体_GB2312" w:cs="楷体_GB2312"/>
          <w:b/>
          <w:kern w:val="0"/>
          <w:sz w:val="32"/>
          <w:szCs w:val="32"/>
        </w:rPr>
        <w:t>发生经过</w:t>
      </w:r>
    </w:p>
    <w:p w14:paraId="1B215830">
      <w:pPr>
        <w:adjustRightInd w:val="0"/>
        <w:snapToGrid w:val="0"/>
        <w:spacing w:line="560" w:lineRule="exact"/>
        <w:ind w:firstLine="640" w:firstLineChars="200"/>
        <w:rPr>
          <w:rFonts w:ascii="仿宋_GB2312" w:hAnsi="仿宋_GB2312" w:eastAsia="仿宋_GB2312" w:cs="仿宋_GB2312"/>
          <w:kern w:val="0"/>
          <w:sz w:val="32"/>
          <w:szCs w:val="32"/>
        </w:rPr>
      </w:pPr>
      <w:bookmarkStart w:id="10" w:name="_Toc19588"/>
      <w:r>
        <w:rPr>
          <w:rFonts w:hint="eastAsia" w:ascii="仿宋_GB2312" w:hAnsi="仿宋_GB2312" w:eastAsia="仿宋_GB2312" w:cs="仿宋_GB2312"/>
          <w:kern w:val="0"/>
          <w:sz w:val="32"/>
          <w:szCs w:val="32"/>
        </w:rPr>
        <w:t>2024年12月1日8时许，朱玉</w:t>
      </w:r>
      <w:r>
        <w:rPr>
          <w:rFonts w:hint="eastAsia" w:ascii="仿宋_GB2312" w:hAnsi="仿宋_GB2312" w:cs="仿宋_GB2312" w:eastAsiaTheme="minorEastAsia"/>
          <w:kern w:val="0"/>
          <w:sz w:val="32"/>
          <w:szCs w:val="32"/>
        </w:rPr>
        <w:t>某</w:t>
      </w:r>
      <w:r>
        <w:rPr>
          <w:rFonts w:hint="eastAsia" w:ascii="仿宋_GB2312" w:hAnsi="仿宋_GB2312" w:eastAsia="仿宋_GB2312" w:cs="仿宋_GB2312"/>
          <w:kern w:val="0"/>
          <w:sz w:val="32"/>
          <w:szCs w:val="32"/>
        </w:rPr>
        <w:t>在厂房西侧靠近门口处镗床台与主轴箱中间位置（面朝镗床工作台，背朝主轴箱）独自进行吊装作业，将一件高低温垫底座吊装放置于镗床工作台上，朱玉某在准备</w:t>
      </w:r>
      <w:r>
        <w:rPr>
          <w:rFonts w:hint="eastAsia" w:ascii="仿宋_GB2312" w:hAnsi="仿宋_GB2312" w:eastAsia="仿宋_GB2312" w:cs="仿宋_GB2312"/>
          <w:sz w:val="32"/>
          <w:szCs w:val="32"/>
        </w:rPr>
        <w:t>将吊钩取下，移动行车时，吊钩触碰</w:t>
      </w:r>
      <w:r>
        <w:rPr>
          <w:rFonts w:hint="eastAsia" w:ascii="仿宋_GB2312" w:hAnsi="仿宋_GB2312" w:eastAsia="仿宋_GB2312" w:cs="仿宋_GB2312"/>
          <w:kern w:val="0"/>
          <w:sz w:val="32"/>
          <w:szCs w:val="32"/>
        </w:rPr>
        <w:t>高低温垫底座</w:t>
      </w:r>
      <w:r>
        <w:rPr>
          <w:rFonts w:hint="eastAsia" w:ascii="仿宋_GB2312" w:hAnsi="仿宋_GB2312" w:eastAsia="仿宋_GB2312" w:cs="仿宋_GB2312"/>
          <w:sz w:val="32"/>
          <w:szCs w:val="32"/>
        </w:rPr>
        <w:t>一端引发倾倒并将自己挤压在镗床的主轴箱上。</w:t>
      </w:r>
      <w:r>
        <w:rPr>
          <w:rFonts w:hint="eastAsia" w:ascii="仿宋_GB2312" w:hAnsi="仿宋_GB2312" w:eastAsia="仿宋_GB2312" w:cs="仿宋_GB2312"/>
          <w:kern w:val="0"/>
          <w:sz w:val="32"/>
          <w:szCs w:val="32"/>
        </w:rPr>
        <w:t>周边作业人员麻红某、杨应某、赵某发现后，合力将高低温垫底座移开，朱玉某走到一旁休息三分钟后，脸色苍白，随后三人将其送至湘潭县人民医院抢救。</w:t>
      </w:r>
    </w:p>
    <w:p w14:paraId="66ECBD1E">
      <w:pPr>
        <w:adjustRightInd w:val="0"/>
        <w:snapToGrid w:val="0"/>
        <w:jc w:val="center"/>
        <w:rPr>
          <w:rFonts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drawing>
          <wp:inline distT="0" distB="0" distL="114300" distR="114300">
            <wp:extent cx="2392680" cy="1483995"/>
            <wp:effectExtent l="19050" t="0" r="7497" b="0"/>
            <wp:docPr id="6" name="图片 6" descr="1741848855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741848855728"/>
                    <pic:cNvPicPr>
                      <a:picLocks noChangeAspect="1"/>
                    </pic:cNvPicPr>
                  </pic:nvPicPr>
                  <pic:blipFill>
                    <a:blip r:embed="rId6" cstate="print"/>
                    <a:stretch>
                      <a:fillRect/>
                    </a:stretch>
                  </pic:blipFill>
                  <pic:spPr>
                    <a:xfrm>
                      <a:off x="0" y="0"/>
                      <a:ext cx="2392292" cy="1483877"/>
                    </a:xfrm>
                    <a:prstGeom prst="rect">
                      <a:avLst/>
                    </a:prstGeom>
                  </pic:spPr>
                </pic:pic>
              </a:graphicData>
            </a:graphic>
          </wp:inline>
        </w:drawing>
      </w:r>
      <w:r>
        <w:rPr>
          <w:rFonts w:ascii="Times New Roman" w:hAnsi="Times New Roman" w:eastAsia="仿宋_GB2312" w:cs="仿宋_GB2312"/>
          <w:kern w:val="0"/>
          <w:sz w:val="32"/>
          <w:szCs w:val="32"/>
        </w:rPr>
        <w:drawing>
          <wp:inline distT="0" distB="0" distL="114300" distR="114300">
            <wp:extent cx="1976755" cy="1482090"/>
            <wp:effectExtent l="19050" t="0" r="4445" b="0"/>
            <wp:docPr id="4" name="图片 5" descr="560f7658e38d5380c1ae5d7313c4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560f7658e38d5380c1ae5d7313c4d17"/>
                    <pic:cNvPicPr>
                      <a:picLocks noChangeAspect="1"/>
                    </pic:cNvPicPr>
                  </pic:nvPicPr>
                  <pic:blipFill>
                    <a:blip r:embed="rId7" cstate="print"/>
                    <a:stretch>
                      <a:fillRect/>
                    </a:stretch>
                  </pic:blipFill>
                  <pic:spPr>
                    <a:xfrm>
                      <a:off x="0" y="0"/>
                      <a:ext cx="1975489" cy="1481684"/>
                    </a:xfrm>
                    <a:prstGeom prst="rect">
                      <a:avLst/>
                    </a:prstGeom>
                  </pic:spPr>
                </pic:pic>
              </a:graphicData>
            </a:graphic>
          </wp:inline>
        </w:drawing>
      </w:r>
    </w:p>
    <w:p w14:paraId="1FDC81A8">
      <w:pPr>
        <w:spacing w:line="560" w:lineRule="exact"/>
        <w:ind w:firstLine="482" w:firstLineChars="150"/>
        <w:rPr>
          <w:rFonts w:ascii="楷体_GB2312" w:hAnsi="楷体_GB2312" w:eastAsia="楷体_GB2312" w:cs="楷体_GB2312"/>
          <w:b/>
          <w:kern w:val="0"/>
          <w:sz w:val="32"/>
          <w:szCs w:val="32"/>
        </w:rPr>
      </w:pPr>
      <w:r>
        <w:rPr>
          <w:rFonts w:hint="eastAsia" w:ascii="楷体_GB2312" w:hAnsi="楷体_GB2312" w:eastAsia="楷体_GB2312" w:cs="楷体_GB2312"/>
          <w:b/>
          <w:kern w:val="0"/>
          <w:sz w:val="32"/>
          <w:szCs w:val="32"/>
        </w:rPr>
        <w:t>（二）</w:t>
      </w:r>
      <w:bookmarkEnd w:id="10"/>
      <w:r>
        <w:rPr>
          <w:rFonts w:hint="eastAsia" w:ascii="楷体_GB2312" w:hAnsi="楷体_GB2312" w:eastAsia="楷体_GB2312" w:cs="楷体_GB2312"/>
          <w:b/>
          <w:kern w:val="0"/>
          <w:sz w:val="32"/>
          <w:szCs w:val="32"/>
        </w:rPr>
        <w:t>应急处置情况</w:t>
      </w:r>
    </w:p>
    <w:p w14:paraId="390CEF0D">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事故发生后， 8时4分许，杨应某2次拨打马友某电话告知其事故情况。马友</w:t>
      </w:r>
      <w:r>
        <w:rPr>
          <w:rFonts w:hint="eastAsia" w:ascii="仿宋_GB2312" w:hAnsi="仿宋_GB2312" w:cs="仿宋_GB2312" w:eastAsiaTheme="minorEastAsia"/>
          <w:kern w:val="0"/>
          <w:sz w:val="32"/>
          <w:szCs w:val="32"/>
        </w:rPr>
        <w:t>某</w:t>
      </w:r>
      <w:r>
        <w:rPr>
          <w:rFonts w:hint="eastAsia" w:ascii="仿宋_GB2312" w:hAnsi="仿宋_GB2312" w:eastAsia="仿宋_GB2312" w:cs="仿宋_GB2312"/>
          <w:kern w:val="0"/>
          <w:sz w:val="32"/>
          <w:szCs w:val="32"/>
        </w:rPr>
        <w:t>电话要求杨应</w:t>
      </w:r>
      <w:r>
        <w:rPr>
          <w:rFonts w:hint="eastAsia" w:ascii="仿宋_GB2312" w:hAnsi="仿宋_GB2312" w:cs="仿宋_GB2312" w:eastAsiaTheme="minorEastAsia"/>
          <w:kern w:val="0"/>
          <w:sz w:val="32"/>
          <w:szCs w:val="32"/>
        </w:rPr>
        <w:t>某</w:t>
      </w:r>
      <w:r>
        <w:rPr>
          <w:rFonts w:hint="eastAsia" w:ascii="仿宋_GB2312" w:hAnsi="仿宋_GB2312" w:eastAsia="仿宋_GB2312" w:cs="仿宋_GB2312"/>
          <w:kern w:val="0"/>
          <w:sz w:val="32"/>
          <w:szCs w:val="32"/>
        </w:rPr>
        <w:t>安排人员将朱玉</w:t>
      </w:r>
      <w:r>
        <w:rPr>
          <w:rFonts w:hint="eastAsia" w:ascii="仿宋_GB2312" w:hAnsi="仿宋_GB2312" w:cs="仿宋_GB2312" w:eastAsiaTheme="minorEastAsia"/>
          <w:kern w:val="0"/>
          <w:sz w:val="32"/>
          <w:szCs w:val="32"/>
        </w:rPr>
        <w:t>某</w:t>
      </w:r>
      <w:r>
        <w:rPr>
          <w:rFonts w:hint="eastAsia" w:ascii="仿宋_GB2312" w:hAnsi="仿宋_GB2312" w:eastAsia="仿宋_GB2312" w:cs="仿宋_GB2312"/>
          <w:kern w:val="0"/>
          <w:sz w:val="32"/>
          <w:szCs w:val="32"/>
        </w:rPr>
        <w:t>送至湘潭县人民医院进行救治。13时许，伤者因伤情不稳定被送往湘潭市中心医院进一步抢救，</w:t>
      </w:r>
      <w:bookmarkStart w:id="11" w:name="_Toc25127"/>
      <w:r>
        <w:rPr>
          <w:rFonts w:hint="eastAsia" w:ascii="仿宋_GB2312" w:hAnsi="仿宋_GB2312" w:eastAsia="仿宋_GB2312" w:cs="仿宋_GB2312"/>
          <w:kern w:val="0"/>
          <w:sz w:val="32"/>
          <w:szCs w:val="32"/>
        </w:rPr>
        <w:t>朱玉</w:t>
      </w:r>
      <w:r>
        <w:rPr>
          <w:rFonts w:hint="eastAsia" w:ascii="仿宋_GB2312" w:hAnsi="仿宋_GB2312" w:cs="仿宋_GB2312" w:eastAsiaTheme="minorEastAsia"/>
          <w:kern w:val="0"/>
          <w:sz w:val="32"/>
          <w:szCs w:val="32"/>
        </w:rPr>
        <w:t>某</w:t>
      </w:r>
      <w:r>
        <w:rPr>
          <w:rFonts w:hint="eastAsia" w:ascii="仿宋_GB2312" w:hAnsi="仿宋_GB2312" w:eastAsia="仿宋_GB2312" w:cs="仿宋_GB2312"/>
          <w:kern w:val="0"/>
          <w:sz w:val="32"/>
          <w:szCs w:val="32"/>
        </w:rPr>
        <w:t>因伤势过重经抢救无效于12月2日1时50分死亡。</w:t>
      </w:r>
    </w:p>
    <w:p w14:paraId="218D2E61">
      <w:pPr>
        <w:spacing w:line="560" w:lineRule="exact"/>
        <w:ind w:firstLine="482" w:firstLineChars="150"/>
        <w:rPr>
          <w:rFonts w:ascii="楷体_GB2312" w:hAnsi="楷体_GB2312" w:eastAsia="楷体_GB2312" w:cs="楷体_GB2312"/>
          <w:b/>
          <w:kern w:val="0"/>
          <w:sz w:val="32"/>
          <w:szCs w:val="32"/>
        </w:rPr>
      </w:pPr>
      <w:r>
        <w:rPr>
          <w:rFonts w:hint="eastAsia" w:ascii="楷体_GB2312" w:hAnsi="楷体_GB2312" w:eastAsia="楷体_GB2312" w:cs="楷体_GB2312"/>
          <w:b/>
          <w:kern w:val="0"/>
          <w:sz w:val="32"/>
          <w:szCs w:val="32"/>
        </w:rPr>
        <w:t>（三）事故信息接报及响应情况</w:t>
      </w:r>
    </w:p>
    <w:p w14:paraId="5D4FEB64">
      <w:pPr>
        <w:adjustRightInd w:val="0"/>
        <w:snapToGrid w:val="0"/>
        <w:spacing w:line="560" w:lineRule="exact"/>
        <w:ind w:firstLine="643"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 xml:space="preserve"> 9时9分许，</w:t>
      </w:r>
      <w:r>
        <w:rPr>
          <w:rFonts w:hint="eastAsia" w:ascii="仿宋_GB2312" w:hAnsi="仿宋_GB2312" w:eastAsia="仿宋_GB2312" w:cs="仿宋_GB2312"/>
          <w:kern w:val="0"/>
          <w:sz w:val="32"/>
          <w:szCs w:val="32"/>
        </w:rPr>
        <w:t>甘智某拨打110报警电话，湘潭县公安局指挥中心立即将情况报送县委办，县委办接情况后通报给湘潭县应急管理局指挥</w:t>
      </w:r>
      <w:r>
        <w:rPr>
          <w:rFonts w:hint="eastAsia" w:ascii="仿宋_GB2312" w:hAnsi="仿宋_GB2312" w:eastAsia="仿宋_GB2312" w:cs="仿宋_GB2312"/>
          <w:color w:val="000000" w:themeColor="text1"/>
          <w:sz w:val="32"/>
          <w:szCs w:val="32"/>
        </w:rPr>
        <w:t>中心。湘潭县应急管理部门及天易经开区产业发展局相关人员前往事故现场开展调查。</w:t>
      </w:r>
    </w:p>
    <w:p w14:paraId="7602D69F">
      <w:pPr>
        <w:spacing w:line="560" w:lineRule="exact"/>
        <w:ind w:firstLine="482" w:firstLineChars="150"/>
        <w:rPr>
          <w:rFonts w:ascii="楷体_GB2312" w:hAnsi="楷体_GB2312" w:eastAsia="楷体_GB2312" w:cs="楷体_GB2312"/>
          <w:b/>
          <w:kern w:val="0"/>
          <w:sz w:val="32"/>
          <w:szCs w:val="32"/>
        </w:rPr>
      </w:pPr>
      <w:r>
        <w:rPr>
          <w:rFonts w:hint="eastAsia" w:ascii="楷体_GB2312" w:hAnsi="楷体_GB2312" w:eastAsia="楷体_GB2312" w:cs="楷体_GB2312"/>
          <w:b/>
          <w:kern w:val="0"/>
          <w:sz w:val="32"/>
          <w:szCs w:val="32"/>
        </w:rPr>
        <w:t>（四）善后处置情况</w:t>
      </w:r>
    </w:p>
    <w:p w14:paraId="1F5FDFE1">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2024年12月7日，兴友德公司</w:t>
      </w:r>
      <w:r>
        <w:rPr>
          <w:rFonts w:hint="eastAsia" w:ascii="仿宋_GB2312" w:hAnsi="仿宋_GB2312" w:eastAsia="仿宋_GB2312" w:cs="仿宋_GB2312"/>
          <w:spacing w:val="-1"/>
          <w:sz w:val="32"/>
          <w:szCs w:val="32"/>
        </w:rPr>
        <w:t>与朱玉</w:t>
      </w:r>
      <w:r>
        <w:rPr>
          <w:rFonts w:hint="eastAsia" w:ascii="仿宋_GB2312" w:hAnsi="仿宋_GB2312" w:cs="仿宋_GB2312" w:eastAsiaTheme="minorEastAsia"/>
          <w:spacing w:val="-1"/>
          <w:sz w:val="32"/>
          <w:szCs w:val="32"/>
        </w:rPr>
        <w:t>某</w:t>
      </w:r>
      <w:r>
        <w:rPr>
          <w:rFonts w:hint="eastAsia" w:ascii="仿宋_GB2312" w:hAnsi="仿宋_GB2312" w:eastAsia="仿宋_GB2312" w:cs="仿宋_GB2312"/>
          <w:spacing w:val="-1"/>
          <w:sz w:val="32"/>
          <w:szCs w:val="32"/>
        </w:rPr>
        <w:t>家属协商善后事宜，双方达成一致，签订《人民调解协议书</w:t>
      </w:r>
      <w:r>
        <w:rPr>
          <w:rFonts w:hint="eastAsia" w:ascii="仿宋_GB2312" w:hAnsi="仿宋_GB2312" w:eastAsia="仿宋_GB2312" w:cs="仿宋_GB2312"/>
          <w:spacing w:val="1"/>
          <w:sz w:val="32"/>
          <w:szCs w:val="32"/>
        </w:rPr>
        <w:t>》,</w:t>
      </w:r>
      <w:r>
        <w:rPr>
          <w:rFonts w:hint="eastAsia" w:ascii="仿宋_GB2312" w:hAnsi="仿宋_GB2312" w:eastAsia="仿宋_GB2312" w:cs="仿宋_GB2312"/>
          <w:kern w:val="0"/>
          <w:sz w:val="32"/>
          <w:szCs w:val="32"/>
        </w:rPr>
        <w:t>至此善后工作结束。</w:t>
      </w:r>
    </w:p>
    <w:p w14:paraId="28E6CE81">
      <w:pPr>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三、相关部门履职情况</w:t>
      </w:r>
    </w:p>
    <w:p w14:paraId="76545EAC">
      <w:pPr>
        <w:adjustRightInd w:val="0"/>
        <w:snapToGrid w:val="0"/>
        <w:spacing w:line="560" w:lineRule="exact"/>
        <w:ind w:firstLine="643" w:firstLineChars="200"/>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天易经开区履职情况</w:t>
      </w:r>
    </w:p>
    <w:p w14:paraId="4F417166">
      <w:pPr>
        <w:pStyle w:val="6"/>
        <w:widowControl/>
        <w:spacing w:before="0" w:beforeAutospacing="0" w:after="0" w:afterAutospacing="0" w:line="560" w:lineRule="exact"/>
        <w:rPr>
          <w:rFonts w:ascii="楷体_GB2312" w:hAnsi="楷体_GB2312" w:eastAsia="楷体_GB2312" w:cs="楷体_GB2312"/>
          <w:b/>
          <w:bCs/>
          <w:color w:val="000000" w:themeColor="text1"/>
          <w:sz w:val="32"/>
          <w:szCs w:val="32"/>
        </w:rPr>
      </w:pPr>
      <w:r>
        <w:rPr>
          <w:rFonts w:hint="eastAsia" w:ascii="楷体_GB2312" w:hAnsi="楷体_GB2312" w:eastAsia="楷体_GB2312" w:cs="楷体_GB2312"/>
          <w:b/>
          <w:bCs/>
          <w:color w:val="000000" w:themeColor="text1"/>
          <w:sz w:val="32"/>
          <w:szCs w:val="32"/>
        </w:rPr>
        <w:t xml:space="preserve"> 天易经开区对入园企业准入把关不严。</w:t>
      </w:r>
    </w:p>
    <w:p w14:paraId="010F87CA">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兴友德公司自2024年3月搬迁至鼎珩公司厂区以来，天易经开区未落实联合入园审批制度严把“准入关”，致使安全生产管理缺位的兴友德公司在鼎珩公司厂区范围内组织生产经营</w:t>
      </w:r>
      <w:r>
        <w:rPr>
          <w:rFonts w:hint="eastAsia" w:ascii="仿宋_GB2312" w:hAnsi="仿宋_GB2312" w:eastAsia="仿宋_GB2312" w:cs="仿宋_GB2312"/>
          <w:kern w:val="0"/>
          <w:sz w:val="32"/>
          <w:szCs w:val="32"/>
        </w:rPr>
        <w:footnoteReference w:id="0"/>
      </w:r>
      <w:r>
        <w:rPr>
          <w:rFonts w:hint="eastAsia" w:ascii="仿宋_GB2312" w:hAnsi="仿宋_GB2312" w:eastAsia="仿宋_GB2312" w:cs="仿宋_GB2312"/>
          <w:kern w:val="0"/>
          <w:sz w:val="32"/>
          <w:szCs w:val="32"/>
        </w:rPr>
        <w:t>。</w:t>
      </w:r>
    </w:p>
    <w:p w14:paraId="2686FCDC">
      <w:pPr>
        <w:adjustRightInd w:val="0"/>
        <w:snapToGrid w:val="0"/>
        <w:spacing w:line="560" w:lineRule="exact"/>
        <w:ind w:firstLine="643" w:firstLineChars="200"/>
        <w:rPr>
          <w:rFonts w:ascii="仿宋_GB2312" w:hAnsi="仿宋_GB2312" w:eastAsia="仿宋_GB2312" w:cs="仿宋_GB2312"/>
          <w:color w:val="000000" w:themeColor="text1"/>
          <w:sz w:val="32"/>
          <w:szCs w:val="32"/>
        </w:rPr>
      </w:pPr>
      <w:r>
        <w:rPr>
          <w:rFonts w:hint="eastAsia" w:ascii="楷体_GB2312" w:hAnsi="楷体_GB2312" w:eastAsia="楷体_GB2312" w:cs="楷体_GB2312"/>
          <w:b/>
          <w:bCs/>
          <w:color w:val="000000" w:themeColor="text1"/>
          <w:sz w:val="32"/>
          <w:szCs w:val="32"/>
        </w:rPr>
        <w:t>（二）天易经开区产业发展局</w:t>
      </w:r>
      <w:r>
        <w:rPr>
          <w:rFonts w:hint="eastAsia" w:ascii="仿宋_GB2312" w:hAnsi="仿宋_GB2312" w:eastAsia="仿宋_GB2312" w:cs="仿宋_GB2312"/>
          <w:kern w:val="0"/>
          <w:sz w:val="32"/>
          <w:szCs w:val="32"/>
        </w:rPr>
        <w:t>（安全生产监督管理局）推动园区“园中园”“厂中厂”安全生产专项整治工作不细不实。                     2023年5月5日市安委办印发了《湘潭市安全生产委员会办公室关于印发湘潭市“厂中厂”“园中园”安全生产管理规范（试行）</w:t>
      </w:r>
      <w:r>
        <w:rPr>
          <w:rFonts w:hint="eastAsia" w:ascii="仿宋_GB2312" w:hAnsi="仿宋_GB2312" w:eastAsia="仿宋_GB2312" w:cs="仿宋_GB2312"/>
          <w:color w:val="000000" w:themeColor="text1"/>
          <w:sz w:val="32"/>
          <w:szCs w:val="32"/>
        </w:rPr>
        <w:t>的通知》（潭安办函〔2023〕82号），要求在全市范围内按规范标准实施“厂中厂”“园中园”安全生产管理，文件要求该项工作是日常性的、长期性的。天易经开区虽于2023年5月布置开展了专项工作，但专项在2023年7月就结束。2024年3月兴友德公司搬迁至鼎珩公司厂区直至12月1日事发，近9个月的时间内未发现该“厂中厂”存在安全生产隐患问题。天易经开区产业发展局（安全生产监督管理局）作为园区负责企业安全生产监督管理工作的专门机构，</w:t>
      </w:r>
      <w:bookmarkStart w:id="12" w:name="OLE_LINK2"/>
      <w:bookmarkStart w:id="13" w:name="OLE_LINK3"/>
      <w:r>
        <w:rPr>
          <w:rFonts w:hint="eastAsia" w:ascii="仿宋_GB2312" w:hAnsi="仿宋_GB2312" w:eastAsia="仿宋_GB2312" w:cs="仿宋_GB2312"/>
          <w:color w:val="000000" w:themeColor="text1"/>
          <w:sz w:val="32"/>
          <w:szCs w:val="32"/>
        </w:rPr>
        <w:t>对兴友德公司入驻鼎珩公司厂区的情况不知情</w:t>
      </w:r>
      <w:bookmarkEnd w:id="12"/>
      <w:bookmarkEnd w:id="13"/>
      <w:r>
        <w:rPr>
          <w:rFonts w:hint="eastAsia" w:ascii="仿宋_GB2312" w:hAnsi="仿宋_GB2312" w:eastAsia="仿宋_GB2312" w:cs="仿宋_GB2312"/>
          <w:color w:val="000000" w:themeColor="text1"/>
          <w:sz w:val="32"/>
          <w:szCs w:val="32"/>
        </w:rPr>
        <w:t>，组织园区安全管家对鼎珩公司厂区范围内4家入住企业进行安全检查时未发现兴友德公司存在，形成监管盲区。</w:t>
      </w:r>
    </w:p>
    <w:p w14:paraId="7921955D">
      <w:pPr>
        <w:pStyle w:val="6"/>
        <w:widowControl/>
        <w:spacing w:before="0" w:beforeAutospacing="0" w:after="0" w:afterAutospacing="0" w:line="560" w:lineRule="exact"/>
        <w:ind w:firstLine="643" w:firstLineChars="200"/>
        <w:rPr>
          <w:rFonts w:ascii="仿宋_GB2312" w:hAnsi="仿宋_GB2312" w:eastAsia="仿宋_GB2312" w:cs="仿宋_GB2312"/>
          <w:b/>
          <w:bCs/>
          <w:color w:val="000000" w:themeColor="text1"/>
          <w:sz w:val="32"/>
          <w:szCs w:val="32"/>
        </w:rPr>
      </w:pPr>
      <w:r>
        <w:rPr>
          <w:rFonts w:hint="eastAsia" w:ascii="楷体_GB2312" w:hAnsi="楷体_GB2312" w:eastAsia="楷体_GB2312" w:cs="楷体_GB2312"/>
          <w:b/>
          <w:bCs/>
          <w:color w:val="000000" w:themeColor="text1"/>
          <w:sz w:val="32"/>
          <w:szCs w:val="32"/>
        </w:rPr>
        <w:t>（三）联企网格员</w:t>
      </w:r>
      <w:bookmarkStart w:id="14" w:name="OLE_LINK4"/>
      <w:bookmarkStart w:id="15" w:name="OLE_LINK5"/>
      <w:r>
        <w:rPr>
          <w:rFonts w:hint="eastAsia" w:ascii="楷体_GB2312" w:hAnsi="楷体_GB2312" w:eastAsia="楷体_GB2312" w:cs="楷体_GB2312"/>
          <w:b/>
          <w:bCs/>
          <w:color w:val="000000" w:themeColor="text1"/>
          <w:sz w:val="32"/>
          <w:szCs w:val="32"/>
        </w:rPr>
        <w:t>落实联企网格责任不到位。</w:t>
      </w:r>
      <w:bookmarkEnd w:id="14"/>
      <w:bookmarkEnd w:id="15"/>
    </w:p>
    <w:p w14:paraId="789D4D07">
      <w:pPr>
        <w:pStyle w:val="6"/>
        <w:widowControl/>
        <w:spacing w:before="0" w:beforeAutospacing="0" w:after="0" w:afterAutospacing="0" w:line="560" w:lineRule="exact"/>
        <w:ind w:firstLine="640" w:firstLineChars="200"/>
        <w:rPr>
          <w:rFonts w:ascii="仿宋_GB2312" w:hAnsi="仿宋_GB2312" w:eastAsia="仿宋_GB2312" w:cs="仿宋_GB2312"/>
          <w:b/>
          <w:kern w:val="0"/>
          <w:sz w:val="32"/>
          <w:szCs w:val="32"/>
        </w:rPr>
      </w:pPr>
      <w:r>
        <w:rPr>
          <w:rFonts w:hint="eastAsia" w:ascii="仿宋_GB2312" w:hAnsi="仿宋_GB2312" w:eastAsia="仿宋_GB2312" w:cs="仿宋_GB2312"/>
          <w:color w:val="000000" w:themeColor="text1"/>
          <w:sz w:val="32"/>
          <w:szCs w:val="32"/>
        </w:rPr>
        <w:t>2023年10月30日天易经开区管委会办公室印发了《湘潭天易经开区“三员三式”网格化管理实施方案》（潭天易办发〔2023〕8号），其中第三条第二款明确要求网格员“及时掌握和更新网格内各企业的变化情况，并将变化情况汇总后每季度末及时报告领导小组办公室。”经调查发现，兴友德公司所在网格的联企责任人彭艳琴走访网格企业工作不细致，未及时掌握兴友德公司入驻园区相关情况，未及时掌握和更新责任网格内各企业的变化情况并及时上报。</w:t>
      </w:r>
    </w:p>
    <w:p w14:paraId="29C42B24">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kern w:val="0"/>
          <w:sz w:val="32"/>
          <w:szCs w:val="32"/>
        </w:rPr>
        <w:t>四、事故原因分析</w:t>
      </w:r>
      <w:bookmarkEnd w:id="11"/>
    </w:p>
    <w:p w14:paraId="64E94966">
      <w:pPr>
        <w:pStyle w:val="20"/>
        <w:numPr>
          <w:ilvl w:val="0"/>
          <w:numId w:val="1"/>
        </w:numPr>
        <w:adjustRightInd w:val="0"/>
        <w:snapToGrid w:val="0"/>
        <w:spacing w:line="560" w:lineRule="exact"/>
        <w:ind w:firstLineChars="0"/>
        <w:outlineLvl w:val="1"/>
        <w:rPr>
          <w:rFonts w:ascii="楷体_GB2312" w:hAnsi="楷体_GB2312" w:eastAsia="楷体_GB2312" w:cs="楷体_GB2312"/>
          <w:b/>
          <w:bCs/>
          <w:kern w:val="0"/>
          <w:sz w:val="32"/>
          <w:szCs w:val="32"/>
        </w:rPr>
      </w:pPr>
      <w:bookmarkStart w:id="16" w:name="_Toc2662"/>
      <w:r>
        <w:rPr>
          <w:rFonts w:hint="eastAsia" w:ascii="楷体_GB2312" w:hAnsi="楷体_GB2312" w:eastAsia="楷体_GB2312" w:cs="楷体_GB2312"/>
          <w:b/>
          <w:bCs/>
          <w:kern w:val="0"/>
          <w:sz w:val="32"/>
          <w:szCs w:val="32"/>
        </w:rPr>
        <w:t>直接原因</w:t>
      </w:r>
      <w:bookmarkEnd w:id="16"/>
      <w:r>
        <w:rPr>
          <w:rFonts w:hint="eastAsia" w:ascii="楷体_GB2312" w:hAnsi="楷体_GB2312" w:eastAsia="楷体_GB2312" w:cs="楷体_GB2312"/>
          <w:b/>
          <w:bCs/>
          <w:kern w:val="0"/>
          <w:sz w:val="32"/>
          <w:szCs w:val="32"/>
        </w:rPr>
        <w:t>分析</w:t>
      </w:r>
    </w:p>
    <w:p w14:paraId="14EEE310">
      <w:pPr>
        <w:pStyle w:val="20"/>
        <w:adjustRightInd w:val="0"/>
        <w:snapToGrid w:val="0"/>
        <w:spacing w:line="560" w:lineRule="exact"/>
        <w:ind w:left="160" w:firstLine="640"/>
        <w:rPr>
          <w:rFonts w:ascii="仿宋_GB2312" w:hAnsi="仿宋_GB2312" w:eastAsia="仿宋_GB2312" w:cs="仿宋_GB2312"/>
          <w:kern w:val="0"/>
          <w:sz w:val="32"/>
          <w:szCs w:val="32"/>
        </w:rPr>
      </w:pPr>
      <w:bookmarkStart w:id="17" w:name="_Toc8434"/>
      <w:r>
        <w:rPr>
          <w:rFonts w:hint="eastAsia" w:ascii="仿宋_GB2312" w:hAnsi="仿宋_GB2312" w:eastAsia="仿宋_GB2312" w:cs="仿宋_GB2312"/>
          <w:kern w:val="0"/>
          <w:sz w:val="32"/>
          <w:szCs w:val="32"/>
        </w:rPr>
        <w:t>朱玉</w:t>
      </w:r>
      <w:r>
        <w:rPr>
          <w:rFonts w:hint="eastAsia" w:ascii="仿宋_GB2312" w:hAnsi="仿宋_GB2312" w:cs="仿宋_GB2312" w:eastAsiaTheme="minorEastAsia"/>
          <w:kern w:val="0"/>
          <w:sz w:val="32"/>
          <w:szCs w:val="32"/>
        </w:rPr>
        <w:t>某</w:t>
      </w:r>
      <w:r>
        <w:rPr>
          <w:rFonts w:hint="eastAsia" w:ascii="仿宋_GB2312" w:hAnsi="仿宋_GB2312" w:eastAsia="仿宋_GB2312" w:cs="仿宋_GB2312"/>
          <w:kern w:val="0"/>
          <w:sz w:val="32"/>
          <w:szCs w:val="32"/>
        </w:rPr>
        <w:t>站在吊物旁边进行吊装作业，未与被吊物体保持安全距离</w:t>
      </w:r>
      <w:r>
        <w:rPr>
          <w:rStyle w:val="11"/>
          <w:rFonts w:hint="eastAsia" w:ascii="仿宋_GB2312" w:hAnsi="仿宋_GB2312" w:eastAsia="仿宋_GB2312" w:cs="仿宋_GB2312"/>
          <w:sz w:val="32"/>
          <w:szCs w:val="32"/>
        </w:rPr>
        <w:footnoteReference w:id="1"/>
      </w:r>
      <w:r>
        <w:rPr>
          <w:rFonts w:hint="eastAsia" w:ascii="仿宋_GB2312" w:hAnsi="仿宋_GB2312" w:eastAsia="仿宋_GB2312" w:cs="仿宋_GB2312"/>
          <w:kern w:val="0"/>
          <w:sz w:val="32"/>
          <w:szCs w:val="32"/>
        </w:rPr>
        <w:t>，被高低温垫底座压伤致死。</w:t>
      </w:r>
    </w:p>
    <w:p w14:paraId="6650D258">
      <w:pPr>
        <w:pStyle w:val="20"/>
        <w:numPr>
          <w:ilvl w:val="0"/>
          <w:numId w:val="1"/>
        </w:numPr>
        <w:adjustRightInd w:val="0"/>
        <w:snapToGrid w:val="0"/>
        <w:spacing w:line="560" w:lineRule="exact"/>
        <w:ind w:firstLineChars="0"/>
        <w:outlineLvl w:val="1"/>
        <w:rPr>
          <w:rFonts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间接原因</w:t>
      </w:r>
      <w:bookmarkEnd w:id="17"/>
      <w:r>
        <w:rPr>
          <w:rFonts w:hint="eastAsia" w:ascii="楷体_GB2312" w:hAnsi="楷体_GB2312" w:eastAsia="楷体_GB2312" w:cs="楷体_GB2312"/>
          <w:b/>
          <w:bCs/>
          <w:kern w:val="0"/>
          <w:sz w:val="32"/>
          <w:szCs w:val="32"/>
        </w:rPr>
        <w:t>分析</w:t>
      </w:r>
    </w:p>
    <w:p w14:paraId="5275C4CE">
      <w:pPr>
        <w:adjustRightInd w:val="0"/>
        <w:snapToGrid w:val="0"/>
        <w:spacing w:line="560" w:lineRule="exact"/>
        <w:outlineLvl w:val="1"/>
        <w:rPr>
          <w:rFonts w:ascii="仿宋_GB2312" w:hAnsi="仿宋_GB2312" w:eastAsia="仿宋_GB2312" w:cs="仿宋_GB2312"/>
          <w:b/>
          <w:bCs/>
          <w:kern w:val="0"/>
          <w:sz w:val="32"/>
          <w:szCs w:val="32"/>
        </w:rPr>
      </w:pPr>
      <w:r>
        <w:rPr>
          <w:rFonts w:hint="eastAsia" w:ascii="仿宋_GB2312" w:hAnsi="仿宋_GB2312" w:eastAsia="仿宋_GB2312" w:cs="仿宋_GB2312"/>
          <w:b/>
          <w:sz w:val="32"/>
          <w:szCs w:val="32"/>
        </w:rPr>
        <w:t>兴友德公司落实安全生产主体责任存在的问题</w:t>
      </w:r>
    </w:p>
    <w:p w14:paraId="779D9A04">
      <w:pPr>
        <w:adjustRightInd w:val="0"/>
        <w:snapToGrid w:val="0"/>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1.主要负责人履行安全生产职责不到位</w:t>
      </w:r>
      <w:r>
        <w:rPr>
          <w:rStyle w:val="11"/>
          <w:rFonts w:hint="eastAsia" w:ascii="仿宋_GB2312" w:hAnsi="仿宋_GB2312" w:eastAsia="仿宋_GB2312" w:cs="仿宋_GB2312"/>
          <w:b/>
          <w:bCs/>
          <w:kern w:val="0"/>
          <w:sz w:val="32"/>
          <w:szCs w:val="32"/>
        </w:rPr>
        <w:footnoteReference w:id="2"/>
      </w: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kern w:val="0"/>
          <w:sz w:val="32"/>
          <w:szCs w:val="32"/>
        </w:rPr>
        <w:t>一是未建立健全并落实本单位全员安全生产责任制。二是未制定并实施本单位安全生产教育和培训计划。三是未落实安全风险分级管控和隐患排查治理双重预防工作机制，督促、检查本单位的安全生产工作，未辨识到吊装作业现场可能产生的重大安全风险并及时采取措施消除生产安全事故隐患。四是未制定并落实安全生产责任制及安全生产规章制度，未制定合理有效的吊运作业安全操作规程；五是未制定并实施本单位的生产安全事故应急救援预案或现场处置方案。</w:t>
      </w:r>
    </w:p>
    <w:p w14:paraId="57D301E0">
      <w:pPr>
        <w:adjustRightInd w:val="0"/>
        <w:snapToGrid w:val="0"/>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sz w:val="32"/>
          <w:szCs w:val="32"/>
        </w:rPr>
        <w:t>2.安全生产教育培训不到位</w:t>
      </w:r>
      <w:r>
        <w:rPr>
          <w:rStyle w:val="11"/>
          <w:rFonts w:hint="eastAsia" w:ascii="仿宋_GB2312" w:hAnsi="仿宋_GB2312" w:eastAsia="仿宋_GB2312" w:cs="仿宋_GB2312"/>
          <w:b/>
          <w:bCs/>
          <w:sz w:val="32"/>
          <w:szCs w:val="32"/>
        </w:rPr>
        <w:footnoteReference w:id="3"/>
      </w:r>
      <w:r>
        <w:rPr>
          <w:rFonts w:hint="eastAsia" w:ascii="仿宋_GB2312" w:hAnsi="仿宋_GB2312" w:eastAsia="仿宋_GB2312" w:cs="仿宋_GB2312"/>
          <w:b/>
          <w:bCs/>
          <w:sz w:val="32"/>
          <w:szCs w:val="32"/>
        </w:rPr>
        <w:t>。</w:t>
      </w:r>
      <w:r>
        <w:rPr>
          <w:rFonts w:hint="eastAsia" w:ascii="仿宋_GB2312" w:hAnsi="仿宋_GB2312" w:eastAsia="仿宋_GB2312" w:cs="仿宋_GB2312"/>
          <w:kern w:val="0"/>
          <w:sz w:val="32"/>
          <w:szCs w:val="32"/>
        </w:rPr>
        <w:t>未组织对行车操作员工进行专门的安全教育培训，未保证从业人员具备必要的安全生产知识，熟悉有关的安全生产规章制度和安全操作规程，掌握本岗位的安全操作技能。</w:t>
      </w:r>
    </w:p>
    <w:p w14:paraId="21F85109">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b/>
          <w:bCs/>
          <w:kern w:val="0"/>
          <w:sz w:val="32"/>
          <w:szCs w:val="32"/>
        </w:rPr>
        <w:t>安全隐患排查不到位</w:t>
      </w:r>
      <w:r>
        <w:rPr>
          <w:rStyle w:val="11"/>
          <w:rFonts w:hint="eastAsia" w:ascii="仿宋_GB2312" w:hAnsi="仿宋_GB2312" w:eastAsia="仿宋_GB2312" w:cs="仿宋_GB2312"/>
          <w:b/>
          <w:bCs/>
          <w:kern w:val="0"/>
          <w:sz w:val="32"/>
          <w:szCs w:val="32"/>
        </w:rPr>
        <w:footnoteReference w:id="4"/>
      </w: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kern w:val="0"/>
          <w:sz w:val="32"/>
          <w:szCs w:val="32"/>
        </w:rPr>
        <w:t>兴友德公司在组织作业时，未采取技术、管理措施，消除朱玉龙站在被吊物下方的安全隐患。</w:t>
      </w:r>
    </w:p>
    <w:p w14:paraId="675A328E">
      <w:pPr>
        <w:adjustRightInd w:val="0"/>
        <w:snapToGrid w:val="0"/>
        <w:spacing w:line="560" w:lineRule="exact"/>
        <w:ind w:firstLine="640" w:firstLineChars="200"/>
        <w:rPr>
          <w:rFonts w:ascii="黑体" w:hAnsi="黑体" w:eastAsia="黑体" w:cs="黑体"/>
          <w:kern w:val="0"/>
          <w:sz w:val="32"/>
          <w:szCs w:val="32"/>
        </w:rPr>
      </w:pPr>
      <w:bookmarkStart w:id="18" w:name="_Toc16583"/>
      <w:r>
        <w:rPr>
          <w:rFonts w:hint="eastAsia" w:ascii="黑体" w:hAnsi="黑体" w:eastAsia="黑体" w:cs="黑体"/>
          <w:kern w:val="0"/>
          <w:sz w:val="32"/>
          <w:szCs w:val="32"/>
        </w:rPr>
        <w:t>五、</w:t>
      </w:r>
      <w:bookmarkEnd w:id="18"/>
      <w:r>
        <w:rPr>
          <w:rFonts w:hint="eastAsia" w:ascii="黑体" w:hAnsi="黑体" w:eastAsia="黑体" w:cs="黑体"/>
          <w:kern w:val="0"/>
          <w:sz w:val="32"/>
          <w:szCs w:val="32"/>
        </w:rPr>
        <w:t>有关责任人员和责任单位的处理建议</w:t>
      </w:r>
    </w:p>
    <w:p w14:paraId="4600882B">
      <w:pPr>
        <w:spacing w:line="560" w:lineRule="exact"/>
        <w:ind w:firstLine="482" w:firstLineChars="150"/>
        <w:rPr>
          <w:rFonts w:ascii="仿宋_GB2312" w:hAnsi="仿宋_GB2312" w:eastAsia="仿宋_GB2312" w:cs="仿宋_GB2312"/>
          <w:b/>
          <w:bCs/>
          <w:color w:val="333333"/>
          <w:sz w:val="32"/>
          <w:szCs w:val="32"/>
          <w:shd w:val="clear" w:color="auto" w:fill="FFFFFF"/>
        </w:rPr>
      </w:pPr>
      <w:r>
        <w:rPr>
          <w:rFonts w:hint="eastAsia" w:ascii="仿宋_GB2312" w:hAnsi="仿宋_GB2312" w:eastAsia="仿宋_GB2312" w:cs="仿宋_GB2312"/>
          <w:b/>
          <w:sz w:val="32"/>
          <w:szCs w:val="32"/>
        </w:rPr>
        <w:t>（一）</w:t>
      </w:r>
      <w:r>
        <w:rPr>
          <w:rFonts w:hint="eastAsia" w:ascii="楷体_GB2312" w:hAnsi="楷体_GB2312" w:eastAsia="楷体_GB2312" w:cs="楷体_GB2312"/>
          <w:b/>
          <w:bCs/>
          <w:kern w:val="0"/>
          <w:sz w:val="32"/>
          <w:szCs w:val="32"/>
        </w:rPr>
        <w:t>依法不再追究责任人员</w:t>
      </w:r>
    </w:p>
    <w:p w14:paraId="6C295F11">
      <w:pPr>
        <w:spacing w:line="560" w:lineRule="exact"/>
        <w:ind w:firstLine="480" w:firstLineChars="150"/>
        <w:rPr>
          <w:rStyle w:val="18"/>
          <w:rFonts w:ascii="仿宋_GB2312" w:hAnsi="仿宋_GB2312" w:eastAsia="仿宋_GB2312" w:cs="仿宋_GB2312"/>
          <w:sz w:val="32"/>
          <w:szCs w:val="32"/>
          <w:shd w:val="clear" w:color="auto" w:fill="FFFFFF"/>
        </w:rPr>
      </w:pPr>
      <w:r>
        <w:rPr>
          <w:rStyle w:val="18"/>
          <w:rFonts w:hint="eastAsia" w:ascii="仿宋_GB2312" w:hAnsi="仿宋_GB2312" w:eastAsia="仿宋_GB2312" w:cs="仿宋_GB2312"/>
          <w:sz w:val="32"/>
          <w:szCs w:val="32"/>
          <w:shd w:val="clear" w:color="auto" w:fill="FFFFFF"/>
        </w:rPr>
        <w:t>朱玉</w:t>
      </w:r>
      <w:r>
        <w:rPr>
          <w:rStyle w:val="18"/>
          <w:rFonts w:hint="eastAsia" w:ascii="仿宋_GB2312" w:hAnsi="仿宋_GB2312" w:cs="仿宋_GB2312" w:eastAsiaTheme="minorEastAsia"/>
          <w:sz w:val="32"/>
          <w:szCs w:val="32"/>
          <w:shd w:val="clear" w:color="auto" w:fill="FFFFFF"/>
        </w:rPr>
        <w:t>某</w:t>
      </w:r>
      <w:r>
        <w:rPr>
          <w:rStyle w:val="18"/>
          <w:rFonts w:hint="eastAsia" w:ascii="仿宋_GB2312" w:hAnsi="仿宋_GB2312" w:eastAsia="仿宋_GB2312" w:cs="仿宋_GB2312"/>
          <w:sz w:val="32"/>
          <w:szCs w:val="32"/>
          <w:shd w:val="clear" w:color="auto" w:fill="FFFFFF"/>
        </w:rPr>
        <w:t>，男，兴友德公</w:t>
      </w:r>
      <w:r>
        <w:rPr>
          <w:rFonts w:hint="eastAsia" w:ascii="仿宋_GB2312" w:hAnsi="仿宋_GB2312" w:eastAsia="仿宋_GB2312" w:cs="仿宋_GB2312"/>
          <w:kern w:val="0"/>
          <w:sz w:val="32"/>
          <w:szCs w:val="32"/>
        </w:rPr>
        <w:t>司镗工，违反《起重机械安全规程》站在行车下方吊装作业，被倾倒的高低温垫底座压伤致死</w:t>
      </w:r>
      <w:r>
        <w:rPr>
          <w:rStyle w:val="18"/>
          <w:rFonts w:hint="eastAsia" w:ascii="仿宋_GB2312" w:hAnsi="仿宋_GB2312" w:eastAsia="仿宋_GB2312" w:cs="仿宋_GB2312"/>
          <w:sz w:val="32"/>
          <w:szCs w:val="32"/>
          <w:shd w:val="clear" w:color="auto" w:fill="FFFFFF"/>
        </w:rPr>
        <w:t>。对该起事故应负责任，鉴于其在事故中死亡，依法不再追究责任。</w:t>
      </w:r>
    </w:p>
    <w:p w14:paraId="06FF1043">
      <w:pPr>
        <w:spacing w:line="560" w:lineRule="exact"/>
        <w:ind w:firstLine="482" w:firstLineChars="150"/>
        <w:rPr>
          <w:rFonts w:ascii="仿宋_GB2312" w:hAnsi="仿宋_GB2312" w:eastAsia="仿宋_GB2312" w:cs="仿宋_GB2312"/>
          <w:sz w:val="32"/>
          <w:szCs w:val="32"/>
        </w:rPr>
      </w:pPr>
      <w:r>
        <w:rPr>
          <w:rFonts w:hint="eastAsia" w:ascii="楷体_GB2312" w:hAnsi="楷体_GB2312" w:eastAsia="楷体_GB2312" w:cs="楷体_GB2312"/>
          <w:b/>
          <w:sz w:val="32"/>
          <w:szCs w:val="32"/>
        </w:rPr>
        <w:t>（二）建议移送司法机关调查处理的人员</w:t>
      </w:r>
    </w:p>
    <w:p w14:paraId="251B0FB4">
      <w:pPr>
        <w:adjustRightInd w:val="0"/>
        <w:snapToGrid w:val="0"/>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kern w:val="0"/>
          <w:sz w:val="32"/>
          <w:szCs w:val="32"/>
        </w:rPr>
        <w:t>马友</w:t>
      </w:r>
      <w:r>
        <w:rPr>
          <w:rFonts w:hint="eastAsia" w:ascii="仿宋_GB2312" w:hAnsi="仿宋_GB2312" w:cs="仿宋_GB2312" w:eastAsiaTheme="minorEastAsia"/>
          <w:kern w:val="0"/>
          <w:sz w:val="32"/>
          <w:szCs w:val="32"/>
        </w:rPr>
        <w:t>某</w:t>
      </w:r>
      <w:r>
        <w:rPr>
          <w:rFonts w:hint="eastAsia" w:ascii="仿宋_GB2312" w:hAnsi="仿宋_GB2312" w:eastAsia="仿宋_GB2312" w:cs="仿宋_GB2312"/>
          <w:kern w:val="0"/>
          <w:sz w:val="32"/>
          <w:szCs w:val="32"/>
        </w:rPr>
        <w:t>，男，兴友德公司实际管理负责人。未制定并实施本单位安全生产教育和培训计划；未落实安全风险分级管控和隐患排查治理双重预防工作机制，督促、检查本单位的安全生产工作，未辨识到吊装作业现场可能产生的重大安全风险并及时采取措施消除生产安全事故隐患；未制定并落实安全生产责任制及安全生产规章制度，未制定合理有效的吊运作业安全操作规程；未制定并实施本单位的生产安全事故应急救援预案或现场处置方案。</w:t>
      </w:r>
      <w:r>
        <w:rPr>
          <w:rStyle w:val="18"/>
          <w:rFonts w:hint="eastAsia" w:ascii="仿宋_GB2312" w:hAnsi="仿宋_GB2312" w:eastAsia="仿宋_GB2312" w:cs="仿宋_GB2312"/>
          <w:color w:val="333333"/>
          <w:sz w:val="32"/>
          <w:szCs w:val="32"/>
          <w:shd w:val="clear" w:color="auto" w:fill="FFFFFF"/>
        </w:rPr>
        <w:t>其行为涉嫌重大责任事故罪</w:t>
      </w:r>
      <w:r>
        <w:rPr>
          <w:rFonts w:hint="eastAsia" w:ascii="仿宋_GB2312" w:hAnsi="仿宋_GB2312" w:eastAsia="仿宋_GB2312" w:cs="仿宋_GB2312"/>
          <w:color w:val="333333"/>
          <w:sz w:val="32"/>
          <w:szCs w:val="32"/>
          <w:shd w:val="clear" w:color="auto" w:fill="FFFFFF"/>
        </w:rPr>
        <w:t>。</w:t>
      </w:r>
      <w:r>
        <w:rPr>
          <w:rFonts w:hint="eastAsia" w:ascii="仿宋_GB2312" w:hAnsi="仿宋" w:eastAsia="仿宋_GB2312" w:cs="仿宋_GB2312"/>
          <w:sz w:val="32"/>
          <w:szCs w:val="32"/>
        </w:rPr>
        <w:t>根据</w:t>
      </w:r>
      <w:r>
        <w:rPr>
          <w:rFonts w:ascii="仿宋_GB2312" w:hAnsi="仿宋" w:eastAsia="仿宋_GB2312" w:cs="仿宋_GB2312"/>
          <w:sz w:val="32"/>
          <w:szCs w:val="32"/>
        </w:rPr>
        <w:t>《湖南省生产安全事故调查处理办法》第十三条</w:t>
      </w:r>
      <w:r>
        <w:rPr>
          <w:rStyle w:val="11"/>
          <w:rFonts w:ascii="仿宋_GB2312" w:eastAsia="仿宋_GB2312" w:cs="仿宋_GB2312"/>
          <w:sz w:val="32"/>
          <w:szCs w:val="32"/>
        </w:rPr>
        <w:footnoteReference w:id="5"/>
      </w:r>
      <w:r>
        <w:rPr>
          <w:rFonts w:ascii="仿宋_GB2312" w:hAnsi="仿宋" w:eastAsia="仿宋_GB2312" w:cs="仿宋_GB2312"/>
          <w:sz w:val="32"/>
          <w:szCs w:val="32"/>
        </w:rPr>
        <w:t>之规定</w:t>
      </w:r>
      <w:r>
        <w:rPr>
          <w:rFonts w:hint="eastAsia" w:ascii="仿宋_GB2312" w:hAnsi="仿宋_GB2312" w:eastAsia="仿宋_GB2312" w:cs="仿宋_GB2312"/>
          <w:sz w:val="32"/>
          <w:szCs w:val="32"/>
        </w:rPr>
        <w:t>，</w:t>
      </w:r>
      <w:r>
        <w:rPr>
          <w:rFonts w:hint="eastAsia" w:ascii="仿宋_GB2312" w:hAnsi="仿宋_GB2312" w:eastAsia="仿宋_GB2312" w:cs="仿宋_GB2312"/>
          <w:bCs/>
          <w:sz w:val="32"/>
          <w:szCs w:val="32"/>
        </w:rPr>
        <w:t>建议将相关材</w:t>
      </w:r>
      <w:r>
        <w:rPr>
          <w:rFonts w:hint="eastAsia" w:ascii="仿宋_GB2312" w:hAnsi="仿宋" w:eastAsia="仿宋_GB2312" w:cs="仿宋_GB2312"/>
          <w:sz w:val="32"/>
          <w:szCs w:val="32"/>
        </w:rPr>
        <w:t>料移交湘潭县公安局依法调</w:t>
      </w:r>
      <w:r>
        <w:rPr>
          <w:rFonts w:hint="eastAsia" w:ascii="仿宋_GB2312" w:hAnsi="仿宋_GB2312" w:eastAsia="仿宋_GB2312" w:cs="仿宋_GB2312"/>
          <w:bCs/>
          <w:sz w:val="32"/>
          <w:szCs w:val="32"/>
        </w:rPr>
        <w:t>查处理。</w:t>
      </w:r>
    </w:p>
    <w:p w14:paraId="089C8969">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color w:val="333333"/>
          <w:sz w:val="32"/>
          <w:szCs w:val="32"/>
          <w:shd w:val="clear" w:color="auto" w:fill="FFFFFF"/>
        </w:rPr>
        <w:t>（三）</w:t>
      </w:r>
      <w:r>
        <w:rPr>
          <w:rFonts w:hint="eastAsia" w:ascii="楷体_GB2312" w:hAnsi="楷体_GB2312" w:eastAsia="楷体_GB2312" w:cs="楷体_GB2312"/>
          <w:b/>
          <w:bCs/>
          <w:kern w:val="0"/>
          <w:sz w:val="32"/>
          <w:szCs w:val="32"/>
        </w:rPr>
        <w:t>对事故有关责任单位的行政处罚建议</w:t>
      </w:r>
    </w:p>
    <w:p w14:paraId="66BDF8B2">
      <w:pPr>
        <w:adjustRightInd w:val="0"/>
        <w:snapToGrid w:val="0"/>
        <w:spacing w:line="560" w:lineRule="exact"/>
        <w:ind w:firstLine="640" w:firstLineChars="200"/>
        <w:rPr>
          <w:rStyle w:val="18"/>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kern w:val="0"/>
          <w:sz w:val="32"/>
          <w:szCs w:val="32"/>
        </w:rPr>
        <w:t>兴友德公司在组织作业时，未采取技术、管理措施，安全隐患排查不到位；未组织对行车操作员工进行专门的安全教育培训，未保证从业人员具备必要的安全生产知识，熟悉有关的安全生产规章制度和安全操作规程，掌握本岗位的安全操作技能。</w:t>
      </w:r>
      <w:r>
        <w:rPr>
          <w:rStyle w:val="18"/>
          <w:rFonts w:hint="eastAsia" w:ascii="仿宋_GB2312" w:hAnsi="仿宋_GB2312" w:eastAsia="仿宋_GB2312" w:cs="仿宋_GB2312"/>
          <w:color w:val="333333"/>
          <w:sz w:val="32"/>
          <w:szCs w:val="32"/>
          <w:shd w:val="clear" w:color="auto" w:fill="FFFFFF"/>
        </w:rPr>
        <w:t>其行为涉嫌违反《中华人民共和国安全生产法》第四十一条、第二十八条之规定，系该起事故的责任单位。建议由湘潭县应急管理局依法调查处理。</w:t>
      </w:r>
    </w:p>
    <w:p w14:paraId="511D6914">
      <w:pPr>
        <w:pStyle w:val="20"/>
        <w:adjustRightInd w:val="0"/>
        <w:snapToGrid w:val="0"/>
        <w:spacing w:line="560" w:lineRule="exact"/>
        <w:ind w:left="640" w:firstLine="0" w:firstLineChars="0"/>
        <w:outlineLvl w:val="1"/>
        <w:rPr>
          <w:rFonts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（三）对相关部门及公职人员处理建议</w:t>
      </w:r>
    </w:p>
    <w:p w14:paraId="6FD45F0C">
      <w:pPr>
        <w:adjustRightInd w:val="0"/>
        <w:snapToGrid w:val="0"/>
        <w:spacing w:line="560" w:lineRule="exact"/>
        <w:ind w:firstLine="643"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b/>
          <w:bCs/>
          <w:color w:val="333333"/>
          <w:sz w:val="32"/>
          <w:szCs w:val="32"/>
          <w:shd w:val="clear" w:color="auto" w:fill="FFFFFF"/>
        </w:rPr>
        <w:t>1.</w:t>
      </w:r>
      <w:r>
        <w:rPr>
          <w:rFonts w:hint="eastAsia" w:ascii="仿宋_GB2312" w:hAnsi="仿宋_GB2312" w:eastAsia="仿宋_GB2312" w:cs="仿宋_GB2312"/>
          <w:color w:val="000000" w:themeColor="text1"/>
          <w:sz w:val="32"/>
          <w:szCs w:val="32"/>
        </w:rPr>
        <w:t xml:space="preserve"> 天易经开区未落实联合入园审批制度严把“准入关”，致使安全生产管理缺位的兴友德公司在鼎珩公司厂区范围内组织生产经营。建议向县人民政府作出深刻检查。</w:t>
      </w:r>
    </w:p>
    <w:p w14:paraId="5F45A7F7">
      <w:pPr>
        <w:adjustRightInd w:val="0"/>
        <w:snapToGrid w:val="0"/>
        <w:spacing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2.</w:t>
      </w:r>
      <w:r>
        <w:rPr>
          <w:rFonts w:hint="eastAsia" w:ascii="仿宋_GB2312" w:hAnsi="仿宋_GB2312" w:eastAsia="仿宋_GB2312" w:cs="仿宋_GB2312"/>
          <w:b/>
          <w:bCs/>
          <w:color w:val="000000" w:themeColor="text1"/>
          <w:sz w:val="32"/>
          <w:szCs w:val="32"/>
        </w:rPr>
        <w:t xml:space="preserve"> </w:t>
      </w:r>
      <w:r>
        <w:rPr>
          <w:rFonts w:hint="eastAsia" w:ascii="仿宋_GB2312" w:hAnsi="仿宋_GB2312" w:eastAsia="仿宋_GB2312" w:cs="仿宋_GB2312"/>
          <w:kern w:val="0"/>
          <w:sz w:val="32"/>
          <w:szCs w:val="32"/>
        </w:rPr>
        <w:t>天易经开区产业发展局（安全生产监督管理局）推动园区“园中园”“厂中厂”安全生产专项工作不细不实，</w:t>
      </w:r>
      <w:r>
        <w:rPr>
          <w:rFonts w:hint="eastAsia" w:ascii="仿宋_GB2312" w:hAnsi="仿宋_GB2312" w:eastAsia="仿宋_GB2312" w:cs="仿宋_GB2312"/>
          <w:color w:val="000000" w:themeColor="text1"/>
          <w:sz w:val="32"/>
          <w:szCs w:val="32"/>
        </w:rPr>
        <w:t>对兴友德公司入驻鼎珩公司厂区的情况不知情。建议天易经开区对相关人员予以责令检查。</w:t>
      </w:r>
    </w:p>
    <w:p w14:paraId="56A8465A">
      <w:pPr>
        <w:adjustRightInd w:val="0"/>
        <w:snapToGrid w:val="0"/>
        <w:spacing w:line="560" w:lineRule="exact"/>
        <w:ind w:firstLine="640" w:firstLineChars="200"/>
        <w:rPr>
          <w:rFonts w:ascii="仿宋_GB2312" w:hAnsi="仿宋_GB2312" w:eastAsia="仿宋_GB2312" w:cs="仿宋_GB2312"/>
          <w:b/>
          <w:bCs/>
          <w:color w:val="333333"/>
          <w:sz w:val="32"/>
          <w:szCs w:val="32"/>
          <w:shd w:val="clear" w:color="auto" w:fill="FFFFFF"/>
        </w:rPr>
      </w:pPr>
      <w:r>
        <w:rPr>
          <w:rFonts w:hint="eastAsia" w:ascii="仿宋_GB2312" w:hAnsi="仿宋_GB2312" w:eastAsia="仿宋_GB2312" w:cs="仿宋_GB2312"/>
          <w:color w:val="000000" w:themeColor="text1"/>
          <w:sz w:val="32"/>
          <w:szCs w:val="32"/>
        </w:rPr>
        <w:t>3. 网格联企责任人彭艳</w:t>
      </w:r>
      <w:r>
        <w:rPr>
          <w:rFonts w:hint="eastAsia" w:ascii="仿宋_GB2312" w:hAnsi="仿宋_GB2312" w:eastAsia="仿宋_GB2312" w:cs="仿宋_GB2312"/>
          <w:kern w:val="0"/>
          <w:sz w:val="32"/>
          <w:szCs w:val="32"/>
        </w:rPr>
        <w:t>某</w:t>
      </w:r>
      <w:r>
        <w:rPr>
          <w:rFonts w:hint="eastAsia" w:ascii="仿宋_GB2312" w:hAnsi="仿宋_GB2312" w:eastAsia="仿宋_GB2312" w:cs="仿宋_GB2312"/>
          <w:color w:val="000000" w:themeColor="text1"/>
          <w:sz w:val="32"/>
          <w:szCs w:val="32"/>
        </w:rPr>
        <w:t>走访网格企业工作不细致，未及时掌握兴友德公司入驻园区相关情况，未及时掌握和更新责任网格内各企业的变化情况并及时上报，落实联企网格责任不到位。建议天易经开区纪工委调查处理。</w:t>
      </w:r>
    </w:p>
    <w:p w14:paraId="00401421">
      <w:pPr>
        <w:adjustRightInd w:val="0"/>
        <w:snapToGrid w:val="0"/>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六、事故整改和防范措施</w:t>
      </w:r>
    </w:p>
    <w:p w14:paraId="70AFF897">
      <w:pPr>
        <w:adjustRightInd w:val="0"/>
        <w:snapToGrid w:val="0"/>
        <w:spacing w:line="560" w:lineRule="exact"/>
        <w:ind w:firstLine="643" w:firstLineChars="200"/>
        <w:rPr>
          <w:rFonts w:ascii="仿宋_GB2312" w:hAnsi="仿宋_GB2312" w:eastAsia="仿宋_GB2312" w:cs="仿宋_GB2312"/>
          <w:kern w:val="0"/>
          <w:sz w:val="32"/>
          <w:szCs w:val="32"/>
        </w:rPr>
      </w:pPr>
      <w:r>
        <w:rPr>
          <w:rFonts w:hint="eastAsia" w:ascii="楷体_GB2312" w:hAnsi="楷体_GB2312" w:eastAsia="楷体_GB2312" w:cs="楷体_GB2312"/>
          <w:b/>
          <w:bCs/>
          <w:kern w:val="0"/>
          <w:sz w:val="32"/>
          <w:szCs w:val="32"/>
        </w:rPr>
        <w:t>（一）兴友德公司要认真落实企业安全生产主体责任。</w:t>
      </w:r>
      <w:r>
        <w:rPr>
          <w:rFonts w:hint="eastAsia" w:ascii="仿宋_GB2312" w:hAnsi="仿宋_GB2312" w:eastAsia="仿宋_GB2312" w:cs="仿宋_GB2312"/>
          <w:kern w:val="0"/>
          <w:sz w:val="32"/>
          <w:szCs w:val="32"/>
        </w:rPr>
        <w:t>一是要及时配齐配强安全管理人员，进一步规范和完善安全生产规章制度和操作规程的建立，要吸取事故教训，举一反三。二是要切实加强对从业人员的安全生产教育和培训，保证从业人员具备必要的安全生产知识，熟悉有关的安全生产规章制度和安全操作规程，掌握本岗位的安全操作技能，了解事故应急处理措施。三是要通过加强日常安全巡查，教育和督促从业人员严格执行本单位的安全生产规章制度和安全操作规程，坚决杜绝从业人员违章行为。</w:t>
      </w:r>
    </w:p>
    <w:p w14:paraId="1C9DE6BE">
      <w:pPr>
        <w:spacing w:line="56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kern w:val="0"/>
          <w:sz w:val="32"/>
          <w:szCs w:val="32"/>
        </w:rPr>
        <w:t>（二）鼎珩公司要加强对租赁单位安全生产工作的统一协调管理。</w:t>
      </w:r>
      <w:r>
        <w:rPr>
          <w:rFonts w:hint="eastAsia" w:ascii="仿宋_GB2312" w:hAnsi="仿宋_GB2312" w:eastAsia="仿宋_GB2312" w:cs="仿宋_GB2312"/>
          <w:color w:val="333333"/>
          <w:sz w:val="32"/>
          <w:szCs w:val="32"/>
          <w:shd w:val="clear" w:color="auto" w:fill="FFFFFF"/>
        </w:rPr>
        <w:t>要进一步加大对租赁单位的安全管理和巡查检查力度，及时排查安全隐患，</w:t>
      </w:r>
      <w:r>
        <w:rPr>
          <w:rFonts w:hint="eastAsia" w:ascii="仿宋_GB2312" w:hAnsi="仿宋_GB2312" w:eastAsia="仿宋_GB2312" w:cs="仿宋_GB2312"/>
          <w:sz w:val="32"/>
          <w:szCs w:val="32"/>
        </w:rPr>
        <w:t>明确各自责任。</w:t>
      </w:r>
    </w:p>
    <w:p w14:paraId="7C783357">
      <w:pPr>
        <w:pStyle w:val="6"/>
        <w:widowControl/>
        <w:spacing w:before="0" w:beforeAutospacing="0" w:after="0" w:afterAutospacing="0" w:line="560" w:lineRule="exact"/>
        <w:ind w:firstLine="643" w:firstLineChars="200"/>
        <w:rPr>
          <w:rFonts w:ascii="仿宋_GB2312" w:hAnsi="仿宋_GB2312" w:eastAsia="仿宋_GB2312" w:cs="仿宋_GB2312"/>
          <w:color w:val="000000" w:themeColor="text1"/>
          <w:sz w:val="32"/>
          <w:szCs w:val="32"/>
        </w:rPr>
      </w:pPr>
      <w:r>
        <w:rPr>
          <w:rFonts w:hint="eastAsia" w:ascii="楷体_GB2312" w:hAnsi="楷体_GB2312" w:eastAsia="楷体_GB2312" w:cs="楷体_GB2312"/>
          <w:b/>
          <w:bCs/>
          <w:kern w:val="0"/>
          <w:sz w:val="32"/>
          <w:szCs w:val="32"/>
        </w:rPr>
        <w:t>（三）天易经开区要进一步加强安全监管力度。</w:t>
      </w:r>
      <w:r>
        <w:rPr>
          <w:rFonts w:hint="eastAsia" w:ascii="仿宋_GB2312" w:hAnsi="仿宋_GB2312" w:eastAsia="仿宋_GB2312" w:cs="仿宋_GB2312"/>
          <w:color w:val="000000" w:themeColor="text1"/>
          <w:sz w:val="32"/>
          <w:szCs w:val="32"/>
        </w:rPr>
        <w:t>要严格按照市安委办印发了《湘潭市安全生产委员会办公室关于印发湘潭市“厂中厂”“园中园”安全生产管理规范（试行）的通知》（潭安办函〔2023〕82号）文件要求，长期规范标准实施“厂中厂”“园中园”安全生产管理，对不具备安全生产条件，未通过联合预审的公司进行一次集中清理。要加强园区租赁企业的安全管理，对租赁、出租企业要求租赁方实行报备制，消除监管盲区，确保园区内的安全生产。</w:t>
      </w:r>
    </w:p>
    <w:p w14:paraId="42A447EE">
      <w:pPr>
        <w:spacing w:line="560" w:lineRule="exact"/>
        <w:ind w:firstLine="643" w:firstLineChars="200"/>
        <w:rPr>
          <w:rFonts w:ascii="仿宋_GB2312" w:hAnsi="仿宋_GB2312" w:eastAsia="仿宋_GB2312" w:cs="仿宋_GB2312"/>
          <w:b/>
          <w:sz w:val="32"/>
          <w:szCs w:val="32"/>
        </w:rPr>
      </w:pPr>
    </w:p>
    <w:p w14:paraId="1C92AD9F"/>
    <w:sectPr>
      <w:pgSz w:w="11906" w:h="16838"/>
      <w:pgMar w:top="1440"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2">
    <w:p>
      <w:r>
        <w:separator/>
      </w:r>
    </w:p>
  </w:footnote>
  <w:footnote w:type="continuationSeparator" w:id="13">
    <w:p>
      <w:r>
        <w:continuationSeparator/>
      </w:r>
    </w:p>
  </w:footnote>
  <w:footnote w:id="0">
    <w:p w14:paraId="3CB9D1F1">
      <w:pPr>
        <w:pStyle w:val="5"/>
      </w:pPr>
      <w:r>
        <w:rPr>
          <w:rStyle w:val="11"/>
        </w:rPr>
        <w:footnoteRef/>
      </w:r>
      <w:r>
        <w:rPr>
          <w:rFonts w:hint="eastAsia"/>
        </w:rPr>
        <w:t>湖南湘潭天易经济开发区办公室关于印发《湘潭天易经开区项目联合预审工作实施方案》的通知（潭天易办发〔2024〕2号）四、工作要求第2条：强化工作联动。企业和项目服务中心定期对园区现有已租售厂房情况进行梳理、登记造册，并定期向相关部门通报，实现信息共享。园区相关部门要积极主动收集和反馈信息，加强对联合预审入园企业的服务和管理，规范企业的生产和经营行为。</w:t>
      </w:r>
    </w:p>
    <w:p w14:paraId="1F784AB0">
      <w:pPr>
        <w:pStyle w:val="5"/>
      </w:pPr>
    </w:p>
  </w:footnote>
  <w:footnote w:id="1">
    <w:p w14:paraId="2E68B686">
      <w:pPr>
        <w:pStyle w:val="5"/>
        <w:rPr>
          <w:rFonts w:ascii="仿宋_GB2312" w:hAnsi="仿宋_GB2312" w:eastAsia="仿宋_GB2312" w:cs="仿宋_GB2312"/>
          <w:kern w:val="0"/>
          <w:sz w:val="24"/>
        </w:rPr>
      </w:pPr>
    </w:p>
    <w:p w14:paraId="431705A3">
      <w:pPr>
        <w:pStyle w:val="5"/>
      </w:pPr>
      <w:r>
        <w:rPr>
          <w:rFonts w:ascii="仿宋_GB2312" w:hAnsi="仿宋_GB2312" w:eastAsia="仿宋_GB2312" w:cs="仿宋_GB2312"/>
          <w:kern w:val="0"/>
          <w:sz w:val="24"/>
        </w:rPr>
        <w:footnoteRef/>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《起重机械安全规程 第</w:t>
      </w:r>
      <w:r>
        <w:rPr>
          <w:rFonts w:ascii="仿宋_GB2312" w:hAnsi="仿宋_GB2312" w:eastAsia="仿宋_GB2312" w:cs="仿宋_GB2312"/>
          <w:kern w:val="0"/>
          <w:sz w:val="24"/>
        </w:rPr>
        <w:t>1</w:t>
      </w:r>
      <w:r>
        <w:rPr>
          <w:rFonts w:hint="eastAsia" w:ascii="仿宋_GB2312" w:hAnsi="仿宋_GB2312" w:eastAsia="仿宋_GB2312" w:cs="仿宋_GB2312"/>
          <w:kern w:val="0"/>
          <w:sz w:val="24"/>
        </w:rPr>
        <w:t>部分：总则》（</w:t>
      </w:r>
      <w:r>
        <w:rPr>
          <w:rFonts w:ascii="仿宋_GB2312" w:hAnsi="仿宋_GB2312" w:eastAsia="仿宋_GB2312" w:cs="仿宋_GB2312"/>
          <w:kern w:val="0"/>
          <w:sz w:val="24"/>
        </w:rPr>
        <w:t>GB 6067.1-2010</w:t>
      </w:r>
      <w:r>
        <w:rPr>
          <w:rFonts w:hint="eastAsia" w:ascii="仿宋_GB2312" w:hAnsi="仿宋_GB2312" w:eastAsia="仿宋_GB2312" w:cs="仿宋_GB2312"/>
          <w:kern w:val="0"/>
          <w:sz w:val="24"/>
        </w:rPr>
        <w:t>）第1</w:t>
      </w:r>
      <w:r>
        <w:rPr>
          <w:rFonts w:ascii="仿宋_GB2312" w:hAnsi="仿宋_GB2312" w:eastAsia="仿宋_GB2312" w:cs="仿宋_GB2312"/>
          <w:kern w:val="0"/>
          <w:sz w:val="24"/>
        </w:rPr>
        <w:t>7.1条 g</w:t>
      </w:r>
      <w:r>
        <w:rPr>
          <w:rFonts w:hint="eastAsia" w:ascii="仿宋_GB2312" w:hAnsi="仿宋_GB2312" w:eastAsia="仿宋_GB2312" w:cs="仿宋_GB2312"/>
          <w:kern w:val="0"/>
          <w:sz w:val="24"/>
        </w:rPr>
        <w:t>)在接通电源或开动设备之前，司机应查看所有控制器，使其处于“零位”或空档位置。所有现场人员均在安全区内。</w:t>
      </w:r>
    </w:p>
  </w:footnote>
  <w:footnote w:id="2">
    <w:p w14:paraId="13C432B3">
      <w:pPr>
        <w:adjustRightInd w:val="0"/>
        <w:snapToGrid w:val="0"/>
        <w:spacing w:line="560" w:lineRule="exact"/>
        <w:ind w:firstLine="420" w:firstLineChars="200"/>
        <w:rPr>
          <w:rFonts w:ascii="仿宋_GB2312" w:hAnsi="仿宋_GB2312" w:eastAsia="仿宋_GB2312" w:cs="仿宋_GB2312"/>
          <w:kern w:val="0"/>
          <w:sz w:val="24"/>
        </w:rPr>
      </w:pPr>
      <w:r>
        <w:rPr>
          <w:rStyle w:val="11"/>
        </w:rPr>
        <w:footnoteRef/>
      </w:r>
      <w:r>
        <w:t xml:space="preserve"> </w:t>
      </w:r>
      <w:r>
        <w:rPr>
          <w:rFonts w:hint="eastAsia" w:ascii="仿宋_GB2312" w:hAnsi="仿宋_GB2312" w:eastAsia="仿宋_GB2312" w:cs="仿宋_GB2312"/>
          <w:kern w:val="0"/>
          <w:sz w:val="24"/>
        </w:rPr>
        <w:t>《中华人民共和国安全生产法》第二十一条（一）建立健全并落实本单位全员安全生产责任制，加强安全生产标准化建设；（二）组织制定并实施本单位安全生产规章制度和操作规程；（三）组织制定并实施本单位安全生产教育和培训计划；（四）保证本单位安全生产投入的有效实施；（五）组织建立并落实安全风险分级管控和隐患排查治理双重预防工作机制，督促、检查本单位的安全生产工作，及时消除生产安全事故隐患；（六）组织制定并实施本单位的生产安全事故应急救援预案；（七）及时、如实报告生产安全事故。</w:t>
      </w:r>
    </w:p>
    <w:p w14:paraId="22B5F9D5">
      <w:pPr>
        <w:pStyle w:val="5"/>
      </w:pPr>
    </w:p>
  </w:footnote>
  <w:footnote w:id="3">
    <w:p w14:paraId="653BE774">
      <w:pPr>
        <w:adjustRightInd w:val="0"/>
        <w:snapToGrid w:val="0"/>
        <w:spacing w:line="560" w:lineRule="exact"/>
        <w:ind w:firstLine="420" w:firstLineChars="200"/>
        <w:rPr>
          <w:rFonts w:ascii="仿宋_GB2312" w:hAnsi="仿宋_GB2312" w:eastAsia="仿宋_GB2312" w:cs="仿宋_GB2312"/>
          <w:kern w:val="0"/>
          <w:sz w:val="24"/>
        </w:rPr>
      </w:pPr>
      <w:r>
        <w:rPr>
          <w:rStyle w:val="11"/>
        </w:rPr>
        <w:footnoteRef/>
      </w:r>
      <w:r>
        <w:t xml:space="preserve"> </w:t>
      </w:r>
      <w:r>
        <w:rPr>
          <w:rFonts w:hint="eastAsia" w:ascii="仿宋_GB2312" w:hAnsi="仿宋_GB2312" w:eastAsia="仿宋_GB2312" w:cs="仿宋_GB2312"/>
          <w:kern w:val="0"/>
          <w:sz w:val="24"/>
        </w:rPr>
        <w:t>《中华人民共和国安全生产法》第二十八条：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力和义务。未经安全生产教育和培训合格的从业人员，不得上岗作业。</w:t>
      </w:r>
    </w:p>
    <w:p w14:paraId="02E40E18">
      <w:pPr>
        <w:pStyle w:val="5"/>
      </w:pPr>
    </w:p>
  </w:footnote>
  <w:footnote w:id="4">
    <w:p w14:paraId="3FFF5C92">
      <w:pPr>
        <w:shd w:val="clear" w:color="auto" w:fill="FFFFFF"/>
        <w:spacing w:line="360" w:lineRule="atLeast"/>
        <w:ind w:firstLine="480"/>
        <w:rPr>
          <w:rFonts w:ascii="仿宋_GB2312" w:hAnsi="仿宋_GB2312" w:eastAsia="仿宋_GB2312" w:cs="仿宋_GB2312"/>
          <w:kern w:val="0"/>
          <w:sz w:val="24"/>
        </w:rPr>
      </w:pPr>
      <w:r>
        <w:rPr>
          <w:rFonts w:ascii="仿宋_GB2312" w:hAnsi="仿宋_GB2312" w:eastAsia="仿宋_GB2312" w:cs="仿宋_GB2312"/>
          <w:kern w:val="0"/>
          <w:sz w:val="24"/>
        </w:rPr>
        <w:footnoteRef/>
      </w:r>
      <w:r>
        <w:rPr>
          <w:rFonts w:ascii="仿宋_GB2312" w:hAnsi="仿宋_GB2312" w:eastAsia="仿宋_GB2312" w:cs="仿宋_GB2312"/>
          <w:kern w:val="0"/>
          <w:sz w:val="24"/>
        </w:rPr>
        <w:t xml:space="preserve"> 第四十一条 生产经营单位应当建立安全风险分级管控制度，按照安全风险分级采取相应的管控措施。</w:t>
      </w:r>
    </w:p>
    <w:p w14:paraId="14E71CA0">
      <w:pPr>
        <w:widowControl/>
        <w:shd w:val="clear" w:color="auto" w:fill="FFFFFF"/>
        <w:spacing w:line="360" w:lineRule="atLeast"/>
        <w:ind w:firstLine="480"/>
        <w:jc w:val="left"/>
        <w:rPr>
          <w:rFonts w:ascii="仿宋_GB2312" w:hAnsi="仿宋_GB2312" w:eastAsia="仿宋_GB2312" w:cs="仿宋_GB2312"/>
          <w:kern w:val="0"/>
          <w:sz w:val="24"/>
        </w:rPr>
      </w:pPr>
      <w:r>
        <w:rPr>
          <w:rFonts w:ascii="仿宋_GB2312" w:hAnsi="仿宋_GB2312" w:eastAsia="仿宋_GB2312" w:cs="仿宋_GB2312"/>
          <w:kern w:val="0"/>
          <w:sz w:val="24"/>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p w14:paraId="60A89643">
      <w:pPr>
        <w:pStyle w:val="5"/>
      </w:pPr>
    </w:p>
  </w:footnote>
  <w:footnote w:id="5">
    <w:p w14:paraId="0C0A7B40">
      <w:pPr>
        <w:pStyle w:val="5"/>
      </w:pPr>
      <w:r>
        <w:footnoteRef/>
      </w:r>
      <w:r>
        <w:rPr>
          <w:rFonts w:hint="eastAsia"/>
        </w:rPr>
        <w:t xml:space="preserve"> </w:t>
      </w:r>
      <w:r>
        <w:t>《湖南省生产安全事故调查处理办法》第十三条</w:t>
      </w:r>
      <w:r>
        <w:rPr>
          <w:rFonts w:hint="eastAsia"/>
        </w:rPr>
        <w:t>：在事故调查中发现涉嫌犯罪的，事故调查组应当在5个工作日内将有关材料移交司法机关处理；</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6020FA"/>
    <w:multiLevelType w:val="multilevel"/>
    <w:tmpl w:val="586020FA"/>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12"/>
    <w:footnote w:id="13"/>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1MjNmYWJiMDI1MDI5MmIxYjFkMjU0NWJkOGU0MjMifQ=="/>
  </w:docVars>
  <w:rsids>
    <w:rsidRoot w:val="008C76ED"/>
    <w:rsid w:val="00017BC3"/>
    <w:rsid w:val="00021E22"/>
    <w:rsid w:val="000276B5"/>
    <w:rsid w:val="0002795F"/>
    <w:rsid w:val="00031AB4"/>
    <w:rsid w:val="000374A9"/>
    <w:rsid w:val="00072EA8"/>
    <w:rsid w:val="00090A91"/>
    <w:rsid w:val="00094837"/>
    <w:rsid w:val="000B661A"/>
    <w:rsid w:val="000C3C63"/>
    <w:rsid w:val="000E0E60"/>
    <w:rsid w:val="000F1657"/>
    <w:rsid w:val="000F4439"/>
    <w:rsid w:val="00121EC4"/>
    <w:rsid w:val="00123CD8"/>
    <w:rsid w:val="001249FE"/>
    <w:rsid w:val="0014542E"/>
    <w:rsid w:val="00151C10"/>
    <w:rsid w:val="00153650"/>
    <w:rsid w:val="001539B4"/>
    <w:rsid w:val="00174820"/>
    <w:rsid w:val="0018370B"/>
    <w:rsid w:val="00194B6C"/>
    <w:rsid w:val="001A14C1"/>
    <w:rsid w:val="001A3367"/>
    <w:rsid w:val="001B7177"/>
    <w:rsid w:val="001C5121"/>
    <w:rsid w:val="001F02C6"/>
    <w:rsid w:val="00226E90"/>
    <w:rsid w:val="00230C01"/>
    <w:rsid w:val="00237C08"/>
    <w:rsid w:val="00237C2B"/>
    <w:rsid w:val="00242499"/>
    <w:rsid w:val="00286C12"/>
    <w:rsid w:val="002A5C0B"/>
    <w:rsid w:val="002A5E59"/>
    <w:rsid w:val="002C0328"/>
    <w:rsid w:val="002F1EB3"/>
    <w:rsid w:val="002F565A"/>
    <w:rsid w:val="002F5AC5"/>
    <w:rsid w:val="00345593"/>
    <w:rsid w:val="0036034F"/>
    <w:rsid w:val="00391830"/>
    <w:rsid w:val="003A2980"/>
    <w:rsid w:val="003A794B"/>
    <w:rsid w:val="003B4F2A"/>
    <w:rsid w:val="003C483B"/>
    <w:rsid w:val="003F7199"/>
    <w:rsid w:val="0040154D"/>
    <w:rsid w:val="00427FC1"/>
    <w:rsid w:val="00454F18"/>
    <w:rsid w:val="00467E6B"/>
    <w:rsid w:val="004725E4"/>
    <w:rsid w:val="004954F6"/>
    <w:rsid w:val="004978C4"/>
    <w:rsid w:val="004D13DC"/>
    <w:rsid w:val="004E0873"/>
    <w:rsid w:val="004E4A4E"/>
    <w:rsid w:val="004E7254"/>
    <w:rsid w:val="004F0048"/>
    <w:rsid w:val="004F43E1"/>
    <w:rsid w:val="00502F3D"/>
    <w:rsid w:val="00546EAF"/>
    <w:rsid w:val="00551F98"/>
    <w:rsid w:val="00572B3F"/>
    <w:rsid w:val="00575F30"/>
    <w:rsid w:val="00577DE7"/>
    <w:rsid w:val="00596252"/>
    <w:rsid w:val="005A2430"/>
    <w:rsid w:val="005B0933"/>
    <w:rsid w:val="005C6D01"/>
    <w:rsid w:val="005D4BE4"/>
    <w:rsid w:val="005D4F43"/>
    <w:rsid w:val="005D793D"/>
    <w:rsid w:val="00614659"/>
    <w:rsid w:val="006371AD"/>
    <w:rsid w:val="0064581E"/>
    <w:rsid w:val="00674F1C"/>
    <w:rsid w:val="00693E8C"/>
    <w:rsid w:val="006B789B"/>
    <w:rsid w:val="006E0648"/>
    <w:rsid w:val="006F2691"/>
    <w:rsid w:val="00700176"/>
    <w:rsid w:val="007121F6"/>
    <w:rsid w:val="0071554F"/>
    <w:rsid w:val="00730851"/>
    <w:rsid w:val="00781712"/>
    <w:rsid w:val="00781919"/>
    <w:rsid w:val="00782FEE"/>
    <w:rsid w:val="007A0B74"/>
    <w:rsid w:val="007A5725"/>
    <w:rsid w:val="007E5EB6"/>
    <w:rsid w:val="00854611"/>
    <w:rsid w:val="0085675A"/>
    <w:rsid w:val="008877A2"/>
    <w:rsid w:val="00891DA9"/>
    <w:rsid w:val="008A1286"/>
    <w:rsid w:val="008A46C3"/>
    <w:rsid w:val="008B2B33"/>
    <w:rsid w:val="008C0DBB"/>
    <w:rsid w:val="008C487F"/>
    <w:rsid w:val="008C6E73"/>
    <w:rsid w:val="008C76ED"/>
    <w:rsid w:val="008D342B"/>
    <w:rsid w:val="008F5A85"/>
    <w:rsid w:val="009025C8"/>
    <w:rsid w:val="00920A88"/>
    <w:rsid w:val="00923DF3"/>
    <w:rsid w:val="00953224"/>
    <w:rsid w:val="00960821"/>
    <w:rsid w:val="009616DD"/>
    <w:rsid w:val="00983E5D"/>
    <w:rsid w:val="0098791C"/>
    <w:rsid w:val="009B280A"/>
    <w:rsid w:val="00A51C25"/>
    <w:rsid w:val="00A56AB3"/>
    <w:rsid w:val="00A66005"/>
    <w:rsid w:val="00AC243B"/>
    <w:rsid w:val="00B161C2"/>
    <w:rsid w:val="00B303BF"/>
    <w:rsid w:val="00B45DF5"/>
    <w:rsid w:val="00B539D1"/>
    <w:rsid w:val="00BE44EC"/>
    <w:rsid w:val="00BE4C2C"/>
    <w:rsid w:val="00C2247B"/>
    <w:rsid w:val="00C2482B"/>
    <w:rsid w:val="00C348DC"/>
    <w:rsid w:val="00C37896"/>
    <w:rsid w:val="00C5720E"/>
    <w:rsid w:val="00C66141"/>
    <w:rsid w:val="00C80F9A"/>
    <w:rsid w:val="00C818C5"/>
    <w:rsid w:val="00C91C52"/>
    <w:rsid w:val="00CD4FE8"/>
    <w:rsid w:val="00CE42A8"/>
    <w:rsid w:val="00CE5342"/>
    <w:rsid w:val="00CF3B6A"/>
    <w:rsid w:val="00D42D05"/>
    <w:rsid w:val="00D7249E"/>
    <w:rsid w:val="00D84F20"/>
    <w:rsid w:val="00DB28CE"/>
    <w:rsid w:val="00DB2E2B"/>
    <w:rsid w:val="00DC0563"/>
    <w:rsid w:val="00DD7F9E"/>
    <w:rsid w:val="00DE1DC4"/>
    <w:rsid w:val="00E157EF"/>
    <w:rsid w:val="00E17369"/>
    <w:rsid w:val="00E26053"/>
    <w:rsid w:val="00E4342F"/>
    <w:rsid w:val="00E6312F"/>
    <w:rsid w:val="00E83C96"/>
    <w:rsid w:val="00E957FB"/>
    <w:rsid w:val="00EC11F4"/>
    <w:rsid w:val="00F15F1E"/>
    <w:rsid w:val="00F51A90"/>
    <w:rsid w:val="00F62EF8"/>
    <w:rsid w:val="00F7486A"/>
    <w:rsid w:val="00FA3B23"/>
    <w:rsid w:val="00FC59DE"/>
    <w:rsid w:val="00FE4A4B"/>
    <w:rsid w:val="0636499F"/>
    <w:rsid w:val="067818A3"/>
    <w:rsid w:val="0831375C"/>
    <w:rsid w:val="0C8D3125"/>
    <w:rsid w:val="0F1A08EF"/>
    <w:rsid w:val="1B9B10D2"/>
    <w:rsid w:val="1F485A5A"/>
    <w:rsid w:val="24AD70CB"/>
    <w:rsid w:val="2CBB2FF0"/>
    <w:rsid w:val="31046516"/>
    <w:rsid w:val="3B2B7F1D"/>
    <w:rsid w:val="472960BE"/>
    <w:rsid w:val="62B13DF7"/>
    <w:rsid w:val="6E3E0DF2"/>
    <w:rsid w:val="74BA7D9A"/>
    <w:rsid w:val="C4F74B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2"/>
    <w:semiHidden/>
    <w:qFormat/>
    <w:uiPriority w:val="0"/>
    <w:pPr>
      <w:widowControl/>
      <w:kinsoku w:val="0"/>
      <w:autoSpaceDE w:val="0"/>
      <w:autoSpaceDN w:val="0"/>
      <w:adjustRightInd w:val="0"/>
      <w:snapToGrid w:val="0"/>
      <w:jc w:val="left"/>
      <w:textAlignment w:val="baseline"/>
    </w:pPr>
    <w:rPr>
      <w:rFonts w:ascii="仿宋" w:hAnsi="仿宋" w:eastAsia="仿宋" w:cs="仿宋"/>
      <w:snapToGrid w:val="0"/>
      <w:color w:val="000000"/>
      <w:kern w:val="0"/>
      <w:sz w:val="35"/>
      <w:szCs w:val="35"/>
      <w:lang w:eastAsia="en-US"/>
    </w:rPr>
  </w:style>
  <w:style w:type="paragraph" w:styleId="3">
    <w:name w:val="Body Text Indent"/>
    <w:basedOn w:val="1"/>
    <w:link w:val="13"/>
    <w:semiHidden/>
    <w:unhideWhenUsed/>
    <w:qFormat/>
    <w:uiPriority w:val="99"/>
    <w:pPr>
      <w:spacing w:after="120"/>
      <w:ind w:left="420" w:leftChars="200"/>
    </w:pPr>
  </w:style>
  <w:style w:type="paragraph" w:styleId="4">
    <w:name w:val="Balloon Text"/>
    <w:basedOn w:val="1"/>
    <w:link w:val="17"/>
    <w:semiHidden/>
    <w:unhideWhenUsed/>
    <w:qFormat/>
    <w:uiPriority w:val="99"/>
    <w:rPr>
      <w:sz w:val="18"/>
      <w:szCs w:val="18"/>
    </w:rPr>
  </w:style>
  <w:style w:type="paragraph" w:styleId="5">
    <w:name w:val="footnote text"/>
    <w:basedOn w:val="1"/>
    <w:link w:val="22"/>
    <w:semiHidden/>
    <w:unhideWhenUsed/>
    <w:qFormat/>
    <w:uiPriority w:val="99"/>
    <w:pPr>
      <w:snapToGrid w:val="0"/>
      <w:jc w:val="left"/>
    </w:pPr>
    <w:rPr>
      <w:sz w:val="18"/>
    </w:rPr>
  </w:style>
  <w:style w:type="paragraph" w:styleId="6">
    <w:name w:val="Normal (Web)"/>
    <w:basedOn w:val="1"/>
    <w:unhideWhenUsed/>
    <w:qFormat/>
    <w:uiPriority w:val="99"/>
    <w:pPr>
      <w:spacing w:before="100" w:beforeAutospacing="1" w:after="100" w:afterAutospacing="1"/>
    </w:pPr>
    <w:rPr>
      <w:rFonts w:ascii="Times New Roman" w:hAnsi="Times New Roman"/>
      <w:sz w:val="24"/>
      <w:szCs w:val="20"/>
    </w:rPr>
  </w:style>
  <w:style w:type="paragraph" w:styleId="7">
    <w:name w:val="Body Text First Indent"/>
    <w:basedOn w:val="2"/>
    <w:link w:val="21"/>
    <w:semiHidden/>
    <w:unhideWhenUsed/>
    <w:qFormat/>
    <w:uiPriority w:val="99"/>
    <w:pPr>
      <w:widowControl w:val="0"/>
      <w:kinsoku/>
      <w:autoSpaceDE/>
      <w:autoSpaceDN/>
      <w:adjustRightInd/>
      <w:snapToGrid/>
      <w:spacing w:after="120"/>
      <w:ind w:firstLine="420" w:firstLineChars="100"/>
      <w:jc w:val="both"/>
      <w:textAlignment w:val="auto"/>
    </w:pPr>
    <w:rPr>
      <w:rFonts w:ascii="Calibri" w:hAnsi="Calibri" w:eastAsia="宋体" w:cs="Times New Roman"/>
      <w:snapToGrid/>
      <w:color w:val="auto"/>
      <w:kern w:val="2"/>
      <w:sz w:val="21"/>
      <w:szCs w:val="24"/>
      <w:lang w:eastAsia="zh-CN"/>
    </w:rPr>
  </w:style>
  <w:style w:type="paragraph" w:styleId="8">
    <w:name w:val="Body Text First Indent 2"/>
    <w:basedOn w:val="3"/>
    <w:link w:val="14"/>
    <w:unhideWhenUsed/>
    <w:qFormat/>
    <w:uiPriority w:val="99"/>
    <w:pPr>
      <w:widowControl/>
      <w:spacing w:before="120"/>
      <w:ind w:firstLine="420" w:firstLineChars="200"/>
    </w:pPr>
    <w:rPr>
      <w:rFonts w:asciiTheme="minorHAnsi" w:hAnsiTheme="minorHAnsi" w:eastAsiaTheme="minorEastAsia" w:cstheme="minorBidi"/>
      <w:sz w:val="22"/>
      <w:szCs w:val="22"/>
      <w:lang w:eastAsia="en-US"/>
    </w:rPr>
  </w:style>
  <w:style w:type="character" w:styleId="11">
    <w:name w:val="footnote reference"/>
    <w:basedOn w:val="10"/>
    <w:semiHidden/>
    <w:unhideWhenUsed/>
    <w:qFormat/>
    <w:uiPriority w:val="99"/>
    <w:rPr>
      <w:vertAlign w:val="superscript"/>
    </w:rPr>
  </w:style>
  <w:style w:type="character" w:customStyle="1" w:styleId="12">
    <w:name w:val="正文文本 Char"/>
    <w:basedOn w:val="10"/>
    <w:link w:val="2"/>
    <w:semiHidden/>
    <w:qFormat/>
    <w:uiPriority w:val="0"/>
    <w:rPr>
      <w:rFonts w:ascii="仿宋" w:hAnsi="仿宋" w:eastAsia="仿宋" w:cs="仿宋"/>
      <w:snapToGrid w:val="0"/>
      <w:color w:val="000000"/>
      <w:kern w:val="0"/>
      <w:sz w:val="35"/>
      <w:szCs w:val="35"/>
      <w:lang w:eastAsia="en-US"/>
    </w:rPr>
  </w:style>
  <w:style w:type="character" w:customStyle="1" w:styleId="13">
    <w:name w:val="正文文本缩进 Char"/>
    <w:basedOn w:val="10"/>
    <w:link w:val="3"/>
    <w:semiHidden/>
    <w:qFormat/>
    <w:uiPriority w:val="99"/>
    <w:rPr>
      <w:rFonts w:ascii="Calibri" w:hAnsi="Calibri" w:eastAsia="宋体" w:cs="Times New Roman"/>
      <w:szCs w:val="24"/>
    </w:rPr>
  </w:style>
  <w:style w:type="character" w:customStyle="1" w:styleId="14">
    <w:name w:val="正文首行缩进 2 Char"/>
    <w:basedOn w:val="13"/>
    <w:link w:val="8"/>
    <w:qFormat/>
    <w:uiPriority w:val="99"/>
    <w:rPr>
      <w:sz w:val="22"/>
      <w:lang w:eastAsia="en-US"/>
    </w:rPr>
  </w:style>
  <w:style w:type="paragraph" w:customStyle="1" w:styleId="15">
    <w:name w:val="列出段落1"/>
    <w:basedOn w:val="1"/>
    <w:next w:val="1"/>
    <w:qFormat/>
    <w:uiPriority w:val="0"/>
    <w:pPr>
      <w:widowControl/>
      <w:ind w:firstLine="300" w:firstLineChars="200"/>
      <w:jc w:val="center"/>
    </w:pPr>
    <w:rPr>
      <w:rFonts w:asciiTheme="minorHAnsi" w:hAnsiTheme="minorHAnsi" w:eastAsiaTheme="minorEastAsia" w:cstheme="minorBidi"/>
      <w:sz w:val="15"/>
      <w:szCs w:val="15"/>
    </w:rPr>
  </w:style>
  <w:style w:type="character" w:customStyle="1" w:styleId="16">
    <w:name w:val="font31"/>
    <w:basedOn w:val="10"/>
    <w:qFormat/>
    <w:uiPriority w:val="0"/>
    <w:rPr>
      <w:rFonts w:ascii="宋体" w:hAnsi="宋体" w:eastAsia="宋体" w:cs="宋体"/>
      <w:b/>
      <w:bCs/>
      <w:color w:val="000000"/>
      <w:sz w:val="18"/>
      <w:szCs w:val="18"/>
      <w:u w:val="none"/>
    </w:rPr>
  </w:style>
  <w:style w:type="character" w:customStyle="1" w:styleId="17">
    <w:name w:val="批注框文本 Char"/>
    <w:basedOn w:val="10"/>
    <w:link w:val="4"/>
    <w:semiHidden/>
    <w:qFormat/>
    <w:uiPriority w:val="99"/>
    <w:rPr>
      <w:rFonts w:ascii="Calibri" w:hAnsi="Calibri" w:eastAsia="宋体" w:cs="Times New Roman"/>
      <w:sz w:val="18"/>
      <w:szCs w:val="18"/>
    </w:rPr>
  </w:style>
  <w:style w:type="character" w:customStyle="1" w:styleId="18">
    <w:name w:val="15"/>
    <w:basedOn w:val="10"/>
    <w:qFormat/>
    <w:uiPriority w:val="0"/>
  </w:style>
  <w:style w:type="character" w:customStyle="1" w:styleId="19">
    <w:name w:val="text_iwss0"/>
    <w:basedOn w:val="10"/>
    <w:qFormat/>
    <w:uiPriority w:val="0"/>
  </w:style>
  <w:style w:type="paragraph" w:styleId="20">
    <w:name w:val="List Paragraph"/>
    <w:basedOn w:val="1"/>
    <w:unhideWhenUsed/>
    <w:qFormat/>
    <w:uiPriority w:val="99"/>
    <w:pPr>
      <w:ind w:firstLine="420" w:firstLineChars="200"/>
    </w:pPr>
  </w:style>
  <w:style w:type="character" w:customStyle="1" w:styleId="21">
    <w:name w:val="正文首行缩进 Char"/>
    <w:basedOn w:val="12"/>
    <w:link w:val="7"/>
    <w:semiHidden/>
    <w:qFormat/>
    <w:uiPriority w:val="99"/>
    <w:rPr>
      <w:rFonts w:ascii="Calibri" w:hAnsi="Calibri" w:eastAsia="宋体" w:cs="Times New Roman"/>
      <w:kern w:val="2"/>
      <w:sz w:val="21"/>
      <w:szCs w:val="24"/>
    </w:rPr>
  </w:style>
  <w:style w:type="character" w:customStyle="1" w:styleId="22">
    <w:name w:val="脚注文本 Char"/>
    <w:basedOn w:val="10"/>
    <w:link w:val="5"/>
    <w:semiHidden/>
    <w:qFormat/>
    <w:uiPriority w:val="99"/>
    <w:rPr>
      <w:rFonts w:ascii="Calibri" w:hAnsi="Calibri" w:eastAsia="宋体" w:cs="Times New Roman"/>
      <w:kern w:val="2"/>
      <w:sz w:val="18"/>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12</Pages>
  <Words>4944</Words>
  <Characters>5126</Characters>
  <Lines>38</Lines>
  <Paragraphs>10</Paragraphs>
  <TotalTime>0</TotalTime>
  <ScaleCrop>false</ScaleCrop>
  <LinksUpToDate>false</LinksUpToDate>
  <CharactersWithSpaces>5270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2025-09-24T00:31:00Z</dcterms:created>
  <dc:creator>李磊1</dc:creator>
  <cp:lastModifiedBy>WPS_1657592511</cp:lastModifiedBy>
  <cp:lastPrinted>2025-07-28T01:55:00Z</cp:lastPrinted>
  <dcterms:modified xsi:type="dcterms:W3CDTF">2025-09-24T01:50:53Z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2C40E856B9914755A10A04E96CAC7FBD_13</vt:lpwstr>
  </property>
</Properties>
</file>