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1491DE5">
      <w:pPr>
        <w:spacing w:after="478" w:line="500" w:lineRule="exact"/>
        <w:rPr>
          <w:rFonts w:eastAsia="仿宋_GB2312"/>
          <w:b/>
          <w:kern w:val="1"/>
          <w:sz w:val="44"/>
          <w:szCs w:val="44"/>
        </w:rPr>
      </w:pPr>
    </w:p>
    <w:p w14:paraId="210FB634">
      <w:pPr>
        <w:spacing w:after="478" w:line="500" w:lineRule="exact"/>
        <w:ind w:firstLine="4640" w:firstLineChars="1450"/>
        <w:rPr>
          <w:rFonts w:eastAsia="仿宋"/>
          <w:kern w:val="1"/>
          <w:sz w:val="32"/>
          <w:szCs w:val="32"/>
        </w:rPr>
      </w:pPr>
      <w:r>
        <w:rPr>
          <w:rFonts w:eastAsia="仿宋"/>
          <w:kern w:val="1"/>
          <w:sz w:val="32"/>
          <w:szCs w:val="32"/>
        </w:rPr>
        <w:t>潭环审(湘潭县)</w:t>
      </w:r>
      <w:r>
        <w:rPr>
          <w:rFonts w:eastAsia="仿宋"/>
          <w:sz w:val="32"/>
          <w:szCs w:val="32"/>
        </w:rPr>
        <w:t>〔202</w:t>
      </w:r>
      <w:r>
        <w:rPr>
          <w:rFonts w:hint="eastAsia" w:eastAsia="仿宋"/>
          <w:sz w:val="32"/>
          <w:szCs w:val="32"/>
        </w:rPr>
        <w:t>5</w:t>
      </w:r>
      <w:r>
        <w:rPr>
          <w:rFonts w:eastAsia="仿宋"/>
          <w:sz w:val="32"/>
          <w:szCs w:val="32"/>
        </w:rPr>
        <w:t xml:space="preserve">〕 </w:t>
      </w:r>
      <w:r>
        <w:rPr>
          <w:rFonts w:eastAsia="仿宋"/>
          <w:kern w:val="1"/>
          <w:sz w:val="32"/>
          <w:szCs w:val="32"/>
        </w:rPr>
        <w:t xml:space="preserve">号 </w:t>
      </w:r>
    </w:p>
    <w:p w14:paraId="70E909D4">
      <w:pPr>
        <w:spacing w:line="540" w:lineRule="exact"/>
        <w:rPr>
          <w:b/>
          <w:bCs/>
          <w:sz w:val="44"/>
          <w:szCs w:val="44"/>
        </w:rPr>
      </w:pPr>
    </w:p>
    <w:p w14:paraId="2E6004F1">
      <w:pPr>
        <w:spacing w:line="540" w:lineRule="exact"/>
        <w:jc w:val="center"/>
        <w:rPr>
          <w:b/>
          <w:bCs/>
          <w:sz w:val="44"/>
          <w:szCs w:val="44"/>
        </w:rPr>
      </w:pPr>
      <w:r>
        <w:rPr>
          <w:b/>
          <w:bCs/>
          <w:sz w:val="44"/>
          <w:szCs w:val="44"/>
        </w:rPr>
        <w:t>关于《湖南鼎桥机械有限公司</w:t>
      </w:r>
      <w:r>
        <w:rPr>
          <w:rFonts w:hint="eastAsia"/>
          <w:b/>
          <w:bCs/>
          <w:sz w:val="44"/>
          <w:szCs w:val="44"/>
        </w:rPr>
        <w:t>年产500台机车冷却塔专用设备不锈钢管路、液位传感器、液位显示器加工建设项目</w:t>
      </w:r>
      <w:r>
        <w:rPr>
          <w:b/>
          <w:bCs/>
          <w:sz w:val="44"/>
          <w:szCs w:val="44"/>
        </w:rPr>
        <w:t>环境影响报告表》的审批意见</w:t>
      </w:r>
    </w:p>
    <w:p w14:paraId="3C67E13B">
      <w:pPr>
        <w:spacing w:line="540" w:lineRule="exact"/>
        <w:rPr>
          <w:rFonts w:ascii="仿宋" w:hAnsi="仿宋" w:eastAsia="仿宋" w:cs="仿宋"/>
          <w:sz w:val="32"/>
          <w:szCs w:val="32"/>
        </w:rPr>
      </w:pPr>
      <w:r>
        <w:rPr>
          <w:rFonts w:hint="eastAsia" w:ascii="仿宋" w:hAnsi="仿宋" w:eastAsia="仿宋" w:cs="仿宋"/>
          <w:sz w:val="32"/>
          <w:szCs w:val="32"/>
        </w:rPr>
        <w:t xml:space="preserve"> </w:t>
      </w:r>
    </w:p>
    <w:p w14:paraId="5DD39D10">
      <w:pPr>
        <w:spacing w:line="480" w:lineRule="exact"/>
        <w:rPr>
          <w:rFonts w:ascii="仿宋" w:hAnsi="仿宋" w:eastAsia="仿宋" w:cs="仿宋"/>
          <w:sz w:val="32"/>
          <w:szCs w:val="32"/>
        </w:rPr>
      </w:pPr>
      <w:r>
        <w:rPr>
          <w:rFonts w:hint="eastAsia" w:ascii="仿宋" w:hAnsi="仿宋" w:eastAsia="仿宋" w:cs="仿宋"/>
          <w:sz w:val="32"/>
          <w:szCs w:val="32"/>
        </w:rPr>
        <w:t>湖南鼎桥机械有限公司：</w:t>
      </w:r>
    </w:p>
    <w:p w14:paraId="1474B5B1">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你公司由湖南中璟太禹环保科技有限公司编制的《湖南鼎桥机械有限公司年产500台机车冷却塔专用设备不锈钢管路、液位传感器、液位显示器加工建设项目环境影响报告表》（以下简称报告表）及相关材料已收悉。经研究，批复如下：</w:t>
      </w:r>
    </w:p>
    <w:p w14:paraId="44D6D473">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一、湖南鼎桥机械有限公司拟投资2000万元，选址于湘潭天易经开区柏屹智能装备配件园10栋B</w:t>
      </w:r>
      <w:r>
        <w:rPr>
          <w:rFonts w:hint="eastAsia" w:ascii="仿宋" w:hAnsi="仿宋" w:eastAsia="仿宋" w:cs="仿宋"/>
          <w:sz w:val="32"/>
          <w:szCs w:val="32"/>
          <w:vertAlign w:val="superscript"/>
        </w:rPr>
        <w:t>#</w:t>
      </w:r>
      <w:r>
        <w:rPr>
          <w:rFonts w:hint="eastAsia" w:ascii="仿宋" w:hAnsi="仿宋" w:eastAsia="仿宋" w:cs="仿宋"/>
          <w:sz w:val="32"/>
          <w:szCs w:val="32"/>
        </w:rPr>
        <w:t>已建标准厂房内，建设年产500台机车冷却塔专用设备不锈钢管路、液位传感器、液位显示器加工建设项目。总占地面积为1500m</w:t>
      </w:r>
      <w:r>
        <w:rPr>
          <w:rFonts w:hint="eastAsia" w:ascii="仿宋" w:hAnsi="仿宋" w:eastAsia="仿宋" w:cs="仿宋"/>
          <w:sz w:val="32"/>
          <w:szCs w:val="32"/>
          <w:vertAlign w:val="superscript"/>
        </w:rPr>
        <w:t>2</w:t>
      </w:r>
      <w:r>
        <w:rPr>
          <w:rFonts w:hint="eastAsia" w:ascii="仿宋" w:hAnsi="仿宋" w:eastAsia="仿宋" w:cs="仿宋"/>
          <w:sz w:val="32"/>
          <w:szCs w:val="32"/>
        </w:rPr>
        <w:t>，建筑面积2260m</w:t>
      </w:r>
      <w:r>
        <w:rPr>
          <w:rFonts w:hint="eastAsia" w:ascii="仿宋" w:hAnsi="仿宋" w:eastAsia="仿宋" w:cs="仿宋"/>
          <w:sz w:val="32"/>
          <w:szCs w:val="32"/>
          <w:vertAlign w:val="superscript"/>
        </w:rPr>
        <w:t>2</w:t>
      </w:r>
      <w:r>
        <w:rPr>
          <w:rFonts w:hint="eastAsia" w:ascii="仿宋" w:hAnsi="仿宋" w:eastAsia="仿宋" w:cs="仿宋"/>
          <w:sz w:val="32"/>
          <w:szCs w:val="32"/>
        </w:rPr>
        <w:t>。主要建设内容包括：生产车间、办公区、仓库等配套环保工程。主要产品方案包括：不锈钢管路</w:t>
      </w:r>
      <w:r>
        <w:rPr>
          <w:rFonts w:ascii="仿宋" w:hAnsi="仿宋" w:eastAsia="仿宋" w:cs="仿宋"/>
          <w:sz w:val="32"/>
          <w:szCs w:val="32"/>
        </w:rPr>
        <w:t>2000</w:t>
      </w:r>
      <w:bookmarkStart w:id="0" w:name="OLE_LINK3"/>
      <w:bookmarkStart w:id="1" w:name="OLE_LINK2"/>
      <w:r>
        <w:rPr>
          <w:rFonts w:hint="eastAsia" w:ascii="仿宋" w:hAnsi="仿宋" w:eastAsia="仿宋" w:cs="仿宋"/>
          <w:sz w:val="32"/>
          <w:szCs w:val="32"/>
        </w:rPr>
        <w:t>件/a</w:t>
      </w:r>
      <w:bookmarkEnd w:id="0"/>
      <w:bookmarkEnd w:id="1"/>
      <w:r>
        <w:rPr>
          <w:rFonts w:hint="eastAsia" w:ascii="仿宋" w:hAnsi="仿宋" w:eastAsia="仿宋" w:cs="仿宋"/>
          <w:sz w:val="32"/>
          <w:szCs w:val="32"/>
        </w:rPr>
        <w:t>、液位传感器500件/a、液位显示器500件/a。主要原辅材料及能源消耗包括：法兰1000个/a、管座5000个</w:t>
      </w:r>
      <w:r>
        <w:rPr>
          <w:rFonts w:ascii="仿宋" w:hAnsi="仿宋" w:eastAsia="仿宋" w:cs="仿宋"/>
          <w:sz w:val="32"/>
          <w:szCs w:val="32"/>
        </w:rPr>
        <w:t>/a</w:t>
      </w:r>
      <w:r>
        <w:rPr>
          <w:rFonts w:hint="eastAsia" w:ascii="仿宋" w:hAnsi="仿宋" w:eastAsia="仿宋" w:cs="仿宋"/>
          <w:sz w:val="32"/>
          <w:szCs w:val="32"/>
        </w:rPr>
        <w:t>、连接管2000个</w:t>
      </w:r>
      <w:r>
        <w:rPr>
          <w:rFonts w:ascii="仿宋" w:hAnsi="仿宋" w:eastAsia="仿宋" w:cs="仿宋"/>
          <w:sz w:val="32"/>
          <w:szCs w:val="32"/>
        </w:rPr>
        <w:t>/a</w:t>
      </w:r>
      <w:r>
        <w:rPr>
          <w:rFonts w:hint="eastAsia" w:ascii="仿宋" w:hAnsi="仿宋" w:eastAsia="仿宋" w:cs="仿宋"/>
          <w:sz w:val="32"/>
          <w:szCs w:val="32"/>
        </w:rPr>
        <w:t>、螺杆5000个</w:t>
      </w:r>
      <w:r>
        <w:rPr>
          <w:rFonts w:ascii="仿宋" w:hAnsi="仿宋" w:eastAsia="仿宋" w:cs="仿宋"/>
          <w:sz w:val="32"/>
          <w:szCs w:val="32"/>
        </w:rPr>
        <w:t>/a</w:t>
      </w:r>
      <w:r>
        <w:rPr>
          <w:rFonts w:hint="eastAsia" w:ascii="仿宋" w:hAnsi="仿宋" w:eastAsia="仿宋" w:cs="仿宋"/>
          <w:sz w:val="32"/>
          <w:szCs w:val="32"/>
        </w:rPr>
        <w:t>、铝座5000个</w:t>
      </w:r>
      <w:r>
        <w:rPr>
          <w:rFonts w:ascii="仿宋" w:hAnsi="仿宋" w:eastAsia="仿宋" w:cs="仿宋"/>
          <w:sz w:val="32"/>
          <w:szCs w:val="32"/>
        </w:rPr>
        <w:t>/a</w:t>
      </w:r>
      <w:r>
        <w:rPr>
          <w:rFonts w:hint="eastAsia" w:ascii="仿宋" w:hAnsi="仿宋" w:eastAsia="仿宋" w:cs="仿宋"/>
          <w:sz w:val="32"/>
          <w:szCs w:val="32"/>
        </w:rPr>
        <w:t>、焊接法兰1万个</w:t>
      </w:r>
      <w:r>
        <w:rPr>
          <w:rFonts w:ascii="仿宋" w:hAnsi="仿宋" w:eastAsia="仿宋" w:cs="仿宋"/>
          <w:sz w:val="32"/>
          <w:szCs w:val="32"/>
        </w:rPr>
        <w:t>/a</w:t>
      </w:r>
      <w:r>
        <w:rPr>
          <w:rFonts w:hint="eastAsia" w:ascii="仿宋" w:hAnsi="仿宋" w:eastAsia="仿宋" w:cs="仿宋"/>
          <w:sz w:val="32"/>
          <w:szCs w:val="32"/>
        </w:rPr>
        <w:t>、氩气80罐</w:t>
      </w:r>
      <w:r>
        <w:rPr>
          <w:rFonts w:ascii="仿宋" w:hAnsi="仿宋" w:eastAsia="仿宋" w:cs="仿宋"/>
          <w:sz w:val="32"/>
          <w:szCs w:val="32"/>
        </w:rPr>
        <w:t>/a</w:t>
      </w:r>
      <w:r>
        <w:rPr>
          <w:rFonts w:hint="eastAsia" w:ascii="仿宋" w:hAnsi="仿宋" w:eastAsia="仿宋" w:cs="仿宋"/>
          <w:sz w:val="32"/>
          <w:szCs w:val="32"/>
        </w:rPr>
        <w:t>、实心焊丝0.05t</w:t>
      </w:r>
      <w:r>
        <w:rPr>
          <w:rFonts w:ascii="仿宋" w:hAnsi="仿宋" w:eastAsia="仿宋" w:cs="仿宋"/>
          <w:sz w:val="32"/>
          <w:szCs w:val="32"/>
        </w:rPr>
        <w:t>/a</w:t>
      </w:r>
      <w:r>
        <w:rPr>
          <w:rFonts w:hint="eastAsia" w:ascii="仿宋" w:hAnsi="仿宋" w:eastAsia="仿宋" w:cs="仿宋"/>
          <w:sz w:val="32"/>
          <w:szCs w:val="32"/>
        </w:rPr>
        <w:t>、切削液2t</w:t>
      </w:r>
      <w:r>
        <w:rPr>
          <w:rFonts w:ascii="仿宋" w:hAnsi="仿宋" w:eastAsia="仿宋" w:cs="仿宋"/>
          <w:sz w:val="32"/>
          <w:szCs w:val="32"/>
        </w:rPr>
        <w:t>/a</w:t>
      </w:r>
      <w:r>
        <w:rPr>
          <w:rFonts w:hint="eastAsia" w:ascii="仿宋" w:hAnsi="仿宋" w:eastAsia="仿宋" w:cs="仿宋"/>
          <w:sz w:val="32"/>
          <w:szCs w:val="32"/>
        </w:rPr>
        <w:t>、润滑油0.1t</w:t>
      </w:r>
      <w:r>
        <w:rPr>
          <w:rFonts w:ascii="仿宋" w:hAnsi="仿宋" w:eastAsia="仿宋" w:cs="仿宋"/>
          <w:sz w:val="32"/>
          <w:szCs w:val="32"/>
        </w:rPr>
        <w:t>/a</w:t>
      </w:r>
      <w:r>
        <w:rPr>
          <w:rFonts w:hint="eastAsia" w:ascii="仿宋" w:hAnsi="仿宋" w:eastAsia="仿宋" w:cs="仿宋"/>
          <w:sz w:val="32"/>
          <w:szCs w:val="32"/>
        </w:rPr>
        <w:t>、电路板1000件/a、不锈钢外壳1000件/a、水405.2m</w:t>
      </w:r>
      <w:r>
        <w:rPr>
          <w:rFonts w:hint="eastAsia" w:ascii="仿宋" w:hAnsi="仿宋" w:eastAsia="仿宋" w:cs="仿宋"/>
          <w:sz w:val="32"/>
          <w:szCs w:val="32"/>
          <w:vertAlign w:val="superscript"/>
        </w:rPr>
        <w:t>3</w:t>
      </w:r>
      <w:r>
        <w:rPr>
          <w:rFonts w:hint="eastAsia" w:ascii="仿宋" w:hAnsi="仿宋" w:eastAsia="仿宋" w:cs="仿宋"/>
          <w:sz w:val="32"/>
          <w:szCs w:val="32"/>
        </w:rPr>
        <w:t>/a、电6万</w:t>
      </w:r>
      <w:r>
        <w:rPr>
          <w:rFonts w:ascii="仿宋" w:hAnsi="仿宋" w:eastAsia="仿宋" w:cs="仿宋"/>
          <w:sz w:val="32"/>
          <w:szCs w:val="32"/>
        </w:rPr>
        <w:t>kW</w:t>
      </w:r>
      <w:r>
        <w:rPr>
          <w:rFonts w:hint="eastAsia" w:ascii="宋体" w:hAnsi="宋体" w:cs="宋体"/>
          <w:sz w:val="32"/>
          <w:szCs w:val="32"/>
        </w:rPr>
        <w:t>•</w:t>
      </w:r>
      <w:r>
        <w:rPr>
          <w:rFonts w:hint="eastAsia" w:ascii="仿宋" w:hAnsi="仿宋" w:eastAsia="仿宋" w:cs="仿宋"/>
          <w:sz w:val="32"/>
          <w:szCs w:val="32"/>
        </w:rPr>
        <w:t>h/a等。主要生产设备包括：数控车床6台、铣床3台、钻床2台、锯床2台、焊机3台、空压机1台、激光打标机2台、清洗水槽1个、超声波清洗器1台等。不锈钢管路生产工艺包括：机加工、焊接、清洗、保压、激光打标、成品；液位传感器、液位显示器生产工艺包括：组装、激光打标、成品。</w:t>
      </w:r>
    </w:p>
    <w:p w14:paraId="5A4044CE">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项目符合国家相关产业政策，与园区产业定位相符。根据湘潭天易经开区联合会议纪要和环评结论，经现场勘查，从环境保护的角度分析，同意项目按报告表中所列内容进行建设。</w:t>
      </w:r>
    </w:p>
    <w:p w14:paraId="367E08B1">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二、项目在运营期间，建设单位必须落实好报告表中提出的各项环保要求，落实环保“三同时”措施，确保各项污染物稳定达标排放，并须着重做好以下工作：</w:t>
      </w:r>
    </w:p>
    <w:p w14:paraId="7BFA939B">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1、废气污染防治工作。厂区内必须使用天然气、液化气或电等清洁能源。加强车间内通排风系统，设置单独焊接专区，焊接和激光打标工序产生的粉尘采取移动式焊烟净化器处理后，确保达到《大气污染物综合排放标准》（GB16297-1996）表2中无组织排放监控浓度限值要求。</w:t>
      </w:r>
    </w:p>
    <w:p w14:paraId="06E9B728">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废水污染防治工作。按照“雨污分流”的原则建设厂区排水管网。超声波清洗废水经沉淀处理后循环使用，不外排；生活污水经隔油、化粪池处理后，确保达到《污水综合排放标准》（GB8978-1996）表4中三级标准和湘潭县第一污水处理厂进水水质接纳标准后排入城市污水管网。</w:t>
      </w:r>
    </w:p>
    <w:p w14:paraId="7270E4E2">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3、噪声污染防治工作。优化厂区内设备布局，选用低噪声设备，并采取隔音、降噪和减震等措施，确保厂界噪声达到《工业企业厂界环境噪声排放标准》（GB12348-2008）中3类标准限制。</w:t>
      </w:r>
    </w:p>
    <w:p w14:paraId="098149E8">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4、固体废物污染防治工作。废包装材料、焊渣</w:t>
      </w:r>
      <w:r>
        <w:rPr>
          <w:rFonts w:hint="eastAsia" w:ascii="仿宋" w:hAnsi="仿宋" w:eastAsia="仿宋" w:cs="仿宋"/>
          <w:sz w:val="32"/>
          <w:szCs w:val="32"/>
          <w:lang w:eastAsia="zh-CN"/>
        </w:rPr>
        <w:t>、废百洁布</w:t>
      </w:r>
      <w:r>
        <w:rPr>
          <w:rFonts w:hint="eastAsia" w:ascii="仿宋" w:hAnsi="仿宋" w:eastAsia="仿宋" w:cs="仿宋"/>
          <w:sz w:val="32"/>
          <w:szCs w:val="32"/>
        </w:rPr>
        <w:t>分类收集后，外售回收单位综合利用；不合格品经收集后回用于生产工序。废切削液、废润滑油、清洗槽含油废水（沉渣）、含油抹布手套等危险废物，须按照《危险废物贮存污染控制标准》（GB/18597-2023）要求进行收集贮存后，交由资质单位进行处理并报县分局备案，危废暂存间须按相关要求设置并建立相关台账，规范设立标识标牌等；生活垃圾分类收集后，定期交由环卫部门妥善处理。</w:t>
      </w:r>
    </w:p>
    <w:p w14:paraId="6AA54DD0">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5、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01713F52">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w:t>
      </w:r>
      <w:bookmarkStart w:id="2" w:name="OLE_LINK4"/>
      <w:bookmarkEnd w:id="2"/>
      <w:r>
        <w:rPr>
          <w:rFonts w:hint="eastAsia" w:ascii="仿宋" w:hAnsi="仿宋" w:eastAsia="仿宋" w:cs="仿宋"/>
          <w:sz w:val="32"/>
          <w:szCs w:val="32"/>
        </w:rPr>
        <w:t>项目启动生产设施或实际排污之前，须取得排污许可手续，并按照规定依法开展竣工环境保护验收工作。</w:t>
      </w:r>
    </w:p>
    <w:p w14:paraId="12E6B9A2">
      <w:pPr>
        <w:spacing w:line="480" w:lineRule="exact"/>
        <w:ind w:firstLine="640" w:firstLineChars="200"/>
        <w:rPr>
          <w:rFonts w:ascii="仿宋" w:hAnsi="仿宋" w:eastAsia="仿宋" w:cs="仿宋"/>
          <w:sz w:val="32"/>
          <w:szCs w:val="32"/>
          <w:shd w:val="clear" w:color="050000" w:fill="auto"/>
        </w:rPr>
      </w:pPr>
      <w:r>
        <w:rPr>
          <w:rFonts w:hint="eastAsia" w:ascii="仿宋" w:hAnsi="仿宋" w:eastAsia="仿宋" w:cs="仿宋"/>
          <w:sz w:val="32"/>
          <w:szCs w:val="32"/>
        </w:rPr>
        <w:t>四、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35C58983">
      <w:pPr>
        <w:spacing w:line="480" w:lineRule="exact"/>
        <w:ind w:firstLine="640" w:firstLineChars="200"/>
        <w:rPr>
          <w:rFonts w:ascii="仿宋" w:hAnsi="仿宋" w:eastAsia="仿宋" w:cs="仿宋"/>
          <w:color w:val="FF0000"/>
          <w:sz w:val="32"/>
          <w:szCs w:val="32"/>
        </w:rPr>
      </w:pPr>
    </w:p>
    <w:p w14:paraId="3C35BE67">
      <w:pPr>
        <w:spacing w:before="191" w:line="540" w:lineRule="exact"/>
        <w:ind w:firstLine="480"/>
        <w:rPr>
          <w:rFonts w:ascii="仿宋" w:hAnsi="仿宋" w:eastAsia="仿宋" w:cs="仿宋"/>
          <w:color w:val="FF0000"/>
          <w:sz w:val="32"/>
          <w:szCs w:val="32"/>
        </w:rPr>
      </w:pPr>
      <w:r>
        <w:rPr>
          <w:rFonts w:hint="eastAsia" w:ascii="仿宋" w:hAnsi="仿宋" w:eastAsia="仿宋" w:cs="仿宋"/>
          <w:color w:val="FF0000"/>
          <w:sz w:val="32"/>
          <w:szCs w:val="32"/>
        </w:rPr>
        <w:t xml:space="preserve">                              </w:t>
      </w:r>
    </w:p>
    <w:p w14:paraId="2999C24F">
      <w:pPr>
        <w:spacing w:before="191" w:line="540" w:lineRule="exact"/>
        <w:ind w:firstLine="480"/>
        <w:rPr>
          <w:rFonts w:ascii="仿宋" w:hAnsi="仿宋" w:eastAsia="仿宋" w:cs="仿宋"/>
          <w:color w:val="FF0000"/>
          <w:sz w:val="32"/>
          <w:szCs w:val="32"/>
        </w:rPr>
      </w:pPr>
    </w:p>
    <w:p w14:paraId="61660011">
      <w:pPr>
        <w:spacing w:before="191" w:line="540" w:lineRule="exact"/>
        <w:ind w:firstLine="480"/>
        <w:jc w:val="center"/>
        <w:rPr>
          <w:rFonts w:ascii="仿宋" w:hAnsi="仿宋" w:eastAsia="仿宋" w:cs="仿宋"/>
          <w:sz w:val="32"/>
          <w:szCs w:val="32"/>
        </w:rPr>
      </w:pPr>
      <w:r>
        <w:rPr>
          <w:rFonts w:hint="eastAsia" w:ascii="仿宋" w:hAnsi="仿宋" w:eastAsia="仿宋" w:cs="仿宋"/>
          <w:color w:val="FF0000"/>
          <w:sz w:val="32"/>
          <w:szCs w:val="32"/>
        </w:rPr>
        <w:t xml:space="preserve">            </w:t>
      </w:r>
      <w:r>
        <w:rPr>
          <w:rFonts w:hint="eastAsia" w:ascii="仿宋" w:hAnsi="仿宋" w:eastAsia="仿宋" w:cs="仿宋"/>
          <w:sz w:val="32"/>
          <w:szCs w:val="32"/>
        </w:rPr>
        <w:t xml:space="preserve">    (盖  章)</w:t>
      </w:r>
    </w:p>
    <w:p w14:paraId="43E86539">
      <w:pPr>
        <w:spacing w:line="540" w:lineRule="exact"/>
        <w:ind w:firstLine="480"/>
        <w:jc w:val="center"/>
        <w:rPr>
          <w:rFonts w:hint="eastAsia" w:ascii="仿宋" w:hAnsi="仿宋" w:eastAsia="仿宋" w:cs="仿宋"/>
          <w:sz w:val="32"/>
          <w:szCs w:val="32"/>
        </w:rPr>
      </w:pPr>
      <w:r>
        <w:rPr>
          <w:rFonts w:hint="eastAsia" w:ascii="仿宋" w:hAnsi="仿宋" w:eastAsia="仿宋" w:cs="仿宋"/>
          <w:sz w:val="32"/>
          <w:szCs w:val="32"/>
        </w:rPr>
        <w:t xml:space="preserve">               2025年9月</w:t>
      </w:r>
      <w:r>
        <w:rPr>
          <w:rFonts w:hint="eastAsia" w:ascii="仿宋" w:hAnsi="仿宋" w:eastAsia="仿宋" w:cs="仿宋"/>
          <w:sz w:val="32"/>
          <w:szCs w:val="32"/>
          <w:lang w:val="en-US" w:eastAsia="zh-CN"/>
        </w:rPr>
        <w:t>1</w:t>
      </w:r>
      <w:bookmarkStart w:id="3" w:name="_GoBack"/>
      <w:bookmarkEnd w:id="3"/>
      <w:r>
        <w:rPr>
          <w:rFonts w:hint="eastAsia" w:ascii="仿宋" w:hAnsi="仿宋" w:eastAsia="仿宋" w:cs="仿宋"/>
          <w:sz w:val="32"/>
          <w:szCs w:val="32"/>
          <w:lang w:val="en-US" w:eastAsia="zh-CN"/>
        </w:rPr>
        <w:t>7</w:t>
      </w:r>
      <w:r>
        <w:rPr>
          <w:rFonts w:hint="eastAsia" w:ascii="仿宋" w:hAnsi="仿宋" w:eastAsia="仿宋" w:cs="仿宋"/>
          <w:sz w:val="32"/>
          <w:szCs w:val="32"/>
        </w:rPr>
        <w:t>日</w:t>
      </w:r>
    </w:p>
    <w:sectPr>
      <w:pgSz w:w="11907" w:h="16839"/>
      <w:pgMar w:top="1644" w:right="1474" w:bottom="1474" w:left="1531" w:header="851" w:footer="1020"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isplayVerticalDrawingGridEvery w:val="2"/>
  <w:characterSpacingControl w:val="doNotCompress"/>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NmNjQ5ZGQ5NDU3Yzc4ZTY5MjU5MjQ0MzFmN2ZmZmUifQ=="/>
    <w:docVar w:name="KSO_WPS_MARK_KEY" w:val="7d700812-c870-4615-aef2-3c6a58304550"/>
  </w:docVars>
  <w:rsids>
    <w:rsidRoot w:val="00DE3305"/>
    <w:rsid w:val="000E10F3"/>
    <w:rsid w:val="00153BEA"/>
    <w:rsid w:val="001F77D7"/>
    <w:rsid w:val="002251D8"/>
    <w:rsid w:val="00371059"/>
    <w:rsid w:val="00387BDA"/>
    <w:rsid w:val="004E0DE5"/>
    <w:rsid w:val="004E1326"/>
    <w:rsid w:val="00502196"/>
    <w:rsid w:val="00746FD7"/>
    <w:rsid w:val="00790FCE"/>
    <w:rsid w:val="00794049"/>
    <w:rsid w:val="008344CF"/>
    <w:rsid w:val="008457A8"/>
    <w:rsid w:val="0091359F"/>
    <w:rsid w:val="00B04350"/>
    <w:rsid w:val="00B7549F"/>
    <w:rsid w:val="00CC556A"/>
    <w:rsid w:val="00DE3305"/>
    <w:rsid w:val="00EC3032"/>
    <w:rsid w:val="00ED443A"/>
    <w:rsid w:val="03556E6F"/>
    <w:rsid w:val="062D7D16"/>
    <w:rsid w:val="07FB268C"/>
    <w:rsid w:val="159B3AA0"/>
    <w:rsid w:val="165D4B52"/>
    <w:rsid w:val="1A917057"/>
    <w:rsid w:val="236D524D"/>
    <w:rsid w:val="24F627AC"/>
    <w:rsid w:val="2968085F"/>
    <w:rsid w:val="2A000C80"/>
    <w:rsid w:val="335A7B2D"/>
    <w:rsid w:val="33B51A84"/>
    <w:rsid w:val="36AF4EB1"/>
    <w:rsid w:val="38420018"/>
    <w:rsid w:val="396401D4"/>
    <w:rsid w:val="398D43EB"/>
    <w:rsid w:val="436D0DDF"/>
    <w:rsid w:val="46BA43CE"/>
    <w:rsid w:val="47A520E4"/>
    <w:rsid w:val="49907383"/>
    <w:rsid w:val="53DC50DF"/>
    <w:rsid w:val="5C3C7C6E"/>
    <w:rsid w:val="5F932FC3"/>
    <w:rsid w:val="613832FA"/>
    <w:rsid w:val="66007B85"/>
    <w:rsid w:val="68F74DF0"/>
    <w:rsid w:val="692D4CEA"/>
    <w:rsid w:val="6ABA4ADE"/>
    <w:rsid w:val="6B4232E1"/>
    <w:rsid w:val="6C613F7C"/>
    <w:rsid w:val="6F61223D"/>
    <w:rsid w:val="70BC31A2"/>
    <w:rsid w:val="745F22F0"/>
    <w:rsid w:val="7ADC3D13"/>
    <w:rsid w:val="7C91402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character" w:customStyle="1" w:styleId="6">
    <w:name w:val="默认段落字体1"/>
    <w:semiHidden/>
    <w:qFormat/>
    <w:uiPriority w:val="0"/>
  </w:style>
  <w:style w:type="table" w:customStyle="1" w:styleId="7">
    <w:name w:val="普通表格1"/>
    <w:qFormat/>
    <w:uiPriority w:val="0"/>
    <w:tblPr>
      <w:tblCellMar>
        <w:top w:w="0" w:type="dxa"/>
        <w:left w:w="0" w:type="dxa"/>
        <w:bottom w:w="0" w:type="dxa"/>
        <w:right w:w="0" w:type="dxa"/>
      </w:tblCellMar>
    </w:tblPr>
  </w:style>
  <w:style w:type="paragraph" w:customStyle="1" w:styleId="8">
    <w:name w:val="批注文字1"/>
    <w:basedOn w:val="1"/>
    <w:qFormat/>
    <w:uiPriority w:val="0"/>
    <w:pPr>
      <w:jc w:val="left"/>
    </w:pPr>
  </w:style>
  <w:style w:type="paragraph" w:customStyle="1" w:styleId="9">
    <w:name w:val="正文文本1"/>
    <w:basedOn w:val="1"/>
    <w:qFormat/>
    <w:uiPriority w:val="0"/>
    <w:rPr>
      <w:sz w:val="32"/>
    </w:rPr>
  </w:style>
  <w:style w:type="paragraph" w:customStyle="1" w:styleId="10">
    <w:name w:val="正文文本缩进1"/>
    <w:basedOn w:val="1"/>
    <w:qFormat/>
    <w:uiPriority w:val="0"/>
    <w:pPr>
      <w:spacing w:line="336" w:lineRule="auto"/>
      <w:ind w:firstLine="539"/>
    </w:pPr>
    <w:rPr>
      <w:spacing w:val="6"/>
    </w:rPr>
  </w:style>
  <w:style w:type="paragraph" w:customStyle="1" w:styleId="11">
    <w:name w:val="正文文本缩进 21"/>
    <w:basedOn w:val="1"/>
    <w:qFormat/>
    <w:uiPriority w:val="0"/>
    <w:pPr>
      <w:spacing w:line="560" w:lineRule="exact"/>
      <w:ind w:firstLine="482"/>
    </w:pPr>
    <w:rPr>
      <w:spacing w:val="-20"/>
      <w:sz w:val="28"/>
    </w:r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kern w:val="2"/>
      <w:sz w:val="18"/>
      <w:szCs w:val="18"/>
    </w:rPr>
  </w:style>
  <w:style w:type="paragraph" w:customStyle="1" w:styleId="14">
    <w:name w:val="页脚1"/>
    <w:basedOn w:val="1"/>
    <w:qFormat/>
    <w:uiPriority w:val="0"/>
    <w:pPr>
      <w:tabs>
        <w:tab w:val="center" w:pos="4153"/>
        <w:tab w:val="right" w:pos="8306"/>
      </w:tabs>
      <w:snapToGrid w:val="0"/>
      <w:jc w:val="left"/>
    </w:pPr>
    <w:rPr>
      <w:sz w:val="18"/>
      <w:szCs w:val="18"/>
    </w:rPr>
  </w:style>
  <w:style w:type="paragraph" w:customStyle="1" w:styleId="15">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6">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7">
    <w:name w:val="正文首行缩进1"/>
    <w:basedOn w:val="9"/>
    <w:qFormat/>
    <w:uiPriority w:val="0"/>
    <w:pPr>
      <w:spacing w:after="120"/>
      <w:ind w:firstLine="420" w:firstLineChars="100"/>
    </w:pPr>
    <w:rPr>
      <w:b/>
      <w:bCs/>
    </w:rPr>
  </w:style>
  <w:style w:type="character" w:customStyle="1" w:styleId="18">
    <w:name w:val="页码1"/>
    <w:basedOn w:val="6"/>
    <w:qFormat/>
    <w:uiPriority w:val="0"/>
  </w:style>
  <w:style w:type="paragraph" w:customStyle="1" w:styleId="19">
    <w:name w:val="Default"/>
    <w:basedOn w:val="20"/>
    <w:qFormat/>
    <w:uiPriority w:val="0"/>
    <w:rPr>
      <w:rFonts w:hAnsi="宋体"/>
      <w:color w:val="000000"/>
      <w:sz w:val="24"/>
      <w:szCs w:val="24"/>
    </w:rPr>
  </w:style>
  <w:style w:type="paragraph" w:customStyle="1" w:styleId="20">
    <w:name w:val="纯文本1"/>
    <w:basedOn w:val="1"/>
    <w:qFormat/>
    <w:uiPriority w:val="0"/>
    <w:pPr>
      <w:spacing w:line="360" w:lineRule="auto"/>
    </w:pPr>
    <w:rPr>
      <w:rFonts w:ascii="宋体" w:hAnsi="Courier New"/>
      <w:szCs w:val="21"/>
    </w:rPr>
  </w:style>
  <w:style w:type="character" w:customStyle="1" w:styleId="21">
    <w:name w:val="15"/>
    <w:qFormat/>
    <w:uiPriority w:val="0"/>
    <w:rPr>
      <w:rFonts w:ascii="Times New Roman" w:hAnsi="Times New Roman"/>
      <w:b/>
      <w:bCs/>
      <w:sz w:val="28"/>
      <w:szCs w:val="28"/>
    </w:rPr>
  </w:style>
  <w:style w:type="character" w:customStyle="1" w:styleId="22">
    <w:name w:val="tpc_content1"/>
    <w:qFormat/>
    <w:uiPriority w:val="0"/>
    <w:rPr>
      <w:sz w:val="18"/>
      <w:szCs w:val="18"/>
    </w:rPr>
  </w:style>
  <w:style w:type="paragraph" w:customStyle="1" w:styleId="23">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sz w:val="24"/>
    </w:rPr>
  </w:style>
  <w:style w:type="paragraph" w:customStyle="1" w:styleId="24">
    <w:name w:val="表格文字"/>
    <w:basedOn w:val="1"/>
    <w:qFormat/>
    <w:uiPriority w:val="0"/>
    <w:pPr>
      <w:snapToGrid w:val="0"/>
      <w:jc w:val="center"/>
    </w:pPr>
    <w:rPr>
      <w:color w:val="000000"/>
      <w:spacing w:val="6"/>
      <w:kern w:val="0"/>
    </w:rPr>
  </w:style>
  <w:style w:type="paragraph" w:customStyle="1" w:styleId="25">
    <w:name w:val="april正文"/>
    <w:basedOn w:val="26"/>
    <w:qFormat/>
    <w:uiPriority w:val="0"/>
    <w:pPr>
      <w:ind w:firstLine="504"/>
    </w:pPr>
    <w:rPr>
      <w:color w:val="FF0000"/>
      <w:spacing w:val="6"/>
      <w:kern w:val="0"/>
    </w:rPr>
  </w:style>
  <w:style w:type="paragraph" w:customStyle="1" w:styleId="26">
    <w:name w:val="报告书正文"/>
    <w:basedOn w:val="10"/>
    <w:qFormat/>
    <w:uiPriority w:val="0"/>
    <w:pPr>
      <w:spacing w:line="300" w:lineRule="auto"/>
      <w:ind w:firstLine="200"/>
    </w:pPr>
    <w:rPr>
      <w:spacing w:val="0"/>
    </w:rPr>
  </w:style>
  <w:style w:type="paragraph" w:customStyle="1" w:styleId="27">
    <w:name w:val="p15"/>
    <w:basedOn w:val="1"/>
    <w:qFormat/>
    <w:uiPriority w:val="0"/>
    <w:pPr>
      <w:widowControl/>
    </w:pPr>
    <w:rPr>
      <w:kern w:val="0"/>
      <w:szCs w:val="21"/>
    </w:rPr>
  </w:style>
  <w:style w:type="paragraph" w:customStyle="1" w:styleId="28">
    <w:name w:val="默认段落字体 Para Char Char Char Char Char Char Char"/>
    <w:basedOn w:val="1"/>
    <w:qFormat/>
    <w:uiPriority w:val="0"/>
    <w:rPr>
      <w:rFonts w:ascii="Calibri" w:hAnsi="Calibri"/>
      <w:szCs w:val="22"/>
    </w:rPr>
  </w:style>
  <w:style w:type="paragraph" w:customStyle="1" w:styleId="29">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sz w:val="24"/>
    </w:rPr>
  </w:style>
  <w:style w:type="paragraph" w:customStyle="1" w:styleId="30">
    <w:name w:val="p0"/>
    <w:basedOn w:val="1"/>
    <w:qFormat/>
    <w:uiPriority w:val="0"/>
    <w:pPr>
      <w:widowControl/>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1534</Words>
  <Characters>1671</Characters>
  <Lines>12</Lines>
  <Paragraphs>3</Paragraphs>
  <TotalTime>0</TotalTime>
  <ScaleCrop>false</ScaleCrop>
  <LinksUpToDate>false</LinksUpToDate>
  <CharactersWithSpaces>1739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2023-03-24T01:52:00Z</dcterms:created>
  <dc:creator>pp</dc:creator>
  <cp:lastModifiedBy>Tang</cp:lastModifiedBy>
  <dcterms:modified xsi:type="dcterms:W3CDTF">2025-09-16T08:30:58Z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E4FE6D224BC64C508A911A90C19C34CA</vt:lpwstr>
  </property>
  <property fmtid="{D5CDD505-2E9C-101B-9397-08002B2CF9AE}" pid="4" name="KSOTemplateDocerSaveRecord">
    <vt:lpwstr>eyJoZGlkIjoiZGVjMzdiZTJjZGY3NDFmYjczM2ZjNjI4ZWQ3OTE0N2QiLCJ1c2VySWQiOiIxMjk3NjkzMjgwIn0=</vt:lpwstr>
  </property>
</Properties>
</file>