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6854DE">
      <w:pPr>
        <w:jc w:val="center"/>
        <w:rPr>
          <w:rFonts w:ascii="Times New Roman" w:hAnsi="Times New Roman" w:eastAsia="宋体" w:cs="Times New Roman"/>
          <w:b/>
          <w:bCs/>
          <w:spacing w:val="28"/>
          <w:sz w:val="40"/>
          <w:szCs w:val="40"/>
          <w:highlight w:val="yellow"/>
        </w:rPr>
      </w:pPr>
    </w:p>
    <w:p w14:paraId="7F29B9F1">
      <w:pPr>
        <w:jc w:val="center"/>
        <w:rPr>
          <w:rFonts w:ascii="Times New Roman" w:hAnsi="Times New Roman" w:eastAsia="宋体" w:cs="Times New Roman"/>
          <w:b/>
          <w:bCs/>
          <w:spacing w:val="28"/>
          <w:sz w:val="44"/>
          <w:szCs w:val="44"/>
          <w:highlight w:val="yellow"/>
        </w:rPr>
      </w:pPr>
    </w:p>
    <w:p w14:paraId="612C297C">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湘潭天易经济开发区</w:t>
      </w:r>
    </w:p>
    <w:p w14:paraId="755C9DBE">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生态环境管理202</w:t>
      </w:r>
      <w:r>
        <w:rPr>
          <w:rFonts w:hint="eastAsia" w:ascii="Times New Roman" w:hAnsi="Times New Roman" w:eastAsia="宋体" w:cs="Times New Roman"/>
          <w:b/>
          <w:bCs/>
          <w:spacing w:val="28"/>
          <w:sz w:val="52"/>
          <w:szCs w:val="52"/>
        </w:rPr>
        <w:t>4</w:t>
      </w:r>
      <w:r>
        <w:rPr>
          <w:rFonts w:ascii="Times New Roman" w:hAnsi="Times New Roman" w:eastAsia="宋体" w:cs="Times New Roman"/>
          <w:b/>
          <w:bCs/>
          <w:spacing w:val="28"/>
          <w:sz w:val="52"/>
          <w:szCs w:val="52"/>
        </w:rPr>
        <w:t>年度</w:t>
      </w:r>
    </w:p>
    <w:p w14:paraId="12300140">
      <w:pPr>
        <w:jc w:val="center"/>
        <w:rPr>
          <w:rFonts w:ascii="Times New Roman" w:hAnsi="Times New Roman" w:eastAsia="宋体" w:cs="Times New Roman"/>
          <w:b/>
          <w:bCs/>
          <w:spacing w:val="28"/>
          <w:sz w:val="52"/>
          <w:szCs w:val="52"/>
        </w:rPr>
      </w:pPr>
    </w:p>
    <w:p w14:paraId="4FF6A01E">
      <w:pPr>
        <w:pStyle w:val="35"/>
        <w:rPr>
          <w:rFonts w:ascii="Times New Roman" w:hAnsi="Times New Roman" w:cs="Times New Roman"/>
        </w:rPr>
      </w:pPr>
    </w:p>
    <w:p w14:paraId="5C8E4FDA">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自</w:t>
      </w:r>
    </w:p>
    <w:p w14:paraId="63EDB38C">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评</w:t>
      </w:r>
    </w:p>
    <w:p w14:paraId="5080CDDF">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估</w:t>
      </w:r>
    </w:p>
    <w:p w14:paraId="0681B6E9">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报</w:t>
      </w:r>
    </w:p>
    <w:p w14:paraId="685D68B1">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告</w:t>
      </w:r>
    </w:p>
    <w:p w14:paraId="6469DE5C">
      <w:pPr>
        <w:pStyle w:val="35"/>
        <w:rPr>
          <w:rFonts w:ascii="Times New Roman" w:hAnsi="Times New Roman" w:eastAsia="宋体" w:cs="Times New Roman"/>
          <w:bCs/>
          <w:spacing w:val="28"/>
          <w:sz w:val="40"/>
          <w:szCs w:val="40"/>
        </w:rPr>
      </w:pPr>
    </w:p>
    <w:p w14:paraId="5AB8A390">
      <w:pPr>
        <w:pStyle w:val="35"/>
        <w:spacing w:before="0" w:beforeAutospacing="0" w:after="0" w:afterAutospacing="0" w:line="360" w:lineRule="auto"/>
        <w:rPr>
          <w:rFonts w:ascii="Times New Roman" w:hAnsi="Times New Roman" w:eastAsia="宋体" w:cs="Times New Roman"/>
          <w:bCs/>
          <w:spacing w:val="28"/>
          <w:sz w:val="40"/>
          <w:szCs w:val="40"/>
        </w:rPr>
      </w:pPr>
    </w:p>
    <w:p w14:paraId="5FF2EA0A">
      <w:pPr>
        <w:pStyle w:val="35"/>
        <w:spacing w:before="0" w:beforeAutospacing="0" w:after="0" w:afterAutospacing="0" w:line="360" w:lineRule="auto"/>
        <w:ind w:left="0"/>
        <w:rPr>
          <w:rFonts w:ascii="Times New Roman" w:hAnsi="Times New Roman" w:eastAsia="宋体" w:cs="Times New Roman"/>
          <w:bCs/>
          <w:spacing w:val="28"/>
          <w:sz w:val="32"/>
          <w:szCs w:val="32"/>
        </w:rPr>
      </w:pPr>
      <w:r>
        <w:rPr>
          <w:rFonts w:ascii="Times New Roman" w:hAnsi="Times New Roman" w:eastAsia="宋体" w:cs="Times New Roman"/>
          <w:bCs/>
          <w:spacing w:val="28"/>
          <w:sz w:val="32"/>
          <w:szCs w:val="32"/>
        </w:rPr>
        <w:t>湘潭天易经济开发区管理委员会</w:t>
      </w:r>
    </w:p>
    <w:p w14:paraId="3260DE17">
      <w:pPr>
        <w:pStyle w:val="35"/>
        <w:spacing w:before="0" w:beforeAutospacing="0" w:after="0" w:afterAutospacing="0" w:line="360" w:lineRule="auto"/>
        <w:ind w:left="0"/>
        <w:rPr>
          <w:rFonts w:ascii="Times New Roman" w:hAnsi="Times New Roman" w:eastAsia="宋体" w:cs="Times New Roman"/>
          <w:bCs/>
          <w:spacing w:val="28"/>
          <w:sz w:val="32"/>
          <w:szCs w:val="32"/>
        </w:rPr>
      </w:pPr>
      <w:r>
        <w:rPr>
          <w:rFonts w:ascii="Times New Roman" w:hAnsi="Times New Roman" w:eastAsia="宋体" w:cs="Times New Roman"/>
          <w:bCs/>
          <w:spacing w:val="28"/>
          <w:sz w:val="32"/>
          <w:szCs w:val="32"/>
        </w:rPr>
        <w:t>202</w:t>
      </w:r>
      <w:r>
        <w:rPr>
          <w:rFonts w:hint="eastAsia" w:ascii="Times New Roman" w:hAnsi="Times New Roman" w:eastAsia="宋体" w:cs="Times New Roman"/>
          <w:bCs/>
          <w:spacing w:val="28"/>
          <w:sz w:val="32"/>
          <w:szCs w:val="32"/>
        </w:rPr>
        <w:t>5</w:t>
      </w:r>
      <w:r>
        <w:rPr>
          <w:rFonts w:ascii="Times New Roman" w:hAnsi="Times New Roman" w:eastAsia="宋体" w:cs="Times New Roman"/>
          <w:bCs/>
          <w:spacing w:val="28"/>
          <w:sz w:val="32"/>
          <w:szCs w:val="32"/>
        </w:rPr>
        <w:t>年</w:t>
      </w:r>
      <w:r>
        <w:rPr>
          <w:rFonts w:hint="eastAsia" w:ascii="Times New Roman" w:hAnsi="Times New Roman" w:eastAsia="宋体" w:cs="Times New Roman"/>
          <w:bCs/>
          <w:spacing w:val="28"/>
          <w:sz w:val="32"/>
          <w:szCs w:val="32"/>
        </w:rPr>
        <w:t>2</w:t>
      </w:r>
      <w:r>
        <w:rPr>
          <w:rFonts w:ascii="Times New Roman" w:hAnsi="Times New Roman" w:eastAsia="宋体" w:cs="Times New Roman"/>
          <w:bCs/>
          <w:spacing w:val="28"/>
          <w:sz w:val="32"/>
          <w:szCs w:val="32"/>
        </w:rPr>
        <w:t>月</w:t>
      </w:r>
    </w:p>
    <w:p w14:paraId="4028CC80">
      <w:pPr>
        <w:pStyle w:val="35"/>
        <w:ind w:left="0"/>
        <w:rPr>
          <w:rFonts w:ascii="Times New Roman" w:hAnsi="Times New Roman" w:eastAsia="宋体" w:cs="Times New Roman"/>
          <w:bCs/>
          <w:spacing w:val="28"/>
          <w:sz w:val="32"/>
          <w:szCs w:val="32"/>
        </w:rPr>
        <w:sectPr>
          <w:footerReference r:id="rId3" w:type="default"/>
          <w:pgSz w:w="11906" w:h="16838"/>
          <w:pgMar w:top="1440" w:right="1440" w:bottom="1440" w:left="1800" w:header="851" w:footer="992" w:gutter="0"/>
          <w:pgNumType w:start="1"/>
          <w:cols w:space="720" w:num="1"/>
          <w:docGrid w:type="lines" w:linePitch="312" w:charSpace="0"/>
        </w:sectPr>
      </w:pPr>
    </w:p>
    <w:sdt>
      <w:sdtPr>
        <w:rPr>
          <w:rFonts w:ascii="Times New Roman" w:hAnsi="Times New Roman" w:eastAsia="宋体" w:cs="Times New Roman"/>
          <w:sz w:val="22"/>
          <w:szCs w:val="24"/>
          <w:highlight w:val="yellow"/>
        </w:rPr>
        <w:id w:val="147465564"/>
        <w:docPartObj>
          <w:docPartGallery w:val="Table of Contents"/>
          <w:docPartUnique/>
        </w:docPartObj>
      </w:sdtPr>
      <w:sdtEndPr>
        <w:rPr>
          <w:rFonts w:ascii="Times New Roman" w:hAnsi="Times New Roman" w:eastAsia="仿宋" w:cs="Times New Roman"/>
          <w:b/>
          <w:sz w:val="21"/>
          <w:szCs w:val="22"/>
          <w:highlight w:val="none"/>
        </w:rPr>
      </w:sdtEndPr>
      <w:sdtContent>
        <w:p w14:paraId="1B2C0251">
          <w:pPr>
            <w:jc w:val="center"/>
            <w:rPr>
              <w:rFonts w:ascii="Times New Roman" w:hAnsi="Times New Roman" w:eastAsia="宋体" w:cs="Times New Roman"/>
              <w:b/>
              <w:bCs/>
              <w:sz w:val="40"/>
              <w:szCs w:val="44"/>
            </w:rPr>
          </w:pPr>
          <w:bookmarkStart w:id="0" w:name="_Toc28272"/>
          <w:bookmarkStart w:id="1" w:name="_Toc19367"/>
          <w:r>
            <w:rPr>
              <w:rFonts w:ascii="Times New Roman" w:hAnsi="Times New Roman" w:eastAsia="宋体" w:cs="Times New Roman"/>
              <w:b/>
              <w:bCs/>
              <w:sz w:val="40"/>
              <w:szCs w:val="44"/>
            </w:rPr>
            <w:t>目录</w:t>
          </w:r>
        </w:p>
        <w:p w14:paraId="4DB9087F">
          <w:pPr>
            <w:pStyle w:val="8"/>
            <w:rPr>
              <w:rFonts w:ascii="Times New Roman" w:hAnsi="Times New Roman" w:cs="Times New Roman"/>
              <w:highlight w:val="yellow"/>
            </w:rPr>
          </w:pPr>
        </w:p>
        <w:p w14:paraId="25AD5E64">
          <w:pPr>
            <w:pStyle w:val="15"/>
            <w:tabs>
              <w:tab w:val="right" w:leader="dot" w:pos="8666"/>
            </w:tabs>
          </w:pPr>
          <w:r>
            <w:rPr>
              <w:rFonts w:ascii="Times New Roman" w:hAnsi="Times New Roman" w:cs="Times New Roman"/>
            </w:rPr>
            <w:fldChar w:fldCharType="begin"/>
          </w:r>
          <w:r>
            <w:rPr>
              <w:rFonts w:ascii="Times New Roman" w:hAnsi="Times New Roman" w:cs="Times New Roman"/>
            </w:rPr>
            <w:instrText xml:space="preserve">TOC \o "1-2" \h \u </w:instrText>
          </w:r>
          <w:r>
            <w:rPr>
              <w:rFonts w:ascii="Times New Roman" w:hAnsi="Times New Roman" w:cs="Times New Roman"/>
            </w:rPr>
            <w:fldChar w:fldCharType="separate"/>
          </w:r>
          <w:r>
            <w:fldChar w:fldCharType="begin"/>
          </w:r>
          <w:r>
            <w:instrText xml:space="preserve"> HYPERLINK \l "_Toc26129" </w:instrText>
          </w:r>
          <w:r>
            <w:fldChar w:fldCharType="separate"/>
          </w:r>
          <w:r>
            <w:rPr>
              <w:rFonts w:ascii="Times New Roman" w:hAnsi="Times New Roman" w:cs="Times New Roman"/>
            </w:rPr>
            <w:t>一、园区概况</w:t>
          </w:r>
          <w:r>
            <w:tab/>
          </w:r>
          <w:r>
            <w:fldChar w:fldCharType="begin"/>
          </w:r>
          <w:r>
            <w:instrText xml:space="preserve"> PAGEREF _Toc26129 \h </w:instrText>
          </w:r>
          <w:r>
            <w:fldChar w:fldCharType="separate"/>
          </w:r>
          <w:r>
            <w:t>1</w:t>
          </w:r>
          <w:r>
            <w:fldChar w:fldCharType="end"/>
          </w:r>
          <w:r>
            <w:fldChar w:fldCharType="end"/>
          </w:r>
        </w:p>
        <w:p w14:paraId="1219672D">
          <w:pPr>
            <w:pStyle w:val="15"/>
            <w:tabs>
              <w:tab w:val="right" w:leader="dot" w:pos="8666"/>
            </w:tabs>
          </w:pPr>
          <w:r>
            <w:fldChar w:fldCharType="begin"/>
          </w:r>
          <w:r>
            <w:instrText xml:space="preserve"> HYPERLINK \l "_Toc18520" </w:instrText>
          </w:r>
          <w:r>
            <w:fldChar w:fldCharType="separate"/>
          </w:r>
          <w:r>
            <w:rPr>
              <w:rFonts w:ascii="Times New Roman" w:hAnsi="Times New Roman" w:cs="Times New Roman"/>
            </w:rPr>
            <w:t>二、环境管理情况</w:t>
          </w:r>
          <w:r>
            <w:tab/>
          </w:r>
          <w:r>
            <w:fldChar w:fldCharType="begin"/>
          </w:r>
          <w:r>
            <w:instrText xml:space="preserve"> PAGEREF _Toc18520 \h </w:instrText>
          </w:r>
          <w:r>
            <w:fldChar w:fldCharType="separate"/>
          </w:r>
          <w:r>
            <w:t>3</w:t>
          </w:r>
          <w:r>
            <w:fldChar w:fldCharType="end"/>
          </w:r>
          <w:r>
            <w:fldChar w:fldCharType="end"/>
          </w:r>
        </w:p>
        <w:p w14:paraId="5456CF7F">
          <w:pPr>
            <w:pStyle w:val="17"/>
            <w:tabs>
              <w:tab w:val="right" w:leader="dot" w:pos="8666"/>
            </w:tabs>
          </w:pPr>
          <w:r>
            <w:fldChar w:fldCharType="begin"/>
          </w:r>
          <w:r>
            <w:instrText xml:space="preserve"> HYPERLINK \l "_Toc15552" </w:instrText>
          </w:r>
          <w:r>
            <w:fldChar w:fldCharType="separate"/>
          </w:r>
          <w:r>
            <w:rPr>
              <w:bCs/>
              <w:szCs w:val="32"/>
            </w:rPr>
            <w:t>（一）规划环评批复要求落实情况</w:t>
          </w:r>
          <w:r>
            <w:tab/>
          </w:r>
          <w:r>
            <w:fldChar w:fldCharType="begin"/>
          </w:r>
          <w:r>
            <w:instrText xml:space="preserve"> PAGEREF _Toc15552 \h </w:instrText>
          </w:r>
          <w:r>
            <w:fldChar w:fldCharType="separate"/>
          </w:r>
          <w:r>
            <w:t>3</w:t>
          </w:r>
          <w:r>
            <w:fldChar w:fldCharType="end"/>
          </w:r>
          <w:r>
            <w:fldChar w:fldCharType="end"/>
          </w:r>
        </w:p>
        <w:p w14:paraId="1A1A09F9">
          <w:pPr>
            <w:pStyle w:val="17"/>
            <w:tabs>
              <w:tab w:val="right" w:leader="dot" w:pos="8666"/>
            </w:tabs>
          </w:pPr>
          <w:r>
            <w:fldChar w:fldCharType="begin"/>
          </w:r>
          <w:r>
            <w:instrText xml:space="preserve"> HYPERLINK \l "_Toc24195" </w:instrText>
          </w:r>
          <w:r>
            <w:fldChar w:fldCharType="separate"/>
          </w:r>
          <w:r>
            <w:rPr>
              <w:bCs/>
              <w:szCs w:val="32"/>
              <w:lang w:val="en-US"/>
            </w:rPr>
            <w:t>（二）</w:t>
          </w:r>
          <w:r>
            <w:rPr>
              <w:rFonts w:hint="eastAsia"/>
              <w:bCs/>
              <w:szCs w:val="32"/>
              <w:lang w:val="en-US"/>
            </w:rPr>
            <w:t>生态环境分区管控总体管控要求落实情况</w:t>
          </w:r>
          <w:r>
            <w:tab/>
          </w:r>
          <w:r>
            <w:fldChar w:fldCharType="begin"/>
          </w:r>
          <w:r>
            <w:instrText xml:space="preserve"> PAGEREF _Toc24195 \h </w:instrText>
          </w:r>
          <w:r>
            <w:fldChar w:fldCharType="separate"/>
          </w:r>
          <w:r>
            <w:t>7</w:t>
          </w:r>
          <w:r>
            <w:fldChar w:fldCharType="end"/>
          </w:r>
          <w:r>
            <w:fldChar w:fldCharType="end"/>
          </w:r>
        </w:p>
        <w:p w14:paraId="4C336980">
          <w:pPr>
            <w:pStyle w:val="17"/>
            <w:tabs>
              <w:tab w:val="right" w:leader="dot" w:pos="8666"/>
            </w:tabs>
          </w:pPr>
          <w:r>
            <w:fldChar w:fldCharType="begin"/>
          </w:r>
          <w:r>
            <w:instrText xml:space="preserve"> HYPERLINK \l "_Toc19000" </w:instrText>
          </w:r>
          <w:r>
            <w:fldChar w:fldCharType="separate"/>
          </w:r>
          <w:r>
            <w:rPr>
              <w:bCs/>
              <w:szCs w:val="32"/>
            </w:rPr>
            <w:t>（三）水环境管理</w:t>
          </w:r>
          <w:r>
            <w:tab/>
          </w:r>
          <w:bookmarkStart w:id="48" w:name="_GoBack"/>
          <w:bookmarkEnd w:id="48"/>
          <w:r>
            <w:fldChar w:fldCharType="begin"/>
          </w:r>
          <w:r>
            <w:instrText xml:space="preserve"> PAGEREF _Toc19000 \h </w:instrText>
          </w:r>
          <w:r>
            <w:fldChar w:fldCharType="separate"/>
          </w:r>
          <w:r>
            <w:t>12</w:t>
          </w:r>
          <w:r>
            <w:fldChar w:fldCharType="end"/>
          </w:r>
          <w:r>
            <w:fldChar w:fldCharType="end"/>
          </w:r>
        </w:p>
        <w:p w14:paraId="72616735">
          <w:pPr>
            <w:pStyle w:val="17"/>
            <w:tabs>
              <w:tab w:val="right" w:leader="dot" w:pos="8666"/>
            </w:tabs>
          </w:pPr>
          <w:r>
            <w:fldChar w:fldCharType="begin"/>
          </w:r>
          <w:r>
            <w:instrText xml:space="preserve"> HYPERLINK \l "_Toc27211" </w:instrText>
          </w:r>
          <w:r>
            <w:fldChar w:fldCharType="separate"/>
          </w:r>
          <w:r>
            <w:rPr>
              <w:bCs/>
              <w:szCs w:val="32"/>
            </w:rPr>
            <w:t>（四）大气环境管理</w:t>
          </w:r>
          <w:r>
            <w:tab/>
          </w:r>
          <w:r>
            <w:fldChar w:fldCharType="begin"/>
          </w:r>
          <w:r>
            <w:instrText xml:space="preserve"> PAGEREF _Toc27211 \h </w:instrText>
          </w:r>
          <w:r>
            <w:fldChar w:fldCharType="separate"/>
          </w:r>
          <w:r>
            <w:t>16</w:t>
          </w:r>
          <w:r>
            <w:fldChar w:fldCharType="end"/>
          </w:r>
          <w:r>
            <w:fldChar w:fldCharType="end"/>
          </w:r>
        </w:p>
        <w:p w14:paraId="4D4CFC46">
          <w:pPr>
            <w:pStyle w:val="17"/>
            <w:tabs>
              <w:tab w:val="right" w:leader="dot" w:pos="8666"/>
            </w:tabs>
          </w:pPr>
          <w:r>
            <w:fldChar w:fldCharType="begin"/>
          </w:r>
          <w:r>
            <w:instrText xml:space="preserve"> HYPERLINK \l "_Toc7664" </w:instrText>
          </w:r>
          <w:r>
            <w:fldChar w:fldCharType="separate"/>
          </w:r>
          <w:r>
            <w:rPr>
              <w:bCs/>
              <w:szCs w:val="32"/>
            </w:rPr>
            <w:t>（五）土壤环境管理</w:t>
          </w:r>
          <w:r>
            <w:tab/>
          </w:r>
          <w:r>
            <w:fldChar w:fldCharType="begin"/>
          </w:r>
          <w:r>
            <w:instrText xml:space="preserve"> PAGEREF _Toc7664 \h </w:instrText>
          </w:r>
          <w:r>
            <w:fldChar w:fldCharType="separate"/>
          </w:r>
          <w:r>
            <w:t>19</w:t>
          </w:r>
          <w:r>
            <w:fldChar w:fldCharType="end"/>
          </w:r>
          <w:r>
            <w:fldChar w:fldCharType="end"/>
          </w:r>
        </w:p>
        <w:p w14:paraId="268015CB">
          <w:pPr>
            <w:pStyle w:val="17"/>
            <w:tabs>
              <w:tab w:val="right" w:leader="dot" w:pos="8666"/>
            </w:tabs>
          </w:pPr>
          <w:r>
            <w:fldChar w:fldCharType="begin"/>
          </w:r>
          <w:r>
            <w:instrText xml:space="preserve"> HYPERLINK \l "_Toc20247" </w:instrText>
          </w:r>
          <w:r>
            <w:fldChar w:fldCharType="separate"/>
          </w:r>
          <w:r>
            <w:rPr>
              <w:bCs/>
              <w:szCs w:val="32"/>
            </w:rPr>
            <w:t>（六）固体废物管理</w:t>
          </w:r>
          <w:r>
            <w:tab/>
          </w:r>
          <w:r>
            <w:fldChar w:fldCharType="begin"/>
          </w:r>
          <w:r>
            <w:instrText xml:space="preserve"> PAGEREF _Toc20247 \h </w:instrText>
          </w:r>
          <w:r>
            <w:fldChar w:fldCharType="separate"/>
          </w:r>
          <w:r>
            <w:t>19</w:t>
          </w:r>
          <w:r>
            <w:fldChar w:fldCharType="end"/>
          </w:r>
          <w:r>
            <w:fldChar w:fldCharType="end"/>
          </w:r>
        </w:p>
        <w:p w14:paraId="1523AB10">
          <w:pPr>
            <w:pStyle w:val="17"/>
            <w:tabs>
              <w:tab w:val="right" w:leader="dot" w:pos="8666"/>
            </w:tabs>
          </w:pPr>
          <w:r>
            <w:fldChar w:fldCharType="begin"/>
          </w:r>
          <w:r>
            <w:instrText xml:space="preserve"> HYPERLINK \l "_Toc80" </w:instrText>
          </w:r>
          <w:r>
            <w:fldChar w:fldCharType="separate"/>
          </w:r>
          <w:r>
            <w:rPr>
              <w:bCs/>
              <w:szCs w:val="32"/>
            </w:rPr>
            <w:t>（七）投诉管理</w:t>
          </w:r>
          <w:r>
            <w:tab/>
          </w:r>
          <w:r>
            <w:fldChar w:fldCharType="begin"/>
          </w:r>
          <w:r>
            <w:instrText xml:space="preserve"> PAGEREF _Toc80 \h </w:instrText>
          </w:r>
          <w:r>
            <w:fldChar w:fldCharType="separate"/>
          </w:r>
          <w:r>
            <w:t>20</w:t>
          </w:r>
          <w:r>
            <w:fldChar w:fldCharType="end"/>
          </w:r>
          <w:r>
            <w:fldChar w:fldCharType="end"/>
          </w:r>
        </w:p>
        <w:p w14:paraId="7D49FCF1">
          <w:pPr>
            <w:pStyle w:val="17"/>
            <w:tabs>
              <w:tab w:val="right" w:leader="dot" w:pos="8666"/>
            </w:tabs>
          </w:pPr>
          <w:r>
            <w:fldChar w:fldCharType="begin"/>
          </w:r>
          <w:r>
            <w:instrText xml:space="preserve"> HYPERLINK \l "_Toc25542" </w:instrText>
          </w:r>
          <w:r>
            <w:fldChar w:fldCharType="separate"/>
          </w:r>
          <w:r>
            <w:rPr>
              <w:bCs/>
              <w:szCs w:val="32"/>
            </w:rPr>
            <w:t>（八）园区信用评价</w:t>
          </w:r>
          <w:r>
            <w:tab/>
          </w:r>
          <w:r>
            <w:fldChar w:fldCharType="begin"/>
          </w:r>
          <w:r>
            <w:instrText xml:space="preserve"> PAGEREF _Toc25542 \h </w:instrText>
          </w:r>
          <w:r>
            <w:fldChar w:fldCharType="separate"/>
          </w:r>
          <w:r>
            <w:t>20</w:t>
          </w:r>
          <w:r>
            <w:fldChar w:fldCharType="end"/>
          </w:r>
          <w:r>
            <w:fldChar w:fldCharType="end"/>
          </w:r>
        </w:p>
        <w:p w14:paraId="637CF924">
          <w:pPr>
            <w:pStyle w:val="15"/>
            <w:tabs>
              <w:tab w:val="right" w:leader="dot" w:pos="8666"/>
            </w:tabs>
          </w:pPr>
          <w:r>
            <w:fldChar w:fldCharType="begin"/>
          </w:r>
          <w:r>
            <w:instrText xml:space="preserve"> HYPERLINK \l "_Toc17521" </w:instrText>
          </w:r>
          <w:r>
            <w:fldChar w:fldCharType="separate"/>
          </w:r>
          <w:r>
            <w:rPr>
              <w:rFonts w:hint="eastAsia" w:ascii="Times New Roman" w:hAnsi="Times New Roman" w:cs="Times New Roman"/>
            </w:rPr>
            <w:t>三、</w:t>
          </w:r>
          <w:r>
            <w:rPr>
              <w:rFonts w:ascii="Times New Roman" w:hAnsi="Times New Roman" w:cs="Times New Roman"/>
            </w:rPr>
            <w:t>园区环保工作成效、主要措施做法</w:t>
          </w:r>
          <w:r>
            <w:tab/>
          </w:r>
          <w:r>
            <w:fldChar w:fldCharType="begin"/>
          </w:r>
          <w:r>
            <w:instrText xml:space="preserve"> PAGEREF _Toc17521 \h </w:instrText>
          </w:r>
          <w:r>
            <w:fldChar w:fldCharType="separate"/>
          </w:r>
          <w:r>
            <w:t>22</w:t>
          </w:r>
          <w:r>
            <w:fldChar w:fldCharType="end"/>
          </w:r>
          <w:r>
            <w:fldChar w:fldCharType="end"/>
          </w:r>
        </w:p>
        <w:p w14:paraId="38DDFCD1">
          <w:pPr>
            <w:pStyle w:val="15"/>
            <w:tabs>
              <w:tab w:val="right" w:leader="dot" w:pos="8666"/>
            </w:tabs>
          </w:pPr>
          <w:r>
            <w:fldChar w:fldCharType="begin"/>
          </w:r>
          <w:r>
            <w:instrText xml:space="preserve"> HYPERLINK \l "_Toc30887" </w:instrText>
          </w:r>
          <w:r>
            <w:fldChar w:fldCharType="separate"/>
          </w:r>
          <w:r>
            <w:rPr>
              <w:rFonts w:hint="eastAsia" w:ascii="Times New Roman" w:hAnsi="Times New Roman" w:cs="Times New Roman"/>
            </w:rPr>
            <w:t>四</w:t>
          </w:r>
          <w:r>
            <w:rPr>
              <w:rFonts w:ascii="Times New Roman" w:hAnsi="Times New Roman" w:cs="Times New Roman"/>
            </w:rPr>
            <w:t>、下一步工作计划</w:t>
          </w:r>
          <w:r>
            <w:tab/>
          </w:r>
          <w:r>
            <w:fldChar w:fldCharType="begin"/>
          </w:r>
          <w:r>
            <w:instrText xml:space="preserve"> PAGEREF _Toc30887 \h </w:instrText>
          </w:r>
          <w:r>
            <w:fldChar w:fldCharType="separate"/>
          </w:r>
          <w:r>
            <w:t>25</w:t>
          </w:r>
          <w:r>
            <w:fldChar w:fldCharType="end"/>
          </w:r>
          <w:r>
            <w:fldChar w:fldCharType="end"/>
          </w:r>
        </w:p>
        <w:p w14:paraId="4E84B47D">
          <w:pPr>
            <w:snapToGrid w:val="0"/>
            <w:spacing w:line="360" w:lineRule="auto"/>
            <w:rPr>
              <w:rFonts w:ascii="Times New Roman" w:hAnsi="Times New Roman" w:eastAsia="仿宋" w:cs="Times New Roman"/>
            </w:rPr>
          </w:pPr>
          <w:r>
            <w:rPr>
              <w:rFonts w:ascii="Times New Roman" w:hAnsi="Times New Roman" w:eastAsia="仿宋" w:cs="Times New Roman"/>
            </w:rPr>
            <w:fldChar w:fldCharType="end"/>
          </w:r>
        </w:p>
      </w:sdtContent>
    </w:sdt>
    <w:p w14:paraId="46F1F067">
      <w:pPr>
        <w:snapToGrid w:val="0"/>
        <w:spacing w:line="360" w:lineRule="auto"/>
        <w:jc w:val="center"/>
        <w:outlineLvl w:val="0"/>
        <w:rPr>
          <w:rFonts w:ascii="Times New Roman" w:hAnsi="Times New Roman" w:eastAsia="仿宋" w:cs="Times New Roman"/>
          <w:b/>
          <w:bCs/>
          <w:spacing w:val="28"/>
          <w:sz w:val="40"/>
          <w:szCs w:val="40"/>
        </w:rPr>
        <w:sectPr>
          <w:footerReference r:id="rId4" w:type="default"/>
          <w:pgSz w:w="11906" w:h="16838"/>
          <w:pgMar w:top="1440" w:right="1440" w:bottom="1440" w:left="1800" w:header="851" w:footer="992" w:gutter="0"/>
          <w:pgNumType w:start="1"/>
          <w:cols w:space="720" w:num="1"/>
          <w:docGrid w:type="lines" w:linePitch="312" w:charSpace="0"/>
        </w:sectPr>
      </w:pPr>
      <w:bookmarkStart w:id="2" w:name="_Toc7251"/>
    </w:p>
    <w:p w14:paraId="2F33C6D7">
      <w:pPr>
        <w:jc w:val="center"/>
        <w:outlineLvl w:val="0"/>
        <w:rPr>
          <w:rFonts w:ascii="Times New Roman" w:hAnsi="Times New Roman" w:eastAsia="宋体" w:cs="Times New Roman"/>
          <w:b/>
          <w:bCs/>
          <w:spacing w:val="28"/>
          <w:sz w:val="40"/>
          <w:szCs w:val="40"/>
        </w:rPr>
      </w:pPr>
      <w:bookmarkStart w:id="3" w:name="_Toc26807"/>
      <w:bookmarkStart w:id="4" w:name="_Toc31189"/>
      <w:bookmarkStart w:id="5" w:name="_Toc31807"/>
      <w:r>
        <w:rPr>
          <w:rFonts w:ascii="Times New Roman" w:hAnsi="Times New Roman" w:eastAsia="宋体" w:cs="Times New Roman"/>
          <w:b/>
          <w:bCs/>
          <w:spacing w:val="28"/>
          <w:sz w:val="40"/>
          <w:szCs w:val="40"/>
        </w:rPr>
        <w:t>湘潭天易经济开发区生态环境管理202</w:t>
      </w:r>
      <w:r>
        <w:rPr>
          <w:rFonts w:hint="eastAsia" w:ascii="Times New Roman" w:hAnsi="Times New Roman" w:eastAsia="宋体" w:cs="Times New Roman"/>
          <w:b/>
          <w:bCs/>
          <w:spacing w:val="28"/>
          <w:sz w:val="40"/>
          <w:szCs w:val="40"/>
        </w:rPr>
        <w:t>4</w:t>
      </w:r>
      <w:r>
        <w:rPr>
          <w:rFonts w:ascii="Times New Roman" w:hAnsi="Times New Roman" w:eastAsia="宋体" w:cs="Times New Roman"/>
          <w:b/>
          <w:bCs/>
          <w:spacing w:val="28"/>
          <w:sz w:val="40"/>
          <w:szCs w:val="40"/>
        </w:rPr>
        <w:t>年度自评估报告</w:t>
      </w:r>
      <w:bookmarkEnd w:id="0"/>
      <w:bookmarkEnd w:id="1"/>
      <w:bookmarkEnd w:id="2"/>
      <w:bookmarkEnd w:id="3"/>
      <w:bookmarkEnd w:id="4"/>
      <w:bookmarkEnd w:id="5"/>
    </w:p>
    <w:p w14:paraId="3B49B07C">
      <w:pPr>
        <w:jc w:val="left"/>
        <w:rPr>
          <w:rFonts w:ascii="Times New Roman" w:hAnsi="Times New Roman" w:eastAsia="仿宋_GB2312" w:cs="Times New Roman"/>
          <w:spacing w:val="28"/>
          <w:sz w:val="36"/>
          <w:szCs w:val="36"/>
        </w:rPr>
      </w:pPr>
    </w:p>
    <w:p w14:paraId="36842AF1">
      <w:pPr>
        <w:pStyle w:val="3"/>
        <w:ind w:firstLine="640"/>
        <w:rPr>
          <w:rFonts w:ascii="Times New Roman" w:hAnsi="Times New Roman" w:cs="Times New Roman"/>
        </w:rPr>
      </w:pPr>
      <w:bookmarkStart w:id="6" w:name="_Toc26129"/>
      <w:bookmarkStart w:id="7" w:name="_Toc4212"/>
      <w:r>
        <w:rPr>
          <w:rFonts w:ascii="Times New Roman" w:hAnsi="Times New Roman" w:cs="Times New Roman"/>
        </w:rPr>
        <w:t>一、园区概况</w:t>
      </w:r>
      <w:bookmarkEnd w:id="6"/>
      <w:bookmarkEnd w:id="7"/>
    </w:p>
    <w:p w14:paraId="50B36213">
      <w:pPr>
        <w:snapToGrid w:val="0"/>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湘潭天易经济开发区园区位于湘潭市湘潭县，园区代码S437023，园区级别为省级工业园区，主导产业湘发改函［2013］83号：先进装备制造、农产品精深加工；湘环评函[2014]122号：以先进装备制造业、农产品精深加工业、现代服务业为主导，辅助发展新型金属材料、新能源材料、节能环保型建筑新材料和节能环保产业；六部委公告2018年第4号：食品、装备制造。</w:t>
      </w:r>
    </w:p>
    <w:p w14:paraId="4380173B">
      <w:pPr>
        <w:snapToGrid w:val="0"/>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1992年民政部（民行批[1992]65号）、湖南省人民政府（湘政函[1992]67号）批准湘潭县县治从湘潭市区移址易俗河镇，同年11月18日，经湖南省体改委（湘体改字[1992]138号）和湖南省人民政府（湘政发[1994]5号）批准，在易俗河镇设立经济开发区，规格为省级，规划面积为26k</w:t>
      </w:r>
      <w:r>
        <w:rPr>
          <w:rFonts w:hint="eastAsia" w:ascii="Times New Roman" w:hAnsi="Times New Roman" w:eastAsia="仿宋" w:cs="Times New Roman"/>
          <w:sz w:val="32"/>
          <w:szCs w:val="32"/>
        </w:rPr>
        <w:t>m</w:t>
      </w:r>
      <w:r>
        <w:rPr>
          <w:rFonts w:hint="eastAsia" w:ascii="Times New Roman" w:hAnsi="Times New Roman" w:eastAsia="仿宋" w:cs="Times New Roman"/>
          <w:sz w:val="32"/>
          <w:szCs w:val="32"/>
          <w:vertAlign w:val="superscript"/>
        </w:rPr>
        <w:t>2</w:t>
      </w:r>
      <w:r>
        <w:rPr>
          <w:rFonts w:ascii="Times New Roman" w:hAnsi="Times New Roman" w:eastAsia="仿宋" w:cs="Times New Roman"/>
          <w:sz w:val="32"/>
          <w:szCs w:val="32"/>
        </w:rPr>
        <w:t>，成为湖南省为数不多的县城与开发区一体化建设区域。2003年6月～2004年10月，通过土地市场清理整顿后，开发区规划审核面积为11.93k</w:t>
      </w:r>
      <w:r>
        <w:rPr>
          <w:rFonts w:hint="eastAsia" w:ascii="Times New Roman" w:hAnsi="Times New Roman" w:eastAsia="仿宋" w:cs="Times New Roman"/>
          <w:sz w:val="32"/>
          <w:szCs w:val="32"/>
        </w:rPr>
        <w:t>m</w:t>
      </w:r>
      <w:r>
        <w:rPr>
          <w:rFonts w:hint="eastAsia" w:ascii="Times New Roman" w:hAnsi="Times New Roman" w:eastAsia="仿宋" w:cs="Times New Roman"/>
          <w:sz w:val="32"/>
          <w:szCs w:val="32"/>
          <w:vertAlign w:val="superscript"/>
        </w:rPr>
        <w:t>2</w:t>
      </w:r>
      <w:r>
        <w:rPr>
          <w:rFonts w:ascii="Times New Roman" w:hAnsi="Times New Roman" w:eastAsia="仿宋" w:cs="Times New Roman"/>
          <w:sz w:val="32"/>
          <w:szCs w:val="32"/>
        </w:rPr>
        <w:t>。2005年申报为湖南湘潭易俗河经济开发区。2006年国家发改委[2006]8号公</w:t>
      </w:r>
      <w:r>
        <w:rPr>
          <w:rFonts w:ascii="Times New Roman" w:hAnsi="Times New Roman" w:eastAsia="仿宋" w:cs="Times New Roman"/>
          <w:sz w:val="32"/>
          <w:szCs w:val="32"/>
          <w:highlight w:val="none"/>
        </w:rPr>
        <w:t>告再核减非工业用地面积2.5k</w:t>
      </w:r>
      <w:r>
        <w:rPr>
          <w:rFonts w:hint="eastAsia" w:ascii="Times New Roman" w:hAnsi="Times New Roman" w:eastAsia="仿宋" w:cs="Times New Roman"/>
          <w:sz w:val="32"/>
          <w:szCs w:val="32"/>
          <w:highlight w:val="none"/>
        </w:rPr>
        <w:t>m</w:t>
      </w:r>
      <w:r>
        <w:rPr>
          <w:rFonts w:hint="eastAsia" w:ascii="Times New Roman" w:hAnsi="Times New Roman" w:eastAsia="仿宋" w:cs="Times New Roman"/>
          <w:sz w:val="32"/>
          <w:szCs w:val="32"/>
          <w:highlight w:val="none"/>
          <w:vertAlign w:val="superscript"/>
        </w:rPr>
        <w:t>2</w:t>
      </w:r>
      <w:r>
        <w:rPr>
          <w:rFonts w:ascii="Times New Roman" w:hAnsi="Times New Roman" w:eastAsia="仿宋" w:cs="Times New Roman"/>
          <w:sz w:val="32"/>
          <w:szCs w:val="32"/>
          <w:highlight w:val="none"/>
        </w:rPr>
        <w:t>，保留面积9.43k</w:t>
      </w:r>
      <w:r>
        <w:rPr>
          <w:rFonts w:hint="eastAsia" w:ascii="Times New Roman" w:hAnsi="Times New Roman" w:eastAsia="仿宋" w:cs="Times New Roman"/>
          <w:sz w:val="32"/>
          <w:szCs w:val="32"/>
          <w:highlight w:val="none"/>
        </w:rPr>
        <w:t>m</w:t>
      </w:r>
      <w:r>
        <w:rPr>
          <w:rFonts w:hint="eastAsia" w:ascii="Times New Roman" w:hAnsi="Times New Roman" w:eastAsia="仿宋" w:cs="Times New Roman"/>
          <w:sz w:val="32"/>
          <w:szCs w:val="32"/>
          <w:highlight w:val="none"/>
          <w:vertAlign w:val="superscript"/>
        </w:rPr>
        <w:t>2</w:t>
      </w:r>
      <w:r>
        <w:rPr>
          <w:rFonts w:ascii="Times New Roman" w:hAnsi="Times New Roman" w:eastAsia="仿宋" w:cs="Times New Roman"/>
          <w:sz w:val="32"/>
          <w:szCs w:val="32"/>
          <w:highlight w:val="none"/>
        </w:rPr>
        <w:t>。2012年再次进行调整，调整后面积为10.14k</w:t>
      </w:r>
      <w:r>
        <w:rPr>
          <w:rFonts w:hint="eastAsia" w:ascii="Times New Roman" w:hAnsi="Times New Roman" w:eastAsia="仿宋" w:cs="Times New Roman"/>
          <w:sz w:val="32"/>
          <w:szCs w:val="32"/>
          <w:highlight w:val="none"/>
        </w:rPr>
        <w:t>m</w:t>
      </w:r>
      <w:r>
        <w:rPr>
          <w:rFonts w:hint="eastAsia" w:ascii="Times New Roman" w:hAnsi="Times New Roman" w:eastAsia="仿宋" w:cs="Times New Roman"/>
          <w:sz w:val="32"/>
          <w:szCs w:val="32"/>
          <w:highlight w:val="none"/>
          <w:vertAlign w:val="superscript"/>
        </w:rPr>
        <w:t>2</w:t>
      </w:r>
      <w:r>
        <w:rPr>
          <w:rFonts w:ascii="Times New Roman" w:hAnsi="Times New Roman" w:eastAsia="仿宋" w:cs="Times New Roman"/>
          <w:sz w:val="32"/>
          <w:szCs w:val="32"/>
          <w:highlight w:val="none"/>
        </w:rPr>
        <w:t>。</w:t>
      </w:r>
      <w:r>
        <w:rPr>
          <w:rFonts w:hint="eastAsia" w:ascii="Times New Roman" w:hAnsi="Times New Roman" w:eastAsia="仿宋" w:cs="Times New Roman"/>
          <w:sz w:val="32"/>
          <w:szCs w:val="32"/>
          <w:highlight w:val="none"/>
          <w:lang w:val="en-US" w:eastAsia="zh-CN"/>
        </w:rPr>
        <w:t>2022年</w:t>
      </w:r>
      <w:r>
        <w:rPr>
          <w:rFonts w:ascii="Times New Roman" w:hAnsi="Times New Roman" w:eastAsia="仿宋" w:cs="Times New Roman"/>
          <w:sz w:val="32"/>
          <w:szCs w:val="32"/>
          <w:highlight w:val="none"/>
        </w:rPr>
        <w:t>《湖南省发展和改革委员会</w:t>
      </w:r>
      <w:r>
        <w:rPr>
          <w:rFonts w:hint="eastAsia" w:ascii="Times New Roman" w:hAnsi="Times New Roman" w:eastAsia="仿宋" w:cs="Times New Roman"/>
          <w:sz w:val="32"/>
          <w:szCs w:val="32"/>
          <w:highlight w:val="none"/>
        </w:rPr>
        <w:t xml:space="preserve"> 湖南省自然资源厅关于发布湘潭天易经济开发区边界面</w:t>
      </w:r>
      <w:r>
        <w:rPr>
          <w:rFonts w:hint="eastAsia" w:ascii="Times New Roman" w:hAnsi="Times New Roman" w:eastAsia="仿宋" w:cs="Times New Roman"/>
          <w:sz w:val="32"/>
          <w:szCs w:val="32"/>
        </w:rPr>
        <w:t>积及四至范围的通知</w:t>
      </w:r>
      <w:r>
        <w:rPr>
          <w:rFonts w:ascii="Times New Roman" w:hAnsi="Times New Roman" w:eastAsia="仿宋" w:cs="Times New Roman"/>
          <w:sz w:val="32"/>
          <w:szCs w:val="32"/>
        </w:rPr>
        <w:t>》（湘发改园区</w:t>
      </w:r>
      <w:r>
        <w:rPr>
          <w:rFonts w:hint="eastAsia" w:ascii="Times New Roman" w:hAnsi="Times New Roman" w:eastAsia="仿宋" w:cs="Times New Roman"/>
          <w:sz w:val="32"/>
          <w:szCs w:val="32"/>
        </w:rPr>
        <w:t>[2022]601号</w:t>
      </w:r>
      <w:r>
        <w:rPr>
          <w:rFonts w:ascii="Times New Roman" w:hAnsi="Times New Roman" w:eastAsia="仿宋" w:cs="Times New Roman"/>
          <w:sz w:val="32"/>
          <w:szCs w:val="32"/>
        </w:rPr>
        <w:t>），湘潭天易经开区</w:t>
      </w:r>
      <w:r>
        <w:rPr>
          <w:rFonts w:hint="eastAsia" w:ascii="Times New Roman" w:hAnsi="Times New Roman" w:eastAsia="仿宋" w:cs="Times New Roman"/>
          <w:sz w:val="32"/>
          <w:szCs w:val="32"/>
        </w:rPr>
        <w:t>核定</w:t>
      </w:r>
      <w:r>
        <w:rPr>
          <w:rFonts w:ascii="Times New Roman" w:hAnsi="Times New Roman" w:eastAsia="仿宋" w:cs="Times New Roman"/>
          <w:sz w:val="32"/>
          <w:szCs w:val="32"/>
        </w:rPr>
        <w:t>范围为</w:t>
      </w:r>
      <w:r>
        <w:rPr>
          <w:rFonts w:hint="eastAsia" w:ascii="Times New Roman" w:hAnsi="Times New Roman" w:eastAsia="仿宋" w:cs="Times New Roman"/>
          <w:sz w:val="32"/>
          <w:szCs w:val="32"/>
        </w:rPr>
        <w:t>10.6702</w:t>
      </w:r>
      <w:r>
        <w:rPr>
          <w:rFonts w:ascii="Times New Roman" w:hAnsi="Times New Roman" w:eastAsia="仿宋" w:cs="Times New Roman"/>
          <w:sz w:val="32"/>
          <w:szCs w:val="32"/>
        </w:rPr>
        <w:t>k</w:t>
      </w:r>
      <w:r>
        <w:rPr>
          <w:rFonts w:hint="eastAsia" w:ascii="Times New Roman" w:hAnsi="Times New Roman" w:eastAsia="仿宋" w:cs="Times New Roman"/>
          <w:sz w:val="32"/>
          <w:szCs w:val="32"/>
        </w:rPr>
        <w:t>m</w:t>
      </w:r>
      <w:r>
        <w:rPr>
          <w:rFonts w:hint="eastAsia" w:ascii="Times New Roman" w:hAnsi="Times New Roman" w:eastAsia="仿宋" w:cs="Times New Roman"/>
          <w:sz w:val="32"/>
          <w:szCs w:val="32"/>
          <w:vertAlign w:val="superscript"/>
        </w:rPr>
        <w:t>2</w:t>
      </w:r>
      <w:r>
        <w:rPr>
          <w:rFonts w:ascii="Times New Roman" w:hAnsi="Times New Roman" w:eastAsia="仿宋" w:cs="Times New Roman"/>
          <w:sz w:val="32"/>
          <w:szCs w:val="32"/>
        </w:rPr>
        <w:t>。</w:t>
      </w:r>
      <w:r>
        <w:rPr>
          <w:rFonts w:hint="eastAsia" w:ascii="Times New Roman" w:hAnsi="Times New Roman" w:eastAsia="仿宋" w:cs="Times New Roman"/>
          <w:sz w:val="32"/>
          <w:szCs w:val="32"/>
        </w:rPr>
        <w:t>根据省发展改革委《关于同意湘潭天易经济开发区开展扩区前期工作的函》(湘发改函〔2023〕91号）原则同意将339.42公顷依扩区程序调入四至边界范围，扩区后</w:t>
      </w:r>
      <w:r>
        <w:rPr>
          <w:rFonts w:ascii="Times New Roman" w:hAnsi="Times New Roman" w:eastAsia="仿宋" w:cs="Times New Roman"/>
          <w:sz w:val="32"/>
          <w:szCs w:val="32"/>
        </w:rPr>
        <w:t>湘潭天易经开区</w:t>
      </w:r>
      <w:r>
        <w:rPr>
          <w:rFonts w:hint="eastAsia" w:ascii="Times New Roman" w:hAnsi="Times New Roman" w:eastAsia="仿宋" w:cs="Times New Roman"/>
          <w:sz w:val="32"/>
          <w:szCs w:val="32"/>
        </w:rPr>
        <w:t>总面积为14</w:t>
      </w:r>
      <w:r>
        <w:rPr>
          <w:rFonts w:hint="eastAsia" w:ascii="Times New Roman" w:hAnsi="Times New Roman" w:eastAsia="仿宋" w:cs="Times New Roman"/>
          <w:sz w:val="32"/>
          <w:szCs w:val="32"/>
          <w:lang w:val="en-US" w:eastAsia="zh-CN"/>
        </w:rPr>
        <w:t>.</w:t>
      </w:r>
      <w:r>
        <w:rPr>
          <w:rFonts w:hint="eastAsia" w:ascii="Times New Roman" w:hAnsi="Times New Roman" w:eastAsia="仿宋" w:cs="Times New Roman"/>
          <w:sz w:val="32"/>
          <w:szCs w:val="32"/>
        </w:rPr>
        <w:t>0646km</w:t>
      </w:r>
      <w:r>
        <w:rPr>
          <w:rFonts w:hint="eastAsia" w:ascii="Times New Roman" w:hAnsi="Times New Roman" w:eastAsia="仿宋" w:cs="Times New Roman"/>
          <w:sz w:val="32"/>
          <w:szCs w:val="32"/>
          <w:vertAlign w:val="superscript"/>
        </w:rPr>
        <w:t>2</w:t>
      </w:r>
      <w:r>
        <w:rPr>
          <w:rFonts w:hint="eastAsia" w:ascii="Times New Roman" w:hAnsi="Times New Roman" w:eastAsia="仿宋" w:cs="Times New Roman"/>
          <w:sz w:val="32"/>
          <w:szCs w:val="32"/>
          <w:lang w:eastAsia="zh-CN"/>
        </w:rPr>
        <w:t>。</w:t>
      </w:r>
    </w:p>
    <w:p w14:paraId="460DA2C1">
      <w:pPr>
        <w:snapToGrid w:val="0"/>
        <w:spacing w:line="600" w:lineRule="exact"/>
        <w:ind w:firstLine="640" w:firstLineChars="200"/>
        <w:rPr>
          <w:rFonts w:ascii="Times New Roman" w:hAnsi="Times New Roman" w:eastAsia="仿宋" w:cs="Times New Roman"/>
          <w:sz w:val="32"/>
          <w:szCs w:val="32"/>
          <w:highlight w:val="yellow"/>
        </w:rPr>
      </w:pPr>
      <w:r>
        <w:rPr>
          <w:rFonts w:ascii="Times New Roman" w:hAnsi="Times New Roman" w:eastAsia="仿宋" w:cs="Times New Roman"/>
          <w:sz w:val="32"/>
          <w:szCs w:val="32"/>
        </w:rPr>
        <w:t>园区规划环评批复（含调扩区、跟踪评价）情况2014年11月13日取得原湖南省环境保护厅出具的《关于湖南湘潭天易经济开发区扩区与调整区位环境影响报告书的批复》，批复文号湘环评[2014]122号；</w:t>
      </w:r>
      <w:r>
        <w:rPr>
          <w:rFonts w:hint="eastAsia" w:ascii="Times New Roman" w:hAnsi="Times New Roman" w:eastAsia="仿宋" w:cs="Times New Roman"/>
          <w:sz w:val="32"/>
          <w:szCs w:val="32"/>
        </w:rPr>
        <w:t>2019年8月委托第三方机构（湖南葆华环保有限公司）开展了环境影响跟踪评价，2022年3月25日报告通过省评估中心组织的专家评审会，2022年9月7日取得了湖南省生态环境厅关于湖南湘潭天易经济开发区环境影响跟踪评价工作意见的函（湘环评函[2022]88号）。</w:t>
      </w:r>
    </w:p>
    <w:p w14:paraId="6012D429">
      <w:pPr>
        <w:snapToGrid w:val="0"/>
        <w:spacing w:line="600" w:lineRule="exact"/>
        <w:ind w:firstLine="643"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园区经济发展概况：</w:t>
      </w:r>
    </w:p>
    <w:p w14:paraId="4E143198">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截止2024年底，园区已入园企业数量354个，本年度内新入园企业数量19个，本年度清退企业数量3个。园区内已完成环评批复手续企业数量354个，本年度新增项目环评批复33个。园区内已完成环保竣工验收手续企业数量297个，本年度新增环保竣工验收企业数量25个。园区内已完成应急预案备案手续企业数量60个，本年度新增应急预案备案手续企业数量12个，新增应急预案修编企业数量1个。园区内已取得排污许可证企业数量90个，其中重点管理的企业数量29个，简化管理企业数量61个。登记管理企业数量214个</w:t>
      </w:r>
      <w:r>
        <w:rPr>
          <w:rFonts w:ascii="仿宋" w:hAnsi="仿宋" w:eastAsia="仿宋" w:cs="Times New Roman"/>
          <w:sz w:val="32"/>
          <w:szCs w:val="32"/>
        </w:rPr>
        <w:t>。</w:t>
      </w:r>
    </w:p>
    <w:p w14:paraId="28F02E99">
      <w:pPr>
        <w:pStyle w:val="21"/>
        <w:snapToGrid w:val="0"/>
        <w:spacing w:after="0" w:line="600" w:lineRule="exact"/>
        <w:ind w:left="0" w:leftChars="0" w:firstLine="640"/>
        <w:rPr>
          <w:rFonts w:ascii="Times New Roman" w:hAnsi="Times New Roman" w:eastAsia="仿宋"/>
          <w:szCs w:val="32"/>
        </w:rPr>
      </w:pPr>
      <w:r>
        <w:rPr>
          <w:rFonts w:ascii="Times New Roman" w:hAnsi="Times New Roman" w:eastAsia="仿宋"/>
          <w:szCs w:val="32"/>
        </w:rPr>
        <w:t>园区主要污染物总量控制指标：化学需氧量600t/a，氨氮60t/a，二氧化硫0.5t/a，氮氧化物21t/a，</w:t>
      </w:r>
      <w:r>
        <w:rPr>
          <w:rFonts w:hint="eastAsia" w:ascii="Times New Roman" w:hAnsi="Times New Roman" w:eastAsia="仿宋"/>
          <w:szCs w:val="32"/>
        </w:rPr>
        <w:t>VOC</w:t>
      </w:r>
      <w:r>
        <w:rPr>
          <w:rFonts w:hint="eastAsia" w:ascii="Times New Roman" w:hAnsi="Times New Roman" w:eastAsia="仿宋"/>
          <w:szCs w:val="32"/>
          <w:vertAlign w:val="subscript"/>
        </w:rPr>
        <w:t>S</w:t>
      </w:r>
      <w:r>
        <w:rPr>
          <w:rFonts w:ascii="Times New Roman" w:hAnsi="Times New Roman" w:eastAsia="仿宋"/>
          <w:szCs w:val="32"/>
        </w:rPr>
        <w:t xml:space="preserve"> / t/a，其他 / t/a。</w:t>
      </w:r>
    </w:p>
    <w:p w14:paraId="0491E622">
      <w:pPr>
        <w:pStyle w:val="21"/>
        <w:snapToGrid w:val="0"/>
        <w:spacing w:after="0" w:line="600" w:lineRule="exact"/>
        <w:ind w:left="0" w:leftChars="0" w:firstLine="640"/>
        <w:rPr>
          <w:rFonts w:ascii="Times New Roman" w:hAnsi="Times New Roman" w:eastAsia="仿宋_GB2312"/>
          <w:szCs w:val="32"/>
          <w:highlight w:val="yellow"/>
        </w:rPr>
      </w:pPr>
    </w:p>
    <w:p w14:paraId="2A4C8300">
      <w:pPr>
        <w:pStyle w:val="3"/>
        <w:ind w:firstLine="640"/>
        <w:rPr>
          <w:rFonts w:ascii="Times New Roman" w:hAnsi="Times New Roman" w:cs="Times New Roman"/>
        </w:rPr>
      </w:pPr>
      <w:bookmarkStart w:id="8" w:name="_Toc18520"/>
      <w:bookmarkStart w:id="9" w:name="_Toc27793"/>
      <w:r>
        <w:rPr>
          <w:rFonts w:ascii="Times New Roman" w:hAnsi="Times New Roman" w:cs="Times New Roman"/>
        </w:rPr>
        <w:t>二、环境管理情况</w:t>
      </w:r>
      <w:bookmarkEnd w:id="8"/>
      <w:bookmarkEnd w:id="9"/>
    </w:p>
    <w:p w14:paraId="604D714E">
      <w:pPr>
        <w:pStyle w:val="21"/>
        <w:snapToGrid w:val="0"/>
        <w:spacing w:after="0" w:line="600" w:lineRule="exact"/>
        <w:ind w:left="0" w:leftChars="0" w:firstLine="643"/>
        <w:outlineLvl w:val="1"/>
        <w:rPr>
          <w:rFonts w:ascii="Times New Roman" w:hAnsi="Times New Roman" w:eastAsia="仿宋"/>
          <w:b/>
          <w:bCs/>
          <w:szCs w:val="32"/>
        </w:rPr>
      </w:pPr>
      <w:bookmarkStart w:id="10" w:name="_Toc32303"/>
      <w:bookmarkStart w:id="11" w:name="_Toc15552"/>
      <w:r>
        <w:rPr>
          <w:rFonts w:ascii="Times New Roman" w:hAnsi="Times New Roman" w:eastAsia="仿宋"/>
          <w:b/>
          <w:bCs/>
          <w:szCs w:val="32"/>
        </w:rPr>
        <w:t>（一）规划环评批复要求落实情况</w:t>
      </w:r>
      <w:bookmarkEnd w:id="10"/>
      <w:bookmarkEnd w:id="11"/>
    </w:p>
    <w:p w14:paraId="7A046626">
      <w:pPr>
        <w:pStyle w:val="21"/>
        <w:snapToGrid w:val="0"/>
        <w:spacing w:after="0" w:line="600" w:lineRule="exact"/>
        <w:ind w:left="0" w:leftChars="0" w:firstLine="640"/>
        <w:rPr>
          <w:rFonts w:ascii="Times New Roman" w:hAnsi="Times New Roman" w:eastAsia="仿宋"/>
          <w:szCs w:val="32"/>
        </w:rPr>
      </w:pPr>
      <w:r>
        <w:rPr>
          <w:rFonts w:ascii="Times New Roman" w:hAnsi="Times New Roman" w:eastAsia="仿宋"/>
          <w:szCs w:val="32"/>
        </w:rPr>
        <w:t>园区规划环评批复（湘环评[2014]122号）主要针对园区近期规划提出环保控制性要求，具体要求落实情况见下表1。</w:t>
      </w:r>
    </w:p>
    <w:p w14:paraId="3B3F70A3">
      <w:pPr>
        <w:snapToGrid w:val="0"/>
        <w:spacing w:line="360" w:lineRule="auto"/>
        <w:jc w:val="center"/>
        <w:rPr>
          <w:rFonts w:ascii="Times New Roman" w:hAnsi="Times New Roman" w:eastAsia="仿宋" w:cs="Times New Roman"/>
          <w:b/>
          <w:bCs/>
          <w:szCs w:val="28"/>
        </w:rPr>
      </w:pPr>
      <w:r>
        <w:rPr>
          <w:rFonts w:ascii="Times New Roman" w:hAnsi="Times New Roman" w:eastAsia="仿宋" w:cs="Times New Roman"/>
          <w:b/>
          <w:bCs/>
          <w:szCs w:val="28"/>
        </w:rPr>
        <w:t>表1  经开区规划环评批复要求落实情况</w:t>
      </w:r>
    </w:p>
    <w:tbl>
      <w:tblPr>
        <w:tblStyle w:val="23"/>
        <w:tblW w:w="894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8"/>
        <w:gridCol w:w="4637"/>
        <w:gridCol w:w="3071"/>
        <w:gridCol w:w="718"/>
      </w:tblGrid>
      <w:tr w14:paraId="1C3378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518" w:type="dxa"/>
            <w:tcBorders>
              <w:tl2br w:val="nil"/>
              <w:tr2bl w:val="nil"/>
            </w:tcBorders>
            <w:vAlign w:val="center"/>
          </w:tcPr>
          <w:p w14:paraId="49AEBD5D">
            <w:pPr>
              <w:snapToGrid w:val="0"/>
              <w:spacing w:line="300" w:lineRule="exact"/>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序号</w:t>
            </w:r>
          </w:p>
        </w:tc>
        <w:tc>
          <w:tcPr>
            <w:tcW w:w="4637" w:type="dxa"/>
            <w:tcBorders>
              <w:tl2br w:val="nil"/>
              <w:tr2bl w:val="nil"/>
            </w:tcBorders>
            <w:vAlign w:val="center"/>
          </w:tcPr>
          <w:p w14:paraId="227EF5EA">
            <w:pPr>
              <w:snapToGrid w:val="0"/>
              <w:spacing w:line="300" w:lineRule="exact"/>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规划环评批复要求</w:t>
            </w:r>
          </w:p>
        </w:tc>
        <w:tc>
          <w:tcPr>
            <w:tcW w:w="3071" w:type="dxa"/>
            <w:tcBorders>
              <w:tl2br w:val="nil"/>
              <w:tr2bl w:val="nil"/>
            </w:tcBorders>
            <w:vAlign w:val="center"/>
          </w:tcPr>
          <w:p w14:paraId="459032E3">
            <w:pPr>
              <w:snapToGrid w:val="0"/>
              <w:spacing w:line="300" w:lineRule="exact"/>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园区发展现状</w:t>
            </w:r>
          </w:p>
        </w:tc>
        <w:tc>
          <w:tcPr>
            <w:tcW w:w="718" w:type="dxa"/>
            <w:tcBorders>
              <w:tl2br w:val="nil"/>
              <w:tr2bl w:val="nil"/>
            </w:tcBorders>
            <w:vAlign w:val="center"/>
          </w:tcPr>
          <w:p w14:paraId="0D976674">
            <w:pPr>
              <w:snapToGrid w:val="0"/>
              <w:spacing w:line="300" w:lineRule="exact"/>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是否落实</w:t>
            </w:r>
          </w:p>
        </w:tc>
      </w:tr>
      <w:tr w14:paraId="73717B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8" w:type="dxa"/>
            <w:tcBorders>
              <w:tl2br w:val="nil"/>
              <w:tr2bl w:val="nil"/>
            </w:tcBorders>
            <w:vAlign w:val="center"/>
          </w:tcPr>
          <w:p w14:paraId="5CEB1745">
            <w:pPr>
              <w:snapToGrid w:val="0"/>
              <w:spacing w:line="300" w:lineRule="exact"/>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1</w:t>
            </w:r>
          </w:p>
        </w:tc>
        <w:tc>
          <w:tcPr>
            <w:tcW w:w="4637" w:type="dxa"/>
            <w:tcBorders>
              <w:tl2br w:val="nil"/>
              <w:tr2bl w:val="nil"/>
            </w:tcBorders>
            <w:vAlign w:val="center"/>
          </w:tcPr>
          <w:p w14:paraId="4C562E33">
            <w:pPr>
              <w:snapToGrid w:val="0"/>
              <w:spacing w:line="300" w:lineRule="exact"/>
              <w:ind w:firstLine="420" w:firstLineChars="200"/>
              <w:jc w:val="both"/>
              <w:rPr>
                <w:rFonts w:ascii="Times New Roman" w:hAnsi="Times New Roman" w:eastAsia="仿宋" w:cs="Times New Roman"/>
                <w:sz w:val="21"/>
                <w:szCs w:val="21"/>
              </w:rPr>
            </w:pPr>
            <w:r>
              <w:rPr>
                <w:rFonts w:ascii="Times New Roman" w:hAnsi="Times New Roman" w:eastAsia="仿宋" w:cs="Times New Roman"/>
                <w:sz w:val="21"/>
                <w:szCs w:val="21"/>
              </w:rPr>
              <w:t>湘潭天易经济开发区原为湖南湘潭易俗河经济开发区(未经环评)，选址位于湘潭县易俗河镇，2006年经国家发改委[2006]8号公告核定面积为9.43km</w:t>
            </w:r>
            <w:r>
              <w:rPr>
                <w:rFonts w:hint="eastAsia" w:ascii="Times New Roman" w:hAnsi="Times New Roman" w:eastAsia="仿宋" w:cs="Times New Roman"/>
                <w:sz w:val="21"/>
                <w:szCs w:val="21"/>
                <w:vertAlign w:val="superscript"/>
              </w:rPr>
              <w:t>2</w:t>
            </w:r>
            <w:r>
              <w:rPr>
                <w:rFonts w:ascii="Times New Roman" w:hAnsi="Times New Roman" w:eastAsia="仿宋" w:cs="Times New Roman"/>
                <w:sz w:val="21"/>
                <w:szCs w:val="21"/>
              </w:rPr>
              <w:t>，目前原核定范围已基本按城镇化模式开发完毕，亟需实施调扩区以满足未来产业发展需求。调扩区规划计划将原核定面积中不属于工业用地的7.29km调出，保留原工业比较集中的面积2.14km</w:t>
            </w:r>
            <w:r>
              <w:rPr>
                <w:rFonts w:hint="eastAsia" w:ascii="Times New Roman" w:hAnsi="Times New Roman" w:eastAsia="仿宋" w:cs="Times New Roman"/>
                <w:sz w:val="21"/>
                <w:szCs w:val="21"/>
                <w:vertAlign w:val="superscript"/>
              </w:rPr>
              <w:t>2</w:t>
            </w:r>
            <w:r>
              <w:rPr>
                <w:rFonts w:ascii="Times New Roman" w:hAnsi="Times New Roman" w:eastAsia="仿宋" w:cs="Times New Roman"/>
                <w:sz w:val="21"/>
                <w:szCs w:val="21"/>
              </w:rPr>
              <w:t>，并向经开区南部扩区8km</w:t>
            </w:r>
            <w:r>
              <w:rPr>
                <w:rFonts w:hint="eastAsia" w:ascii="Times New Roman" w:hAnsi="Times New Roman" w:eastAsia="仿宋" w:cs="Times New Roman"/>
                <w:sz w:val="21"/>
                <w:szCs w:val="21"/>
                <w:vertAlign w:val="superscript"/>
              </w:rPr>
              <w:t>2</w:t>
            </w:r>
            <w:r>
              <w:rPr>
                <w:rFonts w:hint="eastAsia" w:ascii="Times New Roman" w:hAnsi="Times New Roman" w:eastAsia="仿宋" w:cs="Times New Roman"/>
                <w:sz w:val="21"/>
                <w:szCs w:val="21"/>
              </w:rPr>
              <w:t>；</w:t>
            </w:r>
            <w:r>
              <w:rPr>
                <w:rFonts w:ascii="Times New Roman" w:hAnsi="Times New Roman" w:eastAsia="仿宋" w:cs="Times New Roman"/>
                <w:sz w:val="21"/>
                <w:szCs w:val="21"/>
              </w:rPr>
              <w:t>调扩区后经开区用地范围东至杨柳路、梧桐路，南至武广大道，西至玫瑰路，总体规划用地面积</w:t>
            </w:r>
            <w:r>
              <w:rPr>
                <w:rFonts w:hint="eastAsia" w:ascii="Times New Roman" w:hAnsi="Times New Roman" w:eastAsia="仿宋" w:cs="Times New Roman"/>
                <w:sz w:val="21"/>
                <w:szCs w:val="21"/>
                <w:lang w:val="en-US" w:eastAsia="zh-CN"/>
              </w:rPr>
              <w:t>为</w:t>
            </w:r>
            <w:r>
              <w:rPr>
                <w:rFonts w:ascii="Times New Roman" w:hAnsi="Times New Roman" w:eastAsia="仿宋" w:cs="Times New Roman"/>
                <w:sz w:val="21"/>
                <w:szCs w:val="21"/>
              </w:rPr>
              <w:t>10.14km</w:t>
            </w:r>
            <w:r>
              <w:rPr>
                <w:rFonts w:hint="eastAsia" w:ascii="Times New Roman" w:hAnsi="Times New Roman" w:eastAsia="仿宋" w:cs="Times New Roman"/>
                <w:sz w:val="21"/>
                <w:szCs w:val="21"/>
                <w:vertAlign w:val="superscript"/>
              </w:rPr>
              <w:t>2</w:t>
            </w:r>
            <w:r>
              <w:rPr>
                <w:rFonts w:hint="eastAsia" w:ascii="Times New Roman" w:hAnsi="Times New Roman" w:eastAsia="仿宋" w:cs="Times New Roman"/>
                <w:sz w:val="21"/>
                <w:szCs w:val="21"/>
              </w:rPr>
              <w:t>，</w:t>
            </w:r>
            <w:r>
              <w:rPr>
                <w:rFonts w:ascii="Times New Roman" w:hAnsi="Times New Roman" w:eastAsia="仿宋" w:cs="Times New Roman"/>
                <w:sz w:val="21"/>
                <w:szCs w:val="21"/>
              </w:rPr>
              <w:t>经开区产业定位以先进装备制造业、农产品精深加工业、现代服务业为主导，辅助发展新型金属材料、新能源材料、节能环保型建筑新材料和节能环保产业。经开区规划工业用地面积718.41公顷，占规划区总用地面积的70.86%</w:t>
            </w:r>
            <w:r>
              <w:rPr>
                <w:rFonts w:hint="eastAsia" w:ascii="Times New Roman" w:hAnsi="Times New Roman" w:eastAsia="仿宋" w:cs="Times New Roman"/>
                <w:sz w:val="21"/>
                <w:szCs w:val="21"/>
              </w:rPr>
              <w:t>；</w:t>
            </w:r>
            <w:r>
              <w:rPr>
                <w:rFonts w:ascii="Times New Roman" w:hAnsi="Times New Roman" w:eastAsia="仿宋" w:cs="Times New Roman"/>
                <w:sz w:val="21"/>
                <w:szCs w:val="21"/>
              </w:rPr>
              <w:t>物流仓储用地53.94公顷，占5.32%</w:t>
            </w:r>
            <w:r>
              <w:rPr>
                <w:rFonts w:hint="eastAsia" w:ascii="Times New Roman" w:hAnsi="Times New Roman" w:eastAsia="仿宋" w:cs="Times New Roman"/>
                <w:sz w:val="21"/>
                <w:szCs w:val="21"/>
              </w:rPr>
              <w:t>；</w:t>
            </w:r>
            <w:r>
              <w:rPr>
                <w:rFonts w:ascii="Times New Roman" w:hAnsi="Times New Roman" w:eastAsia="仿宋" w:cs="Times New Roman"/>
                <w:sz w:val="21"/>
                <w:szCs w:val="21"/>
              </w:rPr>
              <w:t>此外规划少量的居住、商业服务、公用设施、交通、绿地等用地。</w:t>
            </w:r>
          </w:p>
        </w:tc>
        <w:tc>
          <w:tcPr>
            <w:tcW w:w="3071" w:type="dxa"/>
            <w:tcBorders>
              <w:tl2br w:val="nil"/>
              <w:tr2bl w:val="nil"/>
            </w:tcBorders>
            <w:vAlign w:val="center"/>
          </w:tcPr>
          <w:p w14:paraId="4AD3B6F6">
            <w:pPr>
              <w:snapToGrid w:val="0"/>
              <w:spacing w:line="300" w:lineRule="exact"/>
              <w:jc w:val="left"/>
              <w:rPr>
                <w:rFonts w:ascii="Times New Roman" w:hAnsi="Times New Roman" w:eastAsia="仿宋" w:cs="Times New Roman"/>
                <w:sz w:val="21"/>
                <w:szCs w:val="21"/>
              </w:rPr>
            </w:pPr>
            <w:r>
              <w:rPr>
                <w:rFonts w:hint="eastAsia" w:ascii="Times New Roman" w:hAnsi="Times New Roman" w:eastAsia="仿宋" w:cs="Times New Roman"/>
                <w:sz w:val="21"/>
                <w:szCs w:val="21"/>
              </w:rPr>
              <w:t>经开区主要引进产业类型为</w:t>
            </w:r>
            <w:r>
              <w:rPr>
                <w:rFonts w:ascii="Times New Roman" w:hAnsi="Times New Roman" w:eastAsia="仿宋" w:cs="Times New Roman"/>
                <w:sz w:val="21"/>
                <w:szCs w:val="21"/>
              </w:rPr>
              <w:t>装备制造业、农产品精深加工业、现代服务业</w:t>
            </w:r>
            <w:r>
              <w:rPr>
                <w:rFonts w:hint="eastAsia" w:ascii="Times New Roman" w:hAnsi="Times New Roman" w:eastAsia="仿宋" w:cs="Times New Roman"/>
                <w:sz w:val="21"/>
                <w:szCs w:val="21"/>
              </w:rPr>
              <w:t>，另辅助发展了</w:t>
            </w:r>
            <w:r>
              <w:rPr>
                <w:rFonts w:ascii="Times New Roman" w:hAnsi="Times New Roman" w:eastAsia="仿宋" w:cs="Times New Roman"/>
                <w:sz w:val="21"/>
                <w:szCs w:val="21"/>
              </w:rPr>
              <w:t>新型金属材料、新能源材料、节能环保型建筑新材料和节能环保产业</w:t>
            </w:r>
            <w:r>
              <w:rPr>
                <w:rFonts w:hint="eastAsia" w:ascii="Times New Roman" w:hAnsi="Times New Roman" w:eastAsia="仿宋" w:cs="Times New Roman"/>
                <w:sz w:val="21"/>
                <w:szCs w:val="21"/>
              </w:rPr>
              <w:t>。</w:t>
            </w:r>
          </w:p>
        </w:tc>
        <w:tc>
          <w:tcPr>
            <w:tcW w:w="718" w:type="dxa"/>
            <w:tcBorders>
              <w:tl2br w:val="nil"/>
              <w:tr2bl w:val="nil"/>
            </w:tcBorders>
            <w:vAlign w:val="center"/>
          </w:tcPr>
          <w:p w14:paraId="7670433B">
            <w:pPr>
              <w:snapToGrid w:val="0"/>
              <w:spacing w:line="30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r>
      <w:tr w14:paraId="5A541E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8" w:type="dxa"/>
            <w:tcBorders>
              <w:tl2br w:val="nil"/>
              <w:tr2bl w:val="nil"/>
            </w:tcBorders>
            <w:vAlign w:val="center"/>
          </w:tcPr>
          <w:p w14:paraId="12A802DB">
            <w:pPr>
              <w:snapToGrid w:val="0"/>
              <w:spacing w:line="300" w:lineRule="exact"/>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2</w:t>
            </w:r>
          </w:p>
        </w:tc>
        <w:tc>
          <w:tcPr>
            <w:tcW w:w="4637" w:type="dxa"/>
            <w:tcBorders>
              <w:tl2br w:val="nil"/>
              <w:tr2bl w:val="nil"/>
            </w:tcBorders>
            <w:vAlign w:val="center"/>
          </w:tcPr>
          <w:p w14:paraId="0D6674D3">
            <w:pPr>
              <w:snapToGrid w:val="0"/>
              <w:spacing w:line="300" w:lineRule="exact"/>
              <w:ind w:firstLine="420" w:firstLineChars="200"/>
              <w:jc w:val="left"/>
              <w:rPr>
                <w:rFonts w:hint="eastAsia" w:ascii="Times New Roman" w:hAnsi="Times New Roman" w:eastAsia="仿宋" w:cs="Times New Roman"/>
                <w:sz w:val="21"/>
                <w:szCs w:val="21"/>
                <w:lang w:eastAsia="zh-CN"/>
              </w:rPr>
            </w:pPr>
            <w:r>
              <w:rPr>
                <w:rFonts w:ascii="Times New Roman" w:hAnsi="Times New Roman" w:eastAsia="仿宋" w:cs="Times New Roman"/>
                <w:sz w:val="21"/>
                <w:szCs w:val="21"/>
              </w:rPr>
              <w:t>进一步优化经开区规划布局，经开区各功能区</w:t>
            </w:r>
            <w:r>
              <w:rPr>
                <w:rFonts w:hint="eastAsia" w:ascii="Times New Roman" w:hAnsi="Times New Roman" w:eastAsia="仿宋" w:cs="Times New Roman"/>
                <w:sz w:val="21"/>
                <w:szCs w:val="21"/>
                <w:lang w:val="en-US" w:eastAsia="zh-CN"/>
              </w:rPr>
              <w:t>块</w:t>
            </w:r>
            <w:r>
              <w:rPr>
                <w:rFonts w:ascii="Times New Roman" w:hAnsi="Times New Roman" w:eastAsia="仿宋" w:cs="Times New Roman"/>
                <w:sz w:val="21"/>
                <w:szCs w:val="21"/>
              </w:rPr>
              <w:t>相对集中，严格按照功能区划和报告书提出的调整建议进行开发建设、处理好经开区内部及与周边工业、生活、配套服务等各功能组团的关系，园区北部居住用地周边禁止引进气型污染企业，做好工业用地与居住用地之间的隔离，确保功能区划明确，产业相对集中，生态环境优良</w:t>
            </w:r>
            <w:r>
              <w:rPr>
                <w:rFonts w:hint="eastAsia" w:ascii="Times New Roman" w:hAnsi="Times New Roman" w:eastAsia="仿宋" w:cs="Times New Roman"/>
                <w:sz w:val="21"/>
                <w:szCs w:val="21"/>
                <w:lang w:eastAsia="zh-CN"/>
              </w:rPr>
              <w:t>。</w:t>
            </w:r>
          </w:p>
        </w:tc>
        <w:tc>
          <w:tcPr>
            <w:tcW w:w="3071" w:type="dxa"/>
            <w:tcBorders>
              <w:tl2br w:val="nil"/>
              <w:tr2bl w:val="nil"/>
            </w:tcBorders>
            <w:vAlign w:val="center"/>
          </w:tcPr>
          <w:p w14:paraId="6BDD03AA">
            <w:pPr>
              <w:snapToGrid w:val="0"/>
              <w:spacing w:line="300" w:lineRule="exact"/>
              <w:jc w:val="left"/>
              <w:rPr>
                <w:rFonts w:ascii="Times New Roman" w:hAnsi="Times New Roman" w:eastAsia="仿宋" w:cs="Times New Roman"/>
                <w:sz w:val="21"/>
                <w:szCs w:val="21"/>
              </w:rPr>
            </w:pPr>
            <w:r>
              <w:rPr>
                <w:rFonts w:ascii="Times New Roman" w:hAnsi="Times New Roman" w:eastAsia="仿宋" w:cs="Times New Roman"/>
                <w:sz w:val="21"/>
                <w:szCs w:val="21"/>
              </w:rPr>
              <w:t>经开区现状功能分区明确，工业用地与居住用地之间已隔离，产业相对集中，园区北部未新引进气型污染企业。</w:t>
            </w:r>
            <w:r>
              <w:rPr>
                <w:rFonts w:hint="eastAsia" w:ascii="Times New Roman" w:hAnsi="Times New Roman" w:eastAsia="仿宋" w:cs="Times New Roman"/>
                <w:sz w:val="21"/>
                <w:szCs w:val="21"/>
              </w:rPr>
              <w:t>为确保居住用地生态环境，距离居民过近的</w:t>
            </w:r>
            <w:r>
              <w:rPr>
                <w:rFonts w:ascii="Times New Roman" w:hAnsi="Times New Roman" w:eastAsia="仿宋" w:cs="Times New Roman"/>
                <w:sz w:val="21"/>
                <w:szCs w:val="21"/>
              </w:rPr>
              <w:t>湘潭埃索凯生化科技有限公司已</w:t>
            </w:r>
            <w:r>
              <w:rPr>
                <w:rFonts w:hint="eastAsia" w:ascii="Times New Roman" w:hAnsi="Times New Roman" w:eastAsia="仿宋" w:cs="Times New Roman"/>
                <w:sz w:val="21"/>
                <w:szCs w:val="21"/>
              </w:rPr>
              <w:t>退出天易经开区。</w:t>
            </w:r>
          </w:p>
        </w:tc>
        <w:tc>
          <w:tcPr>
            <w:tcW w:w="718" w:type="dxa"/>
            <w:tcBorders>
              <w:tl2br w:val="nil"/>
              <w:tr2bl w:val="nil"/>
            </w:tcBorders>
            <w:vAlign w:val="center"/>
          </w:tcPr>
          <w:p w14:paraId="1B72B1B6">
            <w:pPr>
              <w:snapToGrid w:val="0"/>
              <w:spacing w:line="30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r>
      <w:tr w14:paraId="043303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8" w:type="dxa"/>
            <w:tcBorders>
              <w:tl2br w:val="nil"/>
              <w:tr2bl w:val="nil"/>
            </w:tcBorders>
            <w:vAlign w:val="center"/>
          </w:tcPr>
          <w:p w14:paraId="61105740">
            <w:pPr>
              <w:snapToGrid w:val="0"/>
              <w:spacing w:line="300" w:lineRule="exact"/>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3</w:t>
            </w:r>
          </w:p>
        </w:tc>
        <w:tc>
          <w:tcPr>
            <w:tcW w:w="4637" w:type="dxa"/>
            <w:tcBorders>
              <w:tl2br w:val="nil"/>
              <w:tr2bl w:val="nil"/>
            </w:tcBorders>
            <w:vAlign w:val="center"/>
          </w:tcPr>
          <w:p w14:paraId="07C0E993">
            <w:pPr>
              <w:snapToGrid w:val="0"/>
              <w:spacing w:line="300" w:lineRule="exact"/>
              <w:ind w:firstLine="420" w:firstLineChars="200"/>
              <w:jc w:val="both"/>
              <w:rPr>
                <w:rFonts w:hint="eastAsia" w:ascii="Times New Roman" w:hAnsi="Times New Roman" w:eastAsia="仿宋" w:cs="Times New Roman"/>
                <w:sz w:val="21"/>
                <w:szCs w:val="21"/>
                <w:lang w:eastAsia="zh-CN"/>
              </w:rPr>
            </w:pPr>
            <w:r>
              <w:rPr>
                <w:rFonts w:ascii="Times New Roman" w:hAnsi="Times New Roman" w:eastAsia="仿宋" w:cs="Times New Roman"/>
                <w:sz w:val="21"/>
                <w:szCs w:val="21"/>
              </w:rPr>
              <w:t>严格执行经开区入园企业准入制度，入园项目选址必须符合湖南省湘江保护条例、经开区总体规划、用地规划、环保规划及产业定位总体要求、不得引进国家明令淘汰和禁止发展的能耗物耗高、环境污染严重、不符合产业政策的建设项目，经开区禁止引进三类工业和外排水污染物涉及重金属和持久性有机物的项目，严格控制发展气型污染企业，严格限制排水量大，以氨氮为特征污染物和水循环利用率低的企业及项目进入。经开区管委会和地方环保行政主管部门必须严格按照报告书提出的具体准入条件做好项目的招商把关，在入园项目前期和建设期，必须严格执行建设项目环境影响评价和环保“三同时”管理制度，推行清洁生产工艺，确保入园企业排污浓度、总量满足达标排放和总量控制要求；加强对现有已入园企业的环境监管，对已建设项目进行清理，按报告书要求对现有园区及调扩区域内不符合产业定位，涉及重污染企业限期退出，并妥善解决原厂址遗留环境问题</w:t>
            </w:r>
            <w:r>
              <w:rPr>
                <w:rFonts w:hint="eastAsia" w:ascii="Times New Roman" w:hAnsi="Times New Roman" w:eastAsia="仿宋" w:cs="Times New Roman"/>
                <w:sz w:val="21"/>
                <w:szCs w:val="21"/>
                <w:lang w:eastAsia="zh-CN"/>
              </w:rPr>
              <w:t>。</w:t>
            </w:r>
          </w:p>
        </w:tc>
        <w:tc>
          <w:tcPr>
            <w:tcW w:w="3071" w:type="dxa"/>
            <w:tcBorders>
              <w:tl2br w:val="nil"/>
              <w:tr2bl w:val="nil"/>
            </w:tcBorders>
            <w:vAlign w:val="center"/>
          </w:tcPr>
          <w:p w14:paraId="2984071F">
            <w:pPr>
              <w:snapToGrid w:val="0"/>
              <w:spacing w:line="300" w:lineRule="exact"/>
              <w:rPr>
                <w:rFonts w:ascii="Times New Roman" w:hAnsi="Times New Roman" w:eastAsia="仿宋" w:cs="Times New Roman"/>
                <w:sz w:val="21"/>
                <w:szCs w:val="21"/>
              </w:rPr>
            </w:pPr>
            <w:r>
              <w:rPr>
                <w:rFonts w:ascii="Times New Roman" w:hAnsi="Times New Roman" w:eastAsia="仿宋" w:cs="Times New Roman"/>
                <w:sz w:val="21"/>
                <w:szCs w:val="21"/>
              </w:rPr>
              <w:t>经开区入园项目选址均符合湖南省湘江保护条例、经开区总体规划、用地规划、环保规划及产业定位总体要求；未引进国家明令淘汰和禁止发展的能耗物耗高、环境污染严重、不符合产业政策的建设项目；未新引进三类工业和外排水污染物涉及重金属和持久性有机物的项目；入园企业均严格执行建设项目环境影响评价和环保“三同时”管理制度，排污浓度、总量均满足达标排放和总量控制要求；按报告书要求对现有园区及调扩区域内不符合产业定位，涉及重污染企业正在逐步清理（如湘易玻璃厂已</w:t>
            </w:r>
            <w:r>
              <w:rPr>
                <w:rFonts w:hint="eastAsia" w:ascii="Times New Roman" w:hAnsi="Times New Roman" w:eastAsia="仿宋" w:cs="Times New Roman"/>
                <w:sz w:val="21"/>
                <w:szCs w:val="21"/>
              </w:rPr>
              <w:t>清退）</w:t>
            </w:r>
            <w:r>
              <w:rPr>
                <w:rFonts w:ascii="Times New Roman" w:hAnsi="Times New Roman" w:eastAsia="仿宋" w:cs="Times New Roman"/>
                <w:sz w:val="21"/>
                <w:szCs w:val="21"/>
              </w:rPr>
              <w:t>。</w:t>
            </w:r>
          </w:p>
        </w:tc>
        <w:tc>
          <w:tcPr>
            <w:tcW w:w="718" w:type="dxa"/>
            <w:tcBorders>
              <w:tl2br w:val="nil"/>
              <w:tr2bl w:val="nil"/>
            </w:tcBorders>
            <w:vAlign w:val="center"/>
          </w:tcPr>
          <w:p w14:paraId="1FE45F74">
            <w:pPr>
              <w:snapToGrid w:val="0"/>
              <w:spacing w:line="30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r>
      <w:tr w14:paraId="4CD092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8" w:type="dxa"/>
            <w:tcBorders>
              <w:tl2br w:val="nil"/>
              <w:tr2bl w:val="nil"/>
            </w:tcBorders>
            <w:vAlign w:val="center"/>
          </w:tcPr>
          <w:p w14:paraId="2ED84826">
            <w:pPr>
              <w:snapToGrid w:val="0"/>
              <w:spacing w:line="300" w:lineRule="exact"/>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4</w:t>
            </w:r>
          </w:p>
        </w:tc>
        <w:tc>
          <w:tcPr>
            <w:tcW w:w="4637" w:type="dxa"/>
            <w:tcBorders>
              <w:tl2br w:val="nil"/>
              <w:tr2bl w:val="nil"/>
            </w:tcBorders>
            <w:vAlign w:val="center"/>
          </w:tcPr>
          <w:p w14:paraId="065DC54E">
            <w:pPr>
              <w:snapToGrid w:val="0"/>
              <w:spacing w:line="300" w:lineRule="exact"/>
              <w:ind w:firstLine="420" w:firstLineChars="200"/>
              <w:jc w:val="both"/>
              <w:rPr>
                <w:rFonts w:ascii="Times New Roman" w:hAnsi="Times New Roman" w:eastAsia="仿宋" w:cs="Times New Roman"/>
                <w:sz w:val="21"/>
                <w:szCs w:val="21"/>
              </w:rPr>
            </w:pPr>
            <w:r>
              <w:rPr>
                <w:rFonts w:ascii="Times New Roman" w:hAnsi="Times New Roman" w:eastAsia="仿宋" w:cs="Times New Roman"/>
                <w:sz w:val="21"/>
                <w:szCs w:val="21"/>
              </w:rPr>
              <w:t>做好经开区水污染综合防治，经开区排水实施“雨污分流”，进一步推进经开区内各企业水循环利用工作，减少外排废水量；经开区污水纳入湘潭县污水处理厂处理，管委会及地方环保主管部门应加强进水水质标准管理，确保经开区工业废水及生活污水经预处理达到行业排水标准及《污水综合排放标准》（GB8978-1996）三级标准后排入污水管网，其中第一类污染物在车间排放口达到《污水综合排放标准》（GB8978-1996）表1规定的最高允许排放浓度限值要求。地方政府、经开区管委会应加快实施湘潭县污水处理厂扩容提标改造和经开区排水管网建设完善工作，污水处理厂出水控制水质应提标至《城镇污水处理厂污染物排放标准》（GB18918-2002）中的一级A标准。在管网未配套到位，废水不能接入污水处理厂正常处理的区域，应禁止引进企业。</w:t>
            </w:r>
          </w:p>
        </w:tc>
        <w:tc>
          <w:tcPr>
            <w:tcW w:w="3071" w:type="dxa"/>
            <w:tcBorders>
              <w:tl2br w:val="nil"/>
              <w:tr2bl w:val="nil"/>
            </w:tcBorders>
            <w:vAlign w:val="center"/>
          </w:tcPr>
          <w:p w14:paraId="32D58BB5">
            <w:pPr>
              <w:snapToGrid w:val="0"/>
              <w:spacing w:line="300" w:lineRule="exact"/>
              <w:rPr>
                <w:rFonts w:ascii="Times New Roman" w:hAnsi="Times New Roman" w:eastAsia="仿宋" w:cs="Times New Roman"/>
                <w:sz w:val="21"/>
                <w:szCs w:val="21"/>
              </w:rPr>
            </w:pPr>
            <w:r>
              <w:rPr>
                <w:rFonts w:ascii="Times New Roman" w:hAnsi="Times New Roman" w:eastAsia="仿宋" w:cs="Times New Roman"/>
                <w:sz w:val="21"/>
                <w:szCs w:val="21"/>
              </w:rPr>
              <w:t>经开区排水实施“雨污分流”，吴家巷工业园</w:t>
            </w:r>
            <w:r>
              <w:rPr>
                <w:rFonts w:hint="eastAsia" w:ascii="Times New Roman" w:hAnsi="Times New Roman" w:eastAsia="仿宋" w:cs="Times New Roman"/>
                <w:sz w:val="21"/>
                <w:szCs w:val="21"/>
              </w:rPr>
              <w:t>建设有吴家巷工业园污水处理站</w:t>
            </w:r>
            <w:r>
              <w:rPr>
                <w:rFonts w:ascii="Times New Roman" w:hAnsi="Times New Roman" w:eastAsia="仿宋" w:cs="Times New Roman"/>
                <w:sz w:val="21"/>
                <w:szCs w:val="21"/>
              </w:rPr>
              <w:t>，重金属废水经污水处理站处理后，交康大工贸循环利用，不外排；经开区工业废水及生活污水经现状管网收集进入湘潭县第一污水处理厂处理或湘潭县第二污水处理厂，一污出水水质已提标至《城镇污水处理厂污染物排放标准》（GB18918-2002）中的一级A标准，二污出水水质已提标至</w:t>
            </w:r>
            <w:r>
              <w:fldChar w:fldCharType="begin"/>
            </w:r>
            <w:r>
              <w:instrText xml:space="preserve"> HYPERLINK "https://www.so.com/link?m=boK+HS/KO06TzRn8OddTsuu/osR16kZgRcq3PC8KK8ZNSlKgnH84svcnuEcyPGcu6InbowW4NvwicUE39brcf3g8D+OMBUfh76L6W4J4LNF0rutCGycZHm7wq0fbGbzbbkCIBW+O8Wo33hCGHpG7vt6ToLwRdF/Z0A3uLcb1bqL6e8qbJP2hLMjhpEL4SLzFNst56UvY5CzKZwAM9pj/eK2cDZ2kMkPbCk9F+XrvoloxOz6/vgac2e1xjpUM=" \t "https://www.so.com/_blank" </w:instrText>
            </w:r>
            <w:r>
              <w:fldChar w:fldCharType="separate"/>
            </w:r>
            <w:r>
              <w:rPr>
                <w:rFonts w:ascii="Times New Roman" w:hAnsi="Times New Roman" w:eastAsia="仿宋" w:cs="Times New Roman"/>
                <w:sz w:val="21"/>
                <w:szCs w:val="21"/>
              </w:rPr>
              <w:t>地表《水环境质量标准》(GB3838-2002)</w:t>
            </w:r>
            <w:r>
              <w:rPr>
                <w:rFonts w:ascii="Times New Roman" w:hAnsi="Times New Roman" w:eastAsia="仿宋" w:cs="Times New Roman"/>
                <w:sz w:val="21"/>
                <w:szCs w:val="21"/>
              </w:rPr>
              <w:fldChar w:fldCharType="end"/>
            </w:r>
            <w:r>
              <w:rPr>
                <w:rFonts w:ascii="Times New Roman" w:hAnsi="Times New Roman" w:eastAsia="仿宋" w:cs="Times New Roman"/>
                <w:sz w:val="21"/>
                <w:szCs w:val="21"/>
              </w:rPr>
              <w:t>Ⅳ类标准，管控区内管网已配套到位。</w:t>
            </w:r>
          </w:p>
        </w:tc>
        <w:tc>
          <w:tcPr>
            <w:tcW w:w="718" w:type="dxa"/>
            <w:tcBorders>
              <w:tl2br w:val="nil"/>
              <w:tr2bl w:val="nil"/>
            </w:tcBorders>
            <w:vAlign w:val="center"/>
          </w:tcPr>
          <w:p w14:paraId="5A1556F6">
            <w:pPr>
              <w:snapToGrid w:val="0"/>
              <w:spacing w:line="30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r>
      <w:tr w14:paraId="5F7CDE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8" w:type="dxa"/>
            <w:tcBorders>
              <w:tl2br w:val="nil"/>
              <w:tr2bl w:val="nil"/>
            </w:tcBorders>
            <w:vAlign w:val="center"/>
          </w:tcPr>
          <w:p w14:paraId="756F21C7">
            <w:pPr>
              <w:snapToGrid w:val="0"/>
              <w:spacing w:line="300" w:lineRule="exact"/>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5</w:t>
            </w:r>
          </w:p>
        </w:tc>
        <w:tc>
          <w:tcPr>
            <w:tcW w:w="4637" w:type="dxa"/>
            <w:tcBorders>
              <w:tl2br w:val="nil"/>
              <w:tr2bl w:val="nil"/>
            </w:tcBorders>
            <w:vAlign w:val="center"/>
          </w:tcPr>
          <w:p w14:paraId="4E5859D6">
            <w:pPr>
              <w:snapToGrid w:val="0"/>
              <w:spacing w:line="300" w:lineRule="exact"/>
              <w:ind w:firstLine="420" w:firstLineChars="200"/>
              <w:jc w:val="left"/>
              <w:rPr>
                <w:rFonts w:ascii="Times New Roman" w:hAnsi="Times New Roman" w:eastAsia="仿宋" w:cs="Times New Roman"/>
                <w:sz w:val="21"/>
                <w:szCs w:val="21"/>
              </w:rPr>
            </w:pPr>
            <w:r>
              <w:rPr>
                <w:rFonts w:ascii="Times New Roman" w:hAnsi="Times New Roman" w:eastAsia="仿宋" w:cs="Times New Roman"/>
                <w:sz w:val="21"/>
                <w:szCs w:val="21"/>
              </w:rPr>
              <w:t>做好经开区大气污染控制措施，经开区应积极推广清洁能源、严格限制燃煤企业进入，逐步改造现有燃煤企业，实现生产、生活无煤化。加强企业管理，对各企业有工艺废气产出的生产节点，应督促其配置废气收集与处理净化装置，做到达标排放；加强生产工艺研究与技术改进，采取有效措施，减少工艺废气的无组织排放，入园企业各生产装置排放的废气须经处理达到相应的行业排放标准及《大气污染物综合排放标准》中的二级标准要求；合理优化工业布局，将气型污染相对明显，涉重气型污染的企业布置在远离居住等环境敏感区域的位置，并在工业企业之间设置合理的间隔距离，减轻相互影响。</w:t>
            </w:r>
          </w:p>
        </w:tc>
        <w:tc>
          <w:tcPr>
            <w:tcW w:w="3071" w:type="dxa"/>
            <w:tcBorders>
              <w:tl2br w:val="nil"/>
              <w:tr2bl w:val="nil"/>
            </w:tcBorders>
            <w:vAlign w:val="center"/>
          </w:tcPr>
          <w:p w14:paraId="599032EF">
            <w:pPr>
              <w:snapToGrid w:val="0"/>
              <w:spacing w:line="300" w:lineRule="exact"/>
              <w:jc w:val="left"/>
              <w:rPr>
                <w:rFonts w:ascii="Times New Roman" w:hAnsi="Times New Roman" w:eastAsia="仿宋" w:cs="Times New Roman"/>
                <w:sz w:val="21"/>
                <w:szCs w:val="21"/>
              </w:rPr>
            </w:pPr>
            <w:r>
              <w:rPr>
                <w:rFonts w:ascii="Times New Roman" w:hAnsi="Times New Roman" w:eastAsia="仿宋" w:cs="Times New Roman"/>
                <w:sz w:val="21"/>
                <w:szCs w:val="21"/>
              </w:rPr>
              <w:t>天易经开区已完成现有燃煤锅炉改造；入园企业均严格执行建设项目环境影响评价和环保“三同时”管理制度，重点废气排污企业设置在线监控设施，基本做到达标排放；功能布局合理，北部居住用地区域未新引进气型污染企业。</w:t>
            </w:r>
          </w:p>
        </w:tc>
        <w:tc>
          <w:tcPr>
            <w:tcW w:w="718" w:type="dxa"/>
            <w:tcBorders>
              <w:tl2br w:val="nil"/>
              <w:tr2bl w:val="nil"/>
            </w:tcBorders>
            <w:vAlign w:val="center"/>
          </w:tcPr>
          <w:p w14:paraId="2641DE50">
            <w:pPr>
              <w:snapToGrid w:val="0"/>
              <w:spacing w:line="30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r>
      <w:tr w14:paraId="06E03A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8" w:type="dxa"/>
            <w:tcBorders>
              <w:tl2br w:val="nil"/>
              <w:tr2bl w:val="nil"/>
            </w:tcBorders>
            <w:vAlign w:val="center"/>
          </w:tcPr>
          <w:p w14:paraId="2D9E9792">
            <w:pPr>
              <w:snapToGrid w:val="0"/>
              <w:spacing w:line="300" w:lineRule="exact"/>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6</w:t>
            </w:r>
          </w:p>
        </w:tc>
        <w:tc>
          <w:tcPr>
            <w:tcW w:w="4637" w:type="dxa"/>
            <w:tcBorders>
              <w:tl2br w:val="nil"/>
              <w:tr2bl w:val="nil"/>
            </w:tcBorders>
            <w:vAlign w:val="center"/>
          </w:tcPr>
          <w:p w14:paraId="1C55802E">
            <w:pPr>
              <w:snapToGrid w:val="0"/>
              <w:spacing w:line="300" w:lineRule="exact"/>
              <w:ind w:firstLine="420" w:firstLineChars="200"/>
              <w:jc w:val="both"/>
              <w:rPr>
                <w:rFonts w:ascii="Times New Roman" w:hAnsi="Times New Roman" w:eastAsia="仿宋" w:cs="Times New Roman"/>
                <w:sz w:val="21"/>
                <w:szCs w:val="21"/>
              </w:rPr>
            </w:pPr>
            <w:r>
              <w:rPr>
                <w:rFonts w:ascii="Times New Roman" w:hAnsi="Times New Roman" w:eastAsia="仿宋" w:cs="Times New Roman"/>
                <w:sz w:val="21"/>
                <w:szCs w:val="21"/>
              </w:rPr>
              <w:t>做好经开区工业固体废物和生活垃圾处理，建立统一的固废收集、贮运、运输、综合利用和安全处置的运营管理体系。推进清洁生产，减少固体废物产生量；加强固体废物的资源化进程，提高综合利用率；规范固体废物处理措施，对工业企业产生的固体废物特别是危险固废应按国家有关规定综合利用或妥善处置，严防二次污染。</w:t>
            </w:r>
          </w:p>
        </w:tc>
        <w:tc>
          <w:tcPr>
            <w:tcW w:w="3071" w:type="dxa"/>
            <w:tcBorders>
              <w:tl2br w:val="nil"/>
              <w:tr2bl w:val="nil"/>
            </w:tcBorders>
            <w:vAlign w:val="center"/>
          </w:tcPr>
          <w:p w14:paraId="1F2D5D5E">
            <w:pPr>
              <w:snapToGrid w:val="0"/>
              <w:spacing w:line="300" w:lineRule="exact"/>
              <w:rPr>
                <w:rFonts w:ascii="Times New Roman" w:hAnsi="Times New Roman" w:eastAsia="仿宋" w:cs="Times New Roman"/>
                <w:sz w:val="21"/>
                <w:szCs w:val="21"/>
              </w:rPr>
            </w:pPr>
            <w:r>
              <w:rPr>
                <w:rFonts w:ascii="Times New Roman" w:hAnsi="Times New Roman" w:eastAsia="仿宋" w:cs="Times New Roman"/>
                <w:sz w:val="21"/>
                <w:szCs w:val="21"/>
              </w:rPr>
              <w:t>经开区已做好工业固体废物和生活垃圾处理，建立了</w:t>
            </w:r>
            <w:r>
              <w:rPr>
                <w:rFonts w:hint="eastAsia" w:ascii="Times New Roman" w:hAnsi="Times New Roman" w:eastAsia="仿宋" w:cs="Times New Roman"/>
                <w:sz w:val="21"/>
                <w:szCs w:val="21"/>
              </w:rPr>
              <w:t>对危险废物</w:t>
            </w:r>
            <w:r>
              <w:rPr>
                <w:rFonts w:ascii="Times New Roman" w:hAnsi="Times New Roman" w:eastAsia="仿宋" w:cs="Times New Roman"/>
                <w:sz w:val="21"/>
                <w:szCs w:val="21"/>
              </w:rPr>
              <w:t>收集、贮运、运输、综合利用和安全处置的管理</w:t>
            </w:r>
            <w:r>
              <w:rPr>
                <w:rFonts w:hint="eastAsia" w:ascii="Times New Roman" w:hAnsi="Times New Roman" w:eastAsia="仿宋" w:cs="Times New Roman"/>
                <w:sz w:val="21"/>
                <w:szCs w:val="21"/>
              </w:rPr>
              <w:t>制度</w:t>
            </w:r>
            <w:r>
              <w:rPr>
                <w:rFonts w:ascii="Times New Roman" w:hAnsi="Times New Roman" w:eastAsia="仿宋" w:cs="Times New Roman"/>
                <w:sz w:val="21"/>
                <w:szCs w:val="21"/>
              </w:rPr>
              <w:t>；规范了固体废物处理措施，对工业企业产生的固体废物特别是危险固废已按国家有关规定综合利用或妥善处置。</w:t>
            </w:r>
          </w:p>
        </w:tc>
        <w:tc>
          <w:tcPr>
            <w:tcW w:w="718" w:type="dxa"/>
            <w:tcBorders>
              <w:tl2br w:val="nil"/>
              <w:tr2bl w:val="nil"/>
            </w:tcBorders>
            <w:vAlign w:val="center"/>
          </w:tcPr>
          <w:p w14:paraId="1D859811">
            <w:pPr>
              <w:snapToGrid w:val="0"/>
              <w:spacing w:line="30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r>
      <w:tr w14:paraId="02E108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8" w:type="dxa"/>
            <w:tcBorders>
              <w:tl2br w:val="nil"/>
              <w:tr2bl w:val="nil"/>
            </w:tcBorders>
            <w:vAlign w:val="center"/>
          </w:tcPr>
          <w:p w14:paraId="13F06AC8">
            <w:pPr>
              <w:snapToGrid w:val="0"/>
              <w:spacing w:line="300" w:lineRule="exact"/>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7</w:t>
            </w:r>
          </w:p>
        </w:tc>
        <w:tc>
          <w:tcPr>
            <w:tcW w:w="4637" w:type="dxa"/>
            <w:tcBorders>
              <w:tl2br w:val="nil"/>
              <w:tr2bl w:val="nil"/>
            </w:tcBorders>
            <w:vAlign w:val="center"/>
          </w:tcPr>
          <w:p w14:paraId="3DF648FE">
            <w:pPr>
              <w:snapToGrid w:val="0"/>
              <w:spacing w:line="300" w:lineRule="exact"/>
              <w:ind w:firstLine="420" w:firstLineChars="200"/>
              <w:jc w:val="left"/>
              <w:rPr>
                <w:rFonts w:ascii="Times New Roman" w:hAnsi="Times New Roman" w:eastAsia="仿宋" w:cs="Times New Roman"/>
                <w:sz w:val="21"/>
                <w:szCs w:val="21"/>
              </w:rPr>
            </w:pPr>
            <w:r>
              <w:rPr>
                <w:rFonts w:ascii="Times New Roman" w:hAnsi="Times New Roman" w:eastAsia="仿宋" w:cs="Times New Roman"/>
                <w:sz w:val="21"/>
                <w:szCs w:val="21"/>
              </w:rPr>
              <w:t>经开区要建立专职环境监督管理机构，建立健全环境风险事故防范措施和应急预案，严防环境风险事故发生。</w:t>
            </w:r>
          </w:p>
        </w:tc>
        <w:tc>
          <w:tcPr>
            <w:tcW w:w="3071" w:type="dxa"/>
            <w:tcBorders>
              <w:tl2br w:val="nil"/>
              <w:tr2bl w:val="nil"/>
            </w:tcBorders>
            <w:vAlign w:val="center"/>
          </w:tcPr>
          <w:p w14:paraId="2140CF63">
            <w:pPr>
              <w:snapToGrid w:val="0"/>
              <w:spacing w:line="300" w:lineRule="exact"/>
              <w:jc w:val="left"/>
              <w:rPr>
                <w:rFonts w:ascii="Times New Roman" w:hAnsi="Times New Roman" w:eastAsia="仿宋" w:cs="Times New Roman"/>
                <w:sz w:val="21"/>
                <w:szCs w:val="21"/>
              </w:rPr>
            </w:pPr>
            <w:r>
              <w:rPr>
                <w:rFonts w:ascii="Times New Roman" w:hAnsi="Times New Roman" w:eastAsia="仿宋" w:cs="Times New Roman"/>
                <w:sz w:val="21"/>
                <w:szCs w:val="21"/>
              </w:rPr>
              <w:t>设立了经开区环境管理机构，建立了环境风险事故防范措施和应急预案。</w:t>
            </w:r>
          </w:p>
        </w:tc>
        <w:tc>
          <w:tcPr>
            <w:tcW w:w="718" w:type="dxa"/>
            <w:tcBorders>
              <w:tl2br w:val="nil"/>
              <w:tr2bl w:val="nil"/>
            </w:tcBorders>
            <w:vAlign w:val="center"/>
          </w:tcPr>
          <w:p w14:paraId="7E72248C">
            <w:pPr>
              <w:snapToGrid w:val="0"/>
              <w:spacing w:line="30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r>
      <w:tr w14:paraId="56EAF6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8" w:type="dxa"/>
            <w:tcBorders>
              <w:tl2br w:val="nil"/>
              <w:tr2bl w:val="nil"/>
            </w:tcBorders>
            <w:vAlign w:val="center"/>
          </w:tcPr>
          <w:p w14:paraId="7BA1843E">
            <w:pPr>
              <w:snapToGrid w:val="0"/>
              <w:spacing w:line="300" w:lineRule="exact"/>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8</w:t>
            </w:r>
          </w:p>
        </w:tc>
        <w:tc>
          <w:tcPr>
            <w:tcW w:w="4637" w:type="dxa"/>
            <w:tcBorders>
              <w:tl2br w:val="nil"/>
              <w:tr2bl w:val="nil"/>
            </w:tcBorders>
            <w:vAlign w:val="center"/>
          </w:tcPr>
          <w:p w14:paraId="33A68887">
            <w:pPr>
              <w:snapToGrid w:val="0"/>
              <w:spacing w:line="300" w:lineRule="exact"/>
              <w:ind w:firstLine="420" w:firstLineChars="200"/>
              <w:jc w:val="left"/>
              <w:rPr>
                <w:rFonts w:ascii="Times New Roman" w:hAnsi="Times New Roman" w:eastAsia="仿宋" w:cs="Times New Roman"/>
                <w:sz w:val="21"/>
                <w:szCs w:val="21"/>
              </w:rPr>
            </w:pPr>
            <w:r>
              <w:rPr>
                <w:rFonts w:ascii="Times New Roman" w:hAnsi="Times New Roman" w:eastAsia="仿宋" w:cs="Times New Roman"/>
                <w:sz w:val="21"/>
                <w:szCs w:val="21"/>
              </w:rPr>
              <w:t>合理有序安排经开区开发进度。按经开区的开发规划统筹制定拆迁安置方案，落实移民生产生活安置措施，防止移民再次安置和次生环境问题。</w:t>
            </w:r>
          </w:p>
        </w:tc>
        <w:tc>
          <w:tcPr>
            <w:tcW w:w="3071" w:type="dxa"/>
            <w:tcBorders>
              <w:tl2br w:val="nil"/>
              <w:tr2bl w:val="nil"/>
            </w:tcBorders>
            <w:vAlign w:val="center"/>
          </w:tcPr>
          <w:p w14:paraId="5E0BB72A">
            <w:pPr>
              <w:snapToGrid w:val="0"/>
              <w:spacing w:line="300" w:lineRule="exact"/>
              <w:jc w:val="left"/>
              <w:rPr>
                <w:rFonts w:ascii="Times New Roman" w:hAnsi="Times New Roman" w:eastAsia="仿宋" w:cs="Times New Roman"/>
                <w:sz w:val="21"/>
                <w:szCs w:val="21"/>
              </w:rPr>
            </w:pPr>
            <w:r>
              <w:rPr>
                <w:rFonts w:ascii="Times New Roman" w:hAnsi="Times New Roman" w:eastAsia="仿宋" w:cs="Times New Roman"/>
                <w:sz w:val="21"/>
                <w:szCs w:val="21"/>
              </w:rPr>
              <w:t>经开区按照要求制定了拆迁安置方案，《湘潭天易示范区集中土地房屋拆迁和货币安置暂行办法》潭天易管发[2012]3号，并逐步落实移民生产生活安置工作，防止移民再次安置和次生环境问题。</w:t>
            </w:r>
          </w:p>
        </w:tc>
        <w:tc>
          <w:tcPr>
            <w:tcW w:w="718" w:type="dxa"/>
            <w:tcBorders>
              <w:tl2br w:val="nil"/>
              <w:tr2bl w:val="nil"/>
            </w:tcBorders>
            <w:vAlign w:val="center"/>
          </w:tcPr>
          <w:p w14:paraId="5C496BA1">
            <w:pPr>
              <w:snapToGrid w:val="0"/>
              <w:spacing w:line="30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r>
      <w:tr w14:paraId="77EE34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18" w:type="dxa"/>
            <w:tcBorders>
              <w:tl2br w:val="nil"/>
              <w:tr2bl w:val="nil"/>
            </w:tcBorders>
            <w:vAlign w:val="center"/>
          </w:tcPr>
          <w:p w14:paraId="5D188BDB">
            <w:pPr>
              <w:snapToGrid w:val="0"/>
              <w:spacing w:line="300" w:lineRule="exact"/>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9</w:t>
            </w:r>
          </w:p>
        </w:tc>
        <w:tc>
          <w:tcPr>
            <w:tcW w:w="4637" w:type="dxa"/>
            <w:tcBorders>
              <w:tl2br w:val="nil"/>
              <w:tr2bl w:val="nil"/>
            </w:tcBorders>
            <w:vAlign w:val="center"/>
          </w:tcPr>
          <w:p w14:paraId="1BA8AE11">
            <w:pPr>
              <w:snapToGrid w:val="0"/>
              <w:spacing w:line="300" w:lineRule="exact"/>
              <w:ind w:firstLine="420" w:firstLineChars="200"/>
              <w:jc w:val="left"/>
              <w:rPr>
                <w:rFonts w:ascii="Times New Roman" w:hAnsi="Times New Roman" w:eastAsia="仿宋" w:cs="Times New Roman"/>
                <w:sz w:val="21"/>
                <w:szCs w:val="21"/>
              </w:rPr>
            </w:pPr>
            <w:r>
              <w:rPr>
                <w:rFonts w:ascii="Times New Roman" w:hAnsi="Times New Roman" w:eastAsia="仿宋" w:cs="Times New Roman"/>
                <w:sz w:val="21"/>
                <w:szCs w:val="21"/>
              </w:rPr>
              <w:t>经开区建设过程中，应按规划及报告书提出的生态保护、景观设计和功能分区要求保留一定的自然山体绿地；施工期保护好山体、树林和耕地等不受破坏；土石方开挖、堆存及回填要实施围挡、护坡等措施，裸露地及时恢复植被、防止水土流失。</w:t>
            </w:r>
          </w:p>
        </w:tc>
        <w:tc>
          <w:tcPr>
            <w:tcW w:w="3071" w:type="dxa"/>
            <w:tcBorders>
              <w:tl2br w:val="nil"/>
              <w:tr2bl w:val="nil"/>
            </w:tcBorders>
            <w:vAlign w:val="center"/>
          </w:tcPr>
          <w:p w14:paraId="07B51416">
            <w:pPr>
              <w:snapToGrid w:val="0"/>
              <w:spacing w:line="300" w:lineRule="exact"/>
              <w:jc w:val="left"/>
              <w:rPr>
                <w:rFonts w:ascii="Times New Roman" w:hAnsi="Times New Roman" w:eastAsia="仿宋" w:cs="Times New Roman"/>
                <w:sz w:val="21"/>
                <w:szCs w:val="21"/>
              </w:rPr>
            </w:pPr>
            <w:r>
              <w:rPr>
                <w:rFonts w:ascii="Times New Roman" w:hAnsi="Times New Roman" w:eastAsia="仿宋" w:cs="Times New Roman"/>
                <w:sz w:val="21"/>
                <w:szCs w:val="21"/>
              </w:rPr>
              <w:t>经开区建设过程中，已落实规划及报告书的生态保护、景观设计和功能分区，已落实保留一定的自然山体绿地；对经开区内施工企业要求设置围挡、护坡等措施，对裸露地面及时恢复植被、防止水土流失。</w:t>
            </w:r>
          </w:p>
        </w:tc>
        <w:tc>
          <w:tcPr>
            <w:tcW w:w="718" w:type="dxa"/>
            <w:tcBorders>
              <w:tl2br w:val="nil"/>
              <w:tr2bl w:val="nil"/>
            </w:tcBorders>
            <w:vAlign w:val="center"/>
          </w:tcPr>
          <w:p w14:paraId="6E2ABF2C">
            <w:pPr>
              <w:snapToGrid w:val="0"/>
              <w:spacing w:line="30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r>
    </w:tbl>
    <w:p w14:paraId="71C2B6AD">
      <w:pPr>
        <w:pStyle w:val="21"/>
        <w:snapToGrid w:val="0"/>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根据</w:t>
      </w:r>
      <w:r>
        <w:rPr>
          <w:rFonts w:ascii="Times New Roman" w:hAnsi="Times New Roman" w:eastAsia="仿宋"/>
          <w:szCs w:val="32"/>
        </w:rPr>
        <w:t>园区规划环评要求</w:t>
      </w:r>
      <w:r>
        <w:rPr>
          <w:rFonts w:hint="eastAsia" w:ascii="Times New Roman" w:hAnsi="Times New Roman" w:eastAsia="仿宋"/>
          <w:szCs w:val="32"/>
        </w:rPr>
        <w:t>，</w:t>
      </w:r>
      <w:r>
        <w:rPr>
          <w:rFonts w:ascii="Times New Roman" w:hAnsi="Times New Roman" w:eastAsia="仿宋"/>
          <w:szCs w:val="32"/>
        </w:rPr>
        <w:t>园区</w:t>
      </w:r>
      <w:r>
        <w:rPr>
          <w:rFonts w:hint="eastAsia" w:ascii="Times New Roman" w:hAnsi="Times New Roman" w:eastAsia="仿宋"/>
          <w:szCs w:val="32"/>
        </w:rPr>
        <w:t>自行监测计划</w:t>
      </w:r>
      <w:r>
        <w:rPr>
          <w:rFonts w:ascii="Times New Roman" w:hAnsi="Times New Roman" w:eastAsia="仿宋"/>
          <w:szCs w:val="32"/>
        </w:rPr>
        <w:t>详见表2。</w:t>
      </w:r>
    </w:p>
    <w:p w14:paraId="354B1A97">
      <w:pPr>
        <w:snapToGrid w:val="0"/>
        <w:spacing w:line="360" w:lineRule="auto"/>
        <w:jc w:val="center"/>
        <w:rPr>
          <w:rFonts w:ascii="Times New Roman" w:hAnsi="Times New Roman" w:eastAsia="仿宋" w:cs="Times New Roman"/>
          <w:b/>
          <w:bCs/>
          <w:szCs w:val="28"/>
        </w:rPr>
      </w:pPr>
      <w:r>
        <w:rPr>
          <w:rFonts w:ascii="Times New Roman" w:hAnsi="Times New Roman" w:eastAsia="仿宋" w:cs="Times New Roman"/>
          <w:b/>
          <w:bCs/>
          <w:szCs w:val="28"/>
        </w:rPr>
        <w:t xml:space="preserve">表2  </w:t>
      </w:r>
      <w:r>
        <w:rPr>
          <w:rFonts w:hint="eastAsia" w:ascii="Times New Roman" w:hAnsi="Times New Roman" w:eastAsia="仿宋" w:cs="Times New Roman"/>
          <w:b/>
          <w:bCs/>
          <w:szCs w:val="28"/>
          <w:lang w:val="en-US" w:eastAsia="zh-CN"/>
        </w:rPr>
        <w:t>天易</w:t>
      </w:r>
      <w:r>
        <w:rPr>
          <w:rFonts w:ascii="Times New Roman" w:hAnsi="Times New Roman" w:eastAsia="仿宋" w:cs="Times New Roman"/>
          <w:b/>
          <w:bCs/>
          <w:szCs w:val="28"/>
        </w:rPr>
        <w:t>经开区环境质量</w:t>
      </w:r>
      <w:r>
        <w:rPr>
          <w:rFonts w:hint="eastAsia" w:ascii="Times New Roman" w:hAnsi="Times New Roman" w:eastAsia="仿宋" w:cs="Times New Roman"/>
          <w:b/>
          <w:bCs/>
          <w:szCs w:val="28"/>
        </w:rPr>
        <w:t>规划环评</w:t>
      </w:r>
      <w:r>
        <w:rPr>
          <w:rFonts w:ascii="Times New Roman" w:hAnsi="Times New Roman" w:eastAsia="仿宋" w:cs="Times New Roman"/>
          <w:b/>
          <w:bCs/>
          <w:szCs w:val="28"/>
        </w:rPr>
        <w:t>监测计划</w:t>
      </w:r>
      <w:r>
        <w:rPr>
          <w:rFonts w:hint="eastAsia" w:ascii="Times New Roman" w:hAnsi="Times New Roman" w:eastAsia="仿宋" w:cs="Times New Roman"/>
          <w:b/>
          <w:bCs/>
          <w:szCs w:val="28"/>
        </w:rPr>
        <w:t>及落实情况</w:t>
      </w:r>
    </w:p>
    <w:tbl>
      <w:tblPr>
        <w:tblStyle w:val="22"/>
        <w:tblW w:w="5383"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39"/>
        <w:gridCol w:w="1865"/>
        <w:gridCol w:w="2733"/>
        <w:gridCol w:w="1314"/>
        <w:gridCol w:w="1458"/>
        <w:gridCol w:w="1167"/>
      </w:tblGrid>
      <w:tr w14:paraId="65FD45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348" w:type="pct"/>
            <w:vAlign w:val="center"/>
          </w:tcPr>
          <w:p w14:paraId="71418838">
            <w:pPr>
              <w:jc w:val="center"/>
              <w:rPr>
                <w:rFonts w:ascii="仿宋" w:hAnsi="仿宋" w:eastAsia="仿宋" w:cs="Arial"/>
                <w:b/>
                <w:sz w:val="21"/>
                <w:szCs w:val="21"/>
              </w:rPr>
            </w:pPr>
            <w:r>
              <w:rPr>
                <w:rFonts w:ascii="仿宋" w:hAnsi="仿宋" w:eastAsia="仿宋" w:cs="Arial"/>
                <w:b/>
                <w:sz w:val="21"/>
                <w:szCs w:val="21"/>
              </w:rPr>
              <w:t>监测</w:t>
            </w:r>
          </w:p>
          <w:p w14:paraId="1CDD9E35">
            <w:pPr>
              <w:jc w:val="center"/>
              <w:rPr>
                <w:rFonts w:ascii="仿宋" w:hAnsi="仿宋" w:eastAsia="仿宋" w:cs="Arial"/>
                <w:b/>
                <w:sz w:val="21"/>
                <w:szCs w:val="21"/>
              </w:rPr>
            </w:pPr>
            <w:r>
              <w:rPr>
                <w:rFonts w:ascii="仿宋" w:hAnsi="仿宋" w:eastAsia="仿宋" w:cs="Arial"/>
                <w:b/>
                <w:sz w:val="21"/>
                <w:szCs w:val="21"/>
              </w:rPr>
              <w:t>项目</w:t>
            </w:r>
          </w:p>
        </w:tc>
        <w:tc>
          <w:tcPr>
            <w:tcW w:w="1016" w:type="pct"/>
            <w:vAlign w:val="center"/>
          </w:tcPr>
          <w:p w14:paraId="45764FF4">
            <w:pPr>
              <w:jc w:val="center"/>
              <w:rPr>
                <w:rFonts w:ascii="仿宋" w:hAnsi="仿宋" w:eastAsia="仿宋" w:cs="Arial"/>
                <w:b/>
                <w:sz w:val="21"/>
                <w:szCs w:val="21"/>
              </w:rPr>
            </w:pPr>
            <w:r>
              <w:rPr>
                <w:rFonts w:ascii="仿宋" w:hAnsi="仿宋" w:eastAsia="仿宋" w:cs="Arial"/>
                <w:b/>
                <w:sz w:val="21"/>
                <w:szCs w:val="21"/>
              </w:rPr>
              <w:t>监测点（断面）设置</w:t>
            </w:r>
          </w:p>
        </w:tc>
        <w:tc>
          <w:tcPr>
            <w:tcW w:w="1489" w:type="pct"/>
            <w:vAlign w:val="center"/>
          </w:tcPr>
          <w:p w14:paraId="3C5EAD0C">
            <w:pPr>
              <w:jc w:val="center"/>
              <w:rPr>
                <w:rFonts w:ascii="仿宋" w:hAnsi="仿宋" w:eastAsia="仿宋" w:cs="Arial"/>
                <w:b/>
                <w:sz w:val="21"/>
                <w:szCs w:val="21"/>
              </w:rPr>
            </w:pPr>
            <w:r>
              <w:rPr>
                <w:rFonts w:ascii="仿宋" w:hAnsi="仿宋" w:eastAsia="仿宋" w:cs="Arial"/>
                <w:b/>
                <w:sz w:val="21"/>
                <w:szCs w:val="21"/>
              </w:rPr>
              <w:t>监测项目</w:t>
            </w:r>
          </w:p>
        </w:tc>
        <w:tc>
          <w:tcPr>
            <w:tcW w:w="716" w:type="pct"/>
            <w:vAlign w:val="center"/>
          </w:tcPr>
          <w:p w14:paraId="2C2E8997">
            <w:pPr>
              <w:jc w:val="center"/>
              <w:rPr>
                <w:rFonts w:ascii="仿宋" w:hAnsi="仿宋" w:eastAsia="仿宋" w:cs="Arial"/>
                <w:b/>
                <w:sz w:val="21"/>
                <w:szCs w:val="21"/>
              </w:rPr>
            </w:pPr>
            <w:r>
              <w:rPr>
                <w:rFonts w:ascii="仿宋" w:hAnsi="仿宋" w:eastAsia="仿宋" w:cs="Arial"/>
                <w:b/>
                <w:sz w:val="21"/>
                <w:szCs w:val="21"/>
              </w:rPr>
              <w:t>监测频次</w:t>
            </w:r>
          </w:p>
        </w:tc>
        <w:tc>
          <w:tcPr>
            <w:tcW w:w="795" w:type="pct"/>
            <w:vAlign w:val="center"/>
          </w:tcPr>
          <w:p w14:paraId="4CA4BC8B">
            <w:pPr>
              <w:jc w:val="center"/>
              <w:rPr>
                <w:rFonts w:ascii="仿宋" w:hAnsi="仿宋" w:eastAsia="仿宋" w:cs="Arial"/>
                <w:b/>
                <w:sz w:val="21"/>
                <w:szCs w:val="21"/>
              </w:rPr>
            </w:pPr>
            <w:r>
              <w:rPr>
                <w:rFonts w:ascii="仿宋" w:hAnsi="仿宋" w:eastAsia="仿宋" w:cs="Arial"/>
                <w:b/>
                <w:sz w:val="21"/>
                <w:szCs w:val="21"/>
              </w:rPr>
              <w:t>执行标准</w:t>
            </w:r>
          </w:p>
        </w:tc>
        <w:tc>
          <w:tcPr>
            <w:tcW w:w="636" w:type="pct"/>
            <w:vAlign w:val="center"/>
          </w:tcPr>
          <w:p w14:paraId="5DF9208F">
            <w:pPr>
              <w:jc w:val="center"/>
              <w:rPr>
                <w:rFonts w:ascii="仿宋" w:hAnsi="仿宋" w:eastAsia="仿宋" w:cs="Arial"/>
                <w:b/>
                <w:sz w:val="21"/>
                <w:szCs w:val="21"/>
              </w:rPr>
            </w:pPr>
            <w:r>
              <w:rPr>
                <w:rFonts w:ascii="仿宋" w:hAnsi="仿宋" w:eastAsia="仿宋" w:cs="Arial"/>
                <w:b/>
                <w:sz w:val="21"/>
                <w:szCs w:val="21"/>
              </w:rPr>
              <w:t>备注</w:t>
            </w:r>
          </w:p>
        </w:tc>
      </w:tr>
      <w:tr w14:paraId="425C4C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restart"/>
            <w:vAlign w:val="center"/>
          </w:tcPr>
          <w:p w14:paraId="501F48BC">
            <w:pPr>
              <w:jc w:val="center"/>
              <w:rPr>
                <w:rFonts w:ascii="仿宋" w:hAnsi="仿宋" w:eastAsia="仿宋" w:cs="Arial"/>
                <w:sz w:val="21"/>
                <w:szCs w:val="21"/>
              </w:rPr>
            </w:pPr>
            <w:r>
              <w:rPr>
                <w:rFonts w:ascii="仿宋" w:hAnsi="仿宋" w:eastAsia="仿宋" w:cs="Arial"/>
                <w:sz w:val="21"/>
                <w:szCs w:val="21"/>
              </w:rPr>
              <w:t>空气</w:t>
            </w:r>
          </w:p>
          <w:p w14:paraId="66773AF3">
            <w:pPr>
              <w:jc w:val="center"/>
              <w:rPr>
                <w:rFonts w:ascii="仿宋" w:hAnsi="仿宋" w:eastAsia="仿宋" w:cs="Arial"/>
                <w:sz w:val="21"/>
                <w:szCs w:val="21"/>
              </w:rPr>
            </w:pPr>
            <w:r>
              <w:rPr>
                <w:rFonts w:ascii="仿宋" w:hAnsi="仿宋" w:eastAsia="仿宋" w:cs="Arial"/>
                <w:sz w:val="21"/>
                <w:szCs w:val="21"/>
              </w:rPr>
              <w:t>环境</w:t>
            </w:r>
          </w:p>
        </w:tc>
        <w:tc>
          <w:tcPr>
            <w:tcW w:w="1016" w:type="pct"/>
            <w:vAlign w:val="center"/>
          </w:tcPr>
          <w:p w14:paraId="73909077">
            <w:pPr>
              <w:jc w:val="center"/>
              <w:rPr>
                <w:rFonts w:ascii="仿宋" w:hAnsi="仿宋" w:eastAsia="仿宋" w:cs="Arial"/>
                <w:sz w:val="21"/>
                <w:szCs w:val="21"/>
              </w:rPr>
            </w:pPr>
            <w:bookmarkStart w:id="12" w:name="_Hlk87368036"/>
            <w:r>
              <w:rPr>
                <w:rFonts w:ascii="仿宋" w:hAnsi="仿宋" w:eastAsia="仿宋" w:cs="Arial"/>
                <w:sz w:val="21"/>
                <w:szCs w:val="21"/>
              </w:rPr>
              <w:t>晓木塘安置区</w:t>
            </w:r>
            <w:bookmarkEnd w:id="12"/>
          </w:p>
        </w:tc>
        <w:tc>
          <w:tcPr>
            <w:tcW w:w="1489" w:type="pct"/>
            <w:vMerge w:val="restart"/>
            <w:vAlign w:val="center"/>
          </w:tcPr>
          <w:p w14:paraId="544CC877">
            <w:pPr>
              <w:jc w:val="center"/>
              <w:rPr>
                <w:rFonts w:ascii="仿宋" w:hAnsi="仿宋" w:eastAsia="仿宋" w:cs="Arial"/>
                <w:sz w:val="21"/>
                <w:szCs w:val="21"/>
              </w:rPr>
            </w:pPr>
            <w:bookmarkStart w:id="13" w:name="_Hlk87368061"/>
            <w:r>
              <w:rPr>
                <w:rFonts w:ascii="仿宋" w:hAnsi="仿宋" w:eastAsia="仿宋" w:cs="Arial"/>
                <w:sz w:val="21"/>
                <w:szCs w:val="21"/>
              </w:rPr>
              <w:t>甲苯、二甲苯、硫酸雾、HCl、氨、硫化氢、TVOC</w:t>
            </w:r>
            <w:bookmarkEnd w:id="13"/>
          </w:p>
        </w:tc>
        <w:tc>
          <w:tcPr>
            <w:tcW w:w="716" w:type="pct"/>
            <w:vMerge w:val="restart"/>
            <w:vAlign w:val="center"/>
          </w:tcPr>
          <w:p w14:paraId="51954184">
            <w:pPr>
              <w:jc w:val="center"/>
              <w:rPr>
                <w:rFonts w:ascii="仿宋" w:hAnsi="仿宋" w:eastAsia="仿宋" w:cs="Arial"/>
                <w:sz w:val="21"/>
                <w:szCs w:val="21"/>
              </w:rPr>
            </w:pPr>
            <w:r>
              <w:rPr>
                <w:rFonts w:hint="eastAsia" w:ascii="仿宋" w:hAnsi="仿宋" w:eastAsia="仿宋" w:cs="Arial"/>
                <w:sz w:val="21"/>
                <w:szCs w:val="21"/>
              </w:rPr>
              <w:t>夏、秋各采一次</w:t>
            </w:r>
            <w:r>
              <w:rPr>
                <w:rFonts w:ascii="仿宋" w:hAnsi="仿宋" w:eastAsia="仿宋" w:cs="Arial"/>
                <w:sz w:val="21"/>
                <w:szCs w:val="21"/>
              </w:rPr>
              <w:t>，连续7个监测日</w:t>
            </w:r>
          </w:p>
        </w:tc>
        <w:tc>
          <w:tcPr>
            <w:tcW w:w="795" w:type="pct"/>
            <w:vMerge w:val="restart"/>
            <w:vAlign w:val="center"/>
          </w:tcPr>
          <w:p w14:paraId="0AA10738">
            <w:pPr>
              <w:jc w:val="center"/>
              <w:rPr>
                <w:rFonts w:ascii="仿宋" w:hAnsi="仿宋" w:eastAsia="仿宋" w:cs="Arial"/>
                <w:sz w:val="21"/>
                <w:szCs w:val="21"/>
              </w:rPr>
            </w:pPr>
            <w:r>
              <w:rPr>
                <w:rFonts w:hint="eastAsia" w:ascii="仿宋" w:hAnsi="仿宋" w:eastAsia="仿宋" w:cs="Arial"/>
                <w:sz w:val="21"/>
                <w:szCs w:val="21"/>
              </w:rPr>
              <w:t>环境影响评价技术导则附录D标准</w:t>
            </w:r>
          </w:p>
        </w:tc>
        <w:tc>
          <w:tcPr>
            <w:tcW w:w="636" w:type="pct"/>
            <w:vMerge w:val="restart"/>
            <w:vAlign w:val="center"/>
          </w:tcPr>
          <w:p w14:paraId="44B99A3B">
            <w:pPr>
              <w:jc w:val="center"/>
              <w:rPr>
                <w:rFonts w:ascii="仿宋" w:hAnsi="仿宋" w:eastAsia="仿宋" w:cs="Arial"/>
                <w:sz w:val="21"/>
                <w:szCs w:val="21"/>
              </w:rPr>
            </w:pPr>
          </w:p>
        </w:tc>
      </w:tr>
      <w:tr w14:paraId="71013B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continue"/>
            <w:vAlign w:val="center"/>
          </w:tcPr>
          <w:p w14:paraId="1138E25A">
            <w:pPr>
              <w:jc w:val="center"/>
              <w:rPr>
                <w:rFonts w:ascii="仿宋" w:hAnsi="仿宋" w:eastAsia="仿宋" w:cs="Arial"/>
                <w:sz w:val="21"/>
                <w:szCs w:val="21"/>
              </w:rPr>
            </w:pPr>
          </w:p>
        </w:tc>
        <w:tc>
          <w:tcPr>
            <w:tcW w:w="1016" w:type="pct"/>
            <w:vAlign w:val="center"/>
          </w:tcPr>
          <w:p w14:paraId="028FD727">
            <w:pPr>
              <w:jc w:val="center"/>
              <w:rPr>
                <w:rFonts w:ascii="仿宋" w:hAnsi="仿宋" w:eastAsia="仿宋" w:cs="Arial"/>
                <w:sz w:val="21"/>
                <w:szCs w:val="21"/>
              </w:rPr>
            </w:pPr>
            <w:bookmarkStart w:id="14" w:name="_Hlk87368041"/>
            <w:r>
              <w:rPr>
                <w:rFonts w:ascii="仿宋" w:hAnsi="仿宋" w:eastAsia="仿宋" w:cs="Arial"/>
                <w:sz w:val="21"/>
                <w:szCs w:val="21"/>
              </w:rPr>
              <w:t>芙蓉小区</w:t>
            </w:r>
            <w:bookmarkEnd w:id="14"/>
          </w:p>
        </w:tc>
        <w:tc>
          <w:tcPr>
            <w:tcW w:w="1489" w:type="pct"/>
            <w:vMerge w:val="continue"/>
            <w:vAlign w:val="center"/>
          </w:tcPr>
          <w:p w14:paraId="1657D4C4">
            <w:pPr>
              <w:jc w:val="center"/>
              <w:rPr>
                <w:rFonts w:ascii="仿宋" w:hAnsi="仿宋" w:eastAsia="仿宋" w:cs="Arial"/>
                <w:sz w:val="21"/>
                <w:szCs w:val="21"/>
              </w:rPr>
            </w:pPr>
          </w:p>
        </w:tc>
        <w:tc>
          <w:tcPr>
            <w:tcW w:w="716" w:type="pct"/>
            <w:vMerge w:val="continue"/>
            <w:vAlign w:val="center"/>
          </w:tcPr>
          <w:p w14:paraId="37DBBE9E">
            <w:pPr>
              <w:jc w:val="center"/>
              <w:rPr>
                <w:rFonts w:ascii="仿宋" w:hAnsi="仿宋" w:eastAsia="仿宋" w:cs="Arial"/>
                <w:sz w:val="21"/>
                <w:szCs w:val="21"/>
              </w:rPr>
            </w:pPr>
          </w:p>
        </w:tc>
        <w:tc>
          <w:tcPr>
            <w:tcW w:w="795" w:type="pct"/>
            <w:vMerge w:val="continue"/>
            <w:vAlign w:val="center"/>
          </w:tcPr>
          <w:p w14:paraId="5E090EBF">
            <w:pPr>
              <w:jc w:val="center"/>
              <w:rPr>
                <w:rFonts w:ascii="仿宋" w:hAnsi="仿宋" w:eastAsia="仿宋" w:cs="Arial"/>
                <w:sz w:val="21"/>
                <w:szCs w:val="21"/>
              </w:rPr>
            </w:pPr>
          </w:p>
        </w:tc>
        <w:tc>
          <w:tcPr>
            <w:tcW w:w="636" w:type="pct"/>
            <w:vMerge w:val="continue"/>
            <w:vAlign w:val="center"/>
          </w:tcPr>
          <w:p w14:paraId="63D79BA7">
            <w:pPr>
              <w:jc w:val="center"/>
              <w:rPr>
                <w:rFonts w:ascii="仿宋" w:hAnsi="仿宋" w:eastAsia="仿宋" w:cs="Arial"/>
                <w:sz w:val="21"/>
                <w:szCs w:val="21"/>
              </w:rPr>
            </w:pPr>
          </w:p>
        </w:tc>
      </w:tr>
      <w:tr w14:paraId="576A1F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continue"/>
            <w:vAlign w:val="center"/>
          </w:tcPr>
          <w:p w14:paraId="16CE2A17">
            <w:pPr>
              <w:jc w:val="center"/>
              <w:rPr>
                <w:rFonts w:ascii="仿宋" w:hAnsi="仿宋" w:eastAsia="仿宋" w:cs="Arial"/>
                <w:sz w:val="21"/>
                <w:szCs w:val="21"/>
              </w:rPr>
            </w:pPr>
          </w:p>
        </w:tc>
        <w:tc>
          <w:tcPr>
            <w:tcW w:w="1016" w:type="pct"/>
            <w:vAlign w:val="center"/>
          </w:tcPr>
          <w:p w14:paraId="4C12C474">
            <w:pPr>
              <w:jc w:val="center"/>
              <w:rPr>
                <w:rFonts w:ascii="仿宋" w:hAnsi="仿宋" w:eastAsia="仿宋" w:cs="Arial"/>
                <w:sz w:val="21"/>
                <w:szCs w:val="21"/>
              </w:rPr>
            </w:pPr>
            <w:bookmarkStart w:id="15" w:name="_Hlk87368049"/>
            <w:r>
              <w:rPr>
                <w:rFonts w:ascii="仿宋" w:hAnsi="仿宋" w:eastAsia="仿宋" w:cs="Arial"/>
                <w:sz w:val="21"/>
                <w:szCs w:val="21"/>
              </w:rPr>
              <w:t>湘潭县第九中学</w:t>
            </w:r>
            <w:bookmarkEnd w:id="15"/>
          </w:p>
        </w:tc>
        <w:tc>
          <w:tcPr>
            <w:tcW w:w="1489" w:type="pct"/>
            <w:vMerge w:val="continue"/>
            <w:vAlign w:val="center"/>
          </w:tcPr>
          <w:p w14:paraId="52DAD830">
            <w:pPr>
              <w:jc w:val="center"/>
              <w:rPr>
                <w:rFonts w:ascii="仿宋" w:hAnsi="仿宋" w:eastAsia="仿宋" w:cs="Arial"/>
                <w:sz w:val="21"/>
                <w:szCs w:val="21"/>
              </w:rPr>
            </w:pPr>
          </w:p>
        </w:tc>
        <w:tc>
          <w:tcPr>
            <w:tcW w:w="716" w:type="pct"/>
            <w:vMerge w:val="continue"/>
            <w:vAlign w:val="center"/>
          </w:tcPr>
          <w:p w14:paraId="534BED1E">
            <w:pPr>
              <w:jc w:val="center"/>
              <w:rPr>
                <w:rFonts w:ascii="仿宋" w:hAnsi="仿宋" w:eastAsia="仿宋" w:cs="Arial"/>
                <w:sz w:val="21"/>
                <w:szCs w:val="21"/>
              </w:rPr>
            </w:pPr>
          </w:p>
        </w:tc>
        <w:tc>
          <w:tcPr>
            <w:tcW w:w="795" w:type="pct"/>
            <w:vMerge w:val="continue"/>
            <w:vAlign w:val="center"/>
          </w:tcPr>
          <w:p w14:paraId="281088EF">
            <w:pPr>
              <w:jc w:val="center"/>
              <w:rPr>
                <w:rFonts w:ascii="仿宋" w:hAnsi="仿宋" w:eastAsia="仿宋" w:cs="Arial"/>
                <w:sz w:val="21"/>
                <w:szCs w:val="21"/>
              </w:rPr>
            </w:pPr>
          </w:p>
        </w:tc>
        <w:tc>
          <w:tcPr>
            <w:tcW w:w="636" w:type="pct"/>
            <w:vMerge w:val="continue"/>
            <w:vAlign w:val="center"/>
          </w:tcPr>
          <w:p w14:paraId="79E55723">
            <w:pPr>
              <w:jc w:val="center"/>
              <w:rPr>
                <w:rFonts w:ascii="仿宋" w:hAnsi="仿宋" w:eastAsia="仿宋" w:cs="Arial"/>
                <w:sz w:val="21"/>
                <w:szCs w:val="21"/>
              </w:rPr>
            </w:pPr>
          </w:p>
        </w:tc>
      </w:tr>
      <w:tr w14:paraId="279A5C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restart"/>
            <w:vAlign w:val="center"/>
          </w:tcPr>
          <w:p w14:paraId="07C947BD">
            <w:pPr>
              <w:jc w:val="center"/>
              <w:rPr>
                <w:rFonts w:ascii="仿宋" w:hAnsi="仿宋" w:eastAsia="仿宋" w:cs="Arial"/>
                <w:sz w:val="21"/>
                <w:szCs w:val="21"/>
              </w:rPr>
            </w:pPr>
            <w:r>
              <w:rPr>
                <w:rFonts w:ascii="仿宋" w:hAnsi="仿宋" w:eastAsia="仿宋" w:cs="Arial"/>
                <w:sz w:val="21"/>
                <w:szCs w:val="21"/>
              </w:rPr>
              <w:t>水环境</w:t>
            </w:r>
          </w:p>
        </w:tc>
        <w:tc>
          <w:tcPr>
            <w:tcW w:w="1016" w:type="pct"/>
            <w:vAlign w:val="center"/>
          </w:tcPr>
          <w:p w14:paraId="46A8C836">
            <w:pPr>
              <w:jc w:val="center"/>
              <w:rPr>
                <w:rFonts w:ascii="仿宋" w:hAnsi="仿宋" w:eastAsia="仿宋" w:cs="Arial"/>
                <w:sz w:val="21"/>
                <w:szCs w:val="21"/>
              </w:rPr>
            </w:pPr>
            <w:r>
              <w:rPr>
                <w:rFonts w:ascii="仿宋" w:hAnsi="仿宋" w:eastAsia="仿宋" w:cs="Arial"/>
                <w:sz w:val="21"/>
                <w:szCs w:val="21"/>
              </w:rPr>
              <w:t>湘江：湘潭县第一污水处理厂排污口下游1500m</w:t>
            </w:r>
          </w:p>
        </w:tc>
        <w:tc>
          <w:tcPr>
            <w:tcW w:w="1489" w:type="pct"/>
            <w:vMerge w:val="restart"/>
            <w:vAlign w:val="center"/>
          </w:tcPr>
          <w:p w14:paraId="55DCBF45">
            <w:pPr>
              <w:jc w:val="center"/>
              <w:rPr>
                <w:rFonts w:ascii="仿宋" w:hAnsi="仿宋" w:eastAsia="仿宋" w:cs="Arial"/>
                <w:sz w:val="21"/>
                <w:szCs w:val="21"/>
              </w:rPr>
            </w:pPr>
            <w:bookmarkStart w:id="16" w:name="_Hlk87368012"/>
            <w:r>
              <w:rPr>
                <w:rFonts w:ascii="仿宋" w:hAnsi="仿宋" w:eastAsia="仿宋" w:cs="Arial"/>
                <w:sz w:val="21"/>
                <w:szCs w:val="21"/>
              </w:rPr>
              <w:t>pH、COD、BOD</w:t>
            </w:r>
            <w:r>
              <w:rPr>
                <w:rFonts w:ascii="仿宋" w:hAnsi="仿宋" w:eastAsia="仿宋" w:cs="Arial"/>
                <w:sz w:val="21"/>
                <w:szCs w:val="21"/>
                <w:vertAlign w:val="subscript"/>
              </w:rPr>
              <w:t>5</w:t>
            </w:r>
            <w:r>
              <w:rPr>
                <w:rFonts w:ascii="仿宋" w:hAnsi="仿宋" w:eastAsia="仿宋" w:cs="Arial"/>
                <w:sz w:val="21"/>
                <w:szCs w:val="21"/>
              </w:rPr>
              <w:t>、SS、氨氮、总氮、总磷、氯化物、硫化物、挥发酚、石油类、氟化物、粪大肠菌群、铜、锌、汞、铅、六价铬、总铬、镉、砷、铊</w:t>
            </w:r>
            <w:bookmarkEnd w:id="16"/>
          </w:p>
        </w:tc>
        <w:tc>
          <w:tcPr>
            <w:tcW w:w="716" w:type="pct"/>
            <w:vMerge w:val="restart"/>
            <w:vAlign w:val="center"/>
          </w:tcPr>
          <w:p w14:paraId="25F9A4E8">
            <w:pPr>
              <w:jc w:val="center"/>
              <w:rPr>
                <w:rFonts w:ascii="仿宋" w:hAnsi="仿宋" w:eastAsia="仿宋" w:cs="Arial"/>
                <w:sz w:val="21"/>
                <w:szCs w:val="21"/>
              </w:rPr>
            </w:pPr>
            <w:r>
              <w:rPr>
                <w:rFonts w:hint="eastAsia" w:ascii="仿宋" w:hAnsi="仿宋" w:eastAsia="仿宋" w:cs="Arial"/>
                <w:sz w:val="21"/>
                <w:szCs w:val="21"/>
              </w:rPr>
              <w:t>丰、平、枯各采样一次</w:t>
            </w:r>
            <w:r>
              <w:rPr>
                <w:rFonts w:ascii="仿宋" w:hAnsi="仿宋" w:eastAsia="仿宋" w:cs="Arial"/>
                <w:sz w:val="21"/>
                <w:szCs w:val="21"/>
              </w:rPr>
              <w:t>，连续3个监测日</w:t>
            </w:r>
          </w:p>
        </w:tc>
        <w:tc>
          <w:tcPr>
            <w:tcW w:w="795" w:type="pct"/>
            <w:vMerge w:val="restart"/>
            <w:vAlign w:val="center"/>
          </w:tcPr>
          <w:p w14:paraId="380F1D5B">
            <w:pPr>
              <w:jc w:val="center"/>
              <w:rPr>
                <w:rFonts w:ascii="仿宋" w:hAnsi="仿宋" w:eastAsia="仿宋" w:cs="Arial"/>
                <w:sz w:val="21"/>
                <w:szCs w:val="21"/>
              </w:rPr>
            </w:pPr>
            <w:r>
              <w:rPr>
                <w:rFonts w:ascii="仿宋" w:hAnsi="仿宋" w:eastAsia="仿宋" w:cs="Arial"/>
                <w:sz w:val="21"/>
                <w:szCs w:val="21"/>
              </w:rPr>
              <w:t>GB3838-2002</w:t>
            </w:r>
            <w:r>
              <w:rPr>
                <w:rFonts w:hint="eastAsia" w:ascii="仿宋" w:hAnsi="仿宋" w:eastAsia="仿宋" w:cs="Arial"/>
                <w:sz w:val="21"/>
                <w:szCs w:val="21"/>
              </w:rPr>
              <w:t>Ⅲ</w:t>
            </w:r>
            <w:r>
              <w:rPr>
                <w:rFonts w:ascii="仿宋" w:hAnsi="仿宋" w:eastAsia="仿宋" w:cs="Arial"/>
                <w:sz w:val="21"/>
                <w:szCs w:val="21"/>
              </w:rPr>
              <w:t>类</w:t>
            </w:r>
          </w:p>
        </w:tc>
        <w:tc>
          <w:tcPr>
            <w:tcW w:w="636" w:type="pct"/>
            <w:vMerge w:val="restart"/>
            <w:vAlign w:val="center"/>
          </w:tcPr>
          <w:p w14:paraId="67C161D3">
            <w:pPr>
              <w:jc w:val="center"/>
              <w:rPr>
                <w:rFonts w:ascii="仿宋" w:hAnsi="仿宋" w:eastAsia="仿宋" w:cs="Arial"/>
                <w:sz w:val="21"/>
                <w:szCs w:val="21"/>
              </w:rPr>
            </w:pPr>
            <w:r>
              <w:rPr>
                <w:rFonts w:ascii="仿宋" w:hAnsi="仿宋" w:eastAsia="仿宋" w:cs="Arial"/>
                <w:sz w:val="21"/>
                <w:szCs w:val="21"/>
              </w:rPr>
              <w:t>注：同时监测色度、水温、流量、流速等。根据实际情况可另设。</w:t>
            </w:r>
          </w:p>
        </w:tc>
      </w:tr>
      <w:tr w14:paraId="40B0C8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continue"/>
            <w:vAlign w:val="center"/>
          </w:tcPr>
          <w:p w14:paraId="73612461">
            <w:pPr>
              <w:jc w:val="center"/>
              <w:rPr>
                <w:rFonts w:ascii="仿宋" w:hAnsi="仿宋" w:eastAsia="仿宋" w:cs="Arial"/>
                <w:sz w:val="21"/>
                <w:szCs w:val="21"/>
              </w:rPr>
            </w:pPr>
          </w:p>
        </w:tc>
        <w:tc>
          <w:tcPr>
            <w:tcW w:w="1016" w:type="pct"/>
            <w:vAlign w:val="center"/>
          </w:tcPr>
          <w:p w14:paraId="6FB7BFEA">
            <w:pPr>
              <w:jc w:val="center"/>
              <w:rPr>
                <w:rFonts w:ascii="仿宋" w:hAnsi="仿宋" w:eastAsia="仿宋" w:cs="Arial"/>
                <w:sz w:val="21"/>
                <w:szCs w:val="21"/>
              </w:rPr>
            </w:pPr>
            <w:r>
              <w:rPr>
                <w:rFonts w:ascii="仿宋" w:hAnsi="仿宋" w:eastAsia="仿宋" w:cs="Arial"/>
                <w:sz w:val="21"/>
                <w:szCs w:val="21"/>
              </w:rPr>
              <w:t>涓水：湘潭县第二污水处理厂排污口上游500m</w:t>
            </w:r>
          </w:p>
        </w:tc>
        <w:tc>
          <w:tcPr>
            <w:tcW w:w="1489" w:type="pct"/>
            <w:vMerge w:val="continue"/>
            <w:vAlign w:val="center"/>
          </w:tcPr>
          <w:p w14:paraId="3668A941">
            <w:pPr>
              <w:jc w:val="center"/>
              <w:rPr>
                <w:rFonts w:ascii="仿宋" w:hAnsi="仿宋" w:eastAsia="仿宋" w:cs="Arial"/>
                <w:sz w:val="21"/>
                <w:szCs w:val="21"/>
              </w:rPr>
            </w:pPr>
          </w:p>
        </w:tc>
        <w:tc>
          <w:tcPr>
            <w:tcW w:w="716" w:type="pct"/>
            <w:vMerge w:val="continue"/>
            <w:vAlign w:val="center"/>
          </w:tcPr>
          <w:p w14:paraId="3396AB92">
            <w:pPr>
              <w:jc w:val="center"/>
              <w:rPr>
                <w:rFonts w:ascii="仿宋" w:hAnsi="仿宋" w:eastAsia="仿宋" w:cs="Arial"/>
                <w:sz w:val="21"/>
                <w:szCs w:val="21"/>
              </w:rPr>
            </w:pPr>
          </w:p>
        </w:tc>
        <w:tc>
          <w:tcPr>
            <w:tcW w:w="795" w:type="pct"/>
            <w:vMerge w:val="continue"/>
            <w:vAlign w:val="center"/>
          </w:tcPr>
          <w:p w14:paraId="33A8B28F">
            <w:pPr>
              <w:jc w:val="center"/>
              <w:rPr>
                <w:rFonts w:ascii="仿宋" w:hAnsi="仿宋" w:eastAsia="仿宋" w:cs="Arial"/>
                <w:sz w:val="21"/>
                <w:szCs w:val="21"/>
              </w:rPr>
            </w:pPr>
          </w:p>
        </w:tc>
        <w:tc>
          <w:tcPr>
            <w:tcW w:w="636" w:type="pct"/>
            <w:vMerge w:val="continue"/>
            <w:vAlign w:val="center"/>
          </w:tcPr>
          <w:p w14:paraId="33D0938B">
            <w:pPr>
              <w:jc w:val="center"/>
              <w:rPr>
                <w:rFonts w:ascii="仿宋" w:hAnsi="仿宋" w:eastAsia="仿宋" w:cs="Arial"/>
                <w:sz w:val="21"/>
                <w:szCs w:val="21"/>
              </w:rPr>
            </w:pPr>
          </w:p>
        </w:tc>
      </w:tr>
      <w:tr w14:paraId="16AC5F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restart"/>
            <w:vAlign w:val="center"/>
          </w:tcPr>
          <w:p w14:paraId="55DDDF64">
            <w:pPr>
              <w:jc w:val="center"/>
              <w:rPr>
                <w:rFonts w:ascii="仿宋" w:hAnsi="仿宋" w:eastAsia="仿宋" w:cs="Arial"/>
                <w:sz w:val="21"/>
                <w:szCs w:val="21"/>
              </w:rPr>
            </w:pPr>
            <w:r>
              <w:rPr>
                <w:rFonts w:ascii="仿宋" w:hAnsi="仿宋" w:eastAsia="仿宋" w:cs="Arial"/>
                <w:sz w:val="21"/>
                <w:szCs w:val="21"/>
              </w:rPr>
              <w:t>地下水</w:t>
            </w:r>
          </w:p>
        </w:tc>
        <w:tc>
          <w:tcPr>
            <w:tcW w:w="1016" w:type="pct"/>
            <w:vAlign w:val="center"/>
          </w:tcPr>
          <w:p w14:paraId="153B2D6D">
            <w:pPr>
              <w:jc w:val="center"/>
              <w:rPr>
                <w:rFonts w:ascii="仿宋" w:hAnsi="仿宋" w:eastAsia="仿宋" w:cs="Arial"/>
                <w:sz w:val="21"/>
                <w:szCs w:val="21"/>
              </w:rPr>
            </w:pPr>
            <w:bookmarkStart w:id="17" w:name="_Hlk87367974"/>
            <w:r>
              <w:rPr>
                <w:rFonts w:ascii="仿宋" w:hAnsi="仿宋" w:eastAsia="仿宋" w:cs="Arial"/>
                <w:sz w:val="21"/>
                <w:szCs w:val="21"/>
              </w:rPr>
              <w:t>青光村居委会周边</w:t>
            </w:r>
            <w:bookmarkEnd w:id="17"/>
          </w:p>
        </w:tc>
        <w:tc>
          <w:tcPr>
            <w:tcW w:w="1489" w:type="pct"/>
            <w:vMerge w:val="restart"/>
            <w:vAlign w:val="center"/>
          </w:tcPr>
          <w:p w14:paraId="32DA6A55">
            <w:pPr>
              <w:jc w:val="center"/>
              <w:rPr>
                <w:rFonts w:ascii="仿宋" w:hAnsi="仿宋" w:eastAsia="仿宋" w:cs="Arial"/>
                <w:sz w:val="21"/>
                <w:szCs w:val="21"/>
              </w:rPr>
            </w:pPr>
            <w:bookmarkStart w:id="18" w:name="_Hlk87367992"/>
            <w:r>
              <w:rPr>
                <w:rFonts w:ascii="仿宋" w:hAnsi="仿宋" w:eastAsia="仿宋" w:cs="Arial"/>
                <w:sz w:val="21"/>
                <w:szCs w:val="21"/>
              </w:rPr>
              <w:t>pH、总硬度、溶解性总固体、耗氧量、硫酸盐、氯化物、氰化物、挥发性酚类、氨氮、硝酸盐、亚硝酸盐、氟化物、铁、锰、铜、锌、镉、铅、汞、总铬、六价铬、镍、砷、锑、总大肠菌群</w:t>
            </w:r>
            <w:bookmarkEnd w:id="18"/>
          </w:p>
        </w:tc>
        <w:tc>
          <w:tcPr>
            <w:tcW w:w="716" w:type="pct"/>
            <w:vMerge w:val="restart"/>
            <w:vAlign w:val="center"/>
          </w:tcPr>
          <w:p w14:paraId="4091BD21">
            <w:pPr>
              <w:jc w:val="center"/>
              <w:rPr>
                <w:rFonts w:ascii="仿宋" w:hAnsi="仿宋" w:eastAsia="仿宋" w:cs="Arial"/>
                <w:sz w:val="21"/>
                <w:szCs w:val="21"/>
              </w:rPr>
            </w:pPr>
            <w:r>
              <w:rPr>
                <w:rFonts w:hint="eastAsia" w:ascii="仿宋" w:hAnsi="仿宋" w:eastAsia="仿宋" w:cs="Arial"/>
                <w:sz w:val="21"/>
                <w:szCs w:val="21"/>
              </w:rPr>
              <w:t>丰、平、枯各采样一次</w:t>
            </w:r>
            <w:r>
              <w:rPr>
                <w:rFonts w:ascii="仿宋" w:hAnsi="仿宋" w:eastAsia="仿宋" w:cs="Arial"/>
                <w:sz w:val="21"/>
                <w:szCs w:val="21"/>
              </w:rPr>
              <w:t>，1个监测日</w:t>
            </w:r>
          </w:p>
        </w:tc>
        <w:tc>
          <w:tcPr>
            <w:tcW w:w="795" w:type="pct"/>
            <w:vMerge w:val="restart"/>
            <w:vAlign w:val="center"/>
          </w:tcPr>
          <w:p w14:paraId="4212D577">
            <w:pPr>
              <w:jc w:val="center"/>
              <w:rPr>
                <w:rFonts w:ascii="仿宋" w:hAnsi="仿宋" w:eastAsia="仿宋" w:cs="Arial"/>
                <w:sz w:val="21"/>
                <w:szCs w:val="21"/>
              </w:rPr>
            </w:pPr>
            <w:r>
              <w:rPr>
                <w:rFonts w:ascii="仿宋" w:hAnsi="仿宋" w:eastAsia="仿宋" w:cs="Arial"/>
                <w:sz w:val="21"/>
                <w:szCs w:val="21"/>
              </w:rPr>
              <w:t>《地下水环境质量标准》（GB/T14848-2017）</w:t>
            </w:r>
            <w:r>
              <w:rPr>
                <w:rFonts w:hint="eastAsia" w:ascii="仿宋" w:hAnsi="仿宋" w:eastAsia="仿宋" w:cs="Arial"/>
                <w:sz w:val="21"/>
                <w:szCs w:val="21"/>
              </w:rPr>
              <w:t>Ⅲ</w:t>
            </w:r>
            <w:r>
              <w:rPr>
                <w:rFonts w:ascii="仿宋" w:hAnsi="仿宋" w:eastAsia="仿宋" w:cs="Arial"/>
                <w:sz w:val="21"/>
                <w:szCs w:val="21"/>
              </w:rPr>
              <w:t>类标准</w:t>
            </w:r>
          </w:p>
        </w:tc>
        <w:tc>
          <w:tcPr>
            <w:tcW w:w="636" w:type="pct"/>
            <w:vMerge w:val="restart"/>
            <w:vAlign w:val="center"/>
          </w:tcPr>
          <w:p w14:paraId="2648A708">
            <w:pPr>
              <w:jc w:val="center"/>
              <w:rPr>
                <w:rFonts w:ascii="仿宋" w:hAnsi="仿宋" w:eastAsia="仿宋" w:cs="Arial"/>
                <w:sz w:val="21"/>
                <w:szCs w:val="21"/>
              </w:rPr>
            </w:pPr>
          </w:p>
        </w:tc>
      </w:tr>
      <w:tr w14:paraId="3E5B9B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continue"/>
            <w:vAlign w:val="center"/>
          </w:tcPr>
          <w:p w14:paraId="4F03A701">
            <w:pPr>
              <w:jc w:val="center"/>
              <w:rPr>
                <w:rFonts w:ascii="仿宋" w:hAnsi="仿宋" w:eastAsia="仿宋" w:cs="Arial"/>
                <w:sz w:val="21"/>
                <w:szCs w:val="21"/>
              </w:rPr>
            </w:pPr>
          </w:p>
        </w:tc>
        <w:tc>
          <w:tcPr>
            <w:tcW w:w="1016" w:type="pct"/>
            <w:vAlign w:val="center"/>
          </w:tcPr>
          <w:p w14:paraId="14C0CDA7">
            <w:pPr>
              <w:jc w:val="center"/>
              <w:rPr>
                <w:rFonts w:ascii="仿宋" w:hAnsi="仿宋" w:eastAsia="仿宋" w:cs="Arial"/>
                <w:sz w:val="21"/>
                <w:szCs w:val="21"/>
              </w:rPr>
            </w:pPr>
            <w:bookmarkStart w:id="19" w:name="_Hlk87367979"/>
            <w:r>
              <w:rPr>
                <w:rFonts w:ascii="仿宋" w:hAnsi="仿宋" w:eastAsia="仿宋" w:cs="Arial"/>
                <w:sz w:val="21"/>
                <w:szCs w:val="21"/>
              </w:rPr>
              <w:t>赋江村</w:t>
            </w:r>
            <w:bookmarkEnd w:id="19"/>
          </w:p>
        </w:tc>
        <w:tc>
          <w:tcPr>
            <w:tcW w:w="1489" w:type="pct"/>
            <w:vMerge w:val="continue"/>
            <w:vAlign w:val="center"/>
          </w:tcPr>
          <w:p w14:paraId="52C25EF3">
            <w:pPr>
              <w:jc w:val="center"/>
              <w:rPr>
                <w:rFonts w:ascii="仿宋" w:hAnsi="仿宋" w:eastAsia="仿宋" w:cs="Arial"/>
                <w:sz w:val="21"/>
                <w:szCs w:val="21"/>
              </w:rPr>
            </w:pPr>
          </w:p>
        </w:tc>
        <w:tc>
          <w:tcPr>
            <w:tcW w:w="716" w:type="pct"/>
            <w:vMerge w:val="continue"/>
            <w:vAlign w:val="center"/>
          </w:tcPr>
          <w:p w14:paraId="7B1C2425">
            <w:pPr>
              <w:jc w:val="center"/>
              <w:rPr>
                <w:rFonts w:ascii="仿宋" w:hAnsi="仿宋" w:eastAsia="仿宋" w:cs="Arial"/>
                <w:sz w:val="21"/>
                <w:szCs w:val="21"/>
              </w:rPr>
            </w:pPr>
          </w:p>
        </w:tc>
        <w:tc>
          <w:tcPr>
            <w:tcW w:w="795" w:type="pct"/>
            <w:vMerge w:val="continue"/>
            <w:vAlign w:val="center"/>
          </w:tcPr>
          <w:p w14:paraId="336D018D">
            <w:pPr>
              <w:jc w:val="center"/>
              <w:rPr>
                <w:rFonts w:ascii="仿宋" w:hAnsi="仿宋" w:eastAsia="仿宋" w:cs="Arial"/>
                <w:sz w:val="21"/>
                <w:szCs w:val="21"/>
              </w:rPr>
            </w:pPr>
          </w:p>
        </w:tc>
        <w:tc>
          <w:tcPr>
            <w:tcW w:w="636" w:type="pct"/>
            <w:vMerge w:val="continue"/>
            <w:vAlign w:val="center"/>
          </w:tcPr>
          <w:p w14:paraId="508137C1">
            <w:pPr>
              <w:jc w:val="center"/>
              <w:rPr>
                <w:rFonts w:ascii="仿宋" w:hAnsi="仿宋" w:eastAsia="仿宋" w:cs="Arial"/>
                <w:sz w:val="21"/>
                <w:szCs w:val="21"/>
              </w:rPr>
            </w:pPr>
          </w:p>
        </w:tc>
      </w:tr>
      <w:tr w14:paraId="1AF107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continue"/>
            <w:vAlign w:val="center"/>
          </w:tcPr>
          <w:p w14:paraId="79E11344">
            <w:pPr>
              <w:jc w:val="center"/>
              <w:rPr>
                <w:rFonts w:ascii="仿宋" w:hAnsi="仿宋" w:eastAsia="仿宋" w:cs="Arial"/>
                <w:sz w:val="21"/>
                <w:szCs w:val="21"/>
              </w:rPr>
            </w:pPr>
          </w:p>
        </w:tc>
        <w:tc>
          <w:tcPr>
            <w:tcW w:w="1016" w:type="pct"/>
            <w:vAlign w:val="center"/>
          </w:tcPr>
          <w:p w14:paraId="235CC49F">
            <w:pPr>
              <w:jc w:val="center"/>
              <w:rPr>
                <w:rFonts w:ascii="仿宋" w:hAnsi="仿宋" w:eastAsia="仿宋" w:cs="Arial"/>
                <w:sz w:val="21"/>
                <w:szCs w:val="21"/>
              </w:rPr>
            </w:pPr>
            <w:bookmarkStart w:id="20" w:name="_Hlk87367985"/>
            <w:r>
              <w:rPr>
                <w:rFonts w:ascii="仿宋" w:hAnsi="仿宋" w:eastAsia="仿宋" w:cs="Arial"/>
                <w:sz w:val="21"/>
                <w:szCs w:val="21"/>
              </w:rPr>
              <w:t>水竹湾村</w:t>
            </w:r>
            <w:bookmarkEnd w:id="20"/>
          </w:p>
        </w:tc>
        <w:tc>
          <w:tcPr>
            <w:tcW w:w="1489" w:type="pct"/>
            <w:vMerge w:val="continue"/>
            <w:vAlign w:val="center"/>
          </w:tcPr>
          <w:p w14:paraId="7CB8F86B">
            <w:pPr>
              <w:jc w:val="center"/>
              <w:rPr>
                <w:rFonts w:ascii="仿宋" w:hAnsi="仿宋" w:eastAsia="仿宋" w:cs="Arial"/>
                <w:sz w:val="21"/>
                <w:szCs w:val="21"/>
              </w:rPr>
            </w:pPr>
          </w:p>
        </w:tc>
        <w:tc>
          <w:tcPr>
            <w:tcW w:w="716" w:type="pct"/>
            <w:vMerge w:val="continue"/>
            <w:vAlign w:val="center"/>
          </w:tcPr>
          <w:p w14:paraId="39C45A6F">
            <w:pPr>
              <w:jc w:val="center"/>
              <w:rPr>
                <w:rFonts w:ascii="仿宋" w:hAnsi="仿宋" w:eastAsia="仿宋" w:cs="Arial"/>
                <w:sz w:val="21"/>
                <w:szCs w:val="21"/>
              </w:rPr>
            </w:pPr>
          </w:p>
        </w:tc>
        <w:tc>
          <w:tcPr>
            <w:tcW w:w="795" w:type="pct"/>
            <w:vMerge w:val="continue"/>
            <w:vAlign w:val="center"/>
          </w:tcPr>
          <w:p w14:paraId="46959F62">
            <w:pPr>
              <w:jc w:val="center"/>
              <w:rPr>
                <w:rFonts w:ascii="仿宋" w:hAnsi="仿宋" w:eastAsia="仿宋" w:cs="Arial"/>
                <w:sz w:val="21"/>
                <w:szCs w:val="21"/>
              </w:rPr>
            </w:pPr>
          </w:p>
        </w:tc>
        <w:tc>
          <w:tcPr>
            <w:tcW w:w="636" w:type="pct"/>
            <w:vMerge w:val="continue"/>
            <w:vAlign w:val="center"/>
          </w:tcPr>
          <w:p w14:paraId="649BC066">
            <w:pPr>
              <w:jc w:val="center"/>
              <w:rPr>
                <w:rFonts w:ascii="仿宋" w:hAnsi="仿宋" w:eastAsia="仿宋" w:cs="Arial"/>
                <w:sz w:val="21"/>
                <w:szCs w:val="21"/>
              </w:rPr>
            </w:pPr>
          </w:p>
        </w:tc>
      </w:tr>
      <w:tr w14:paraId="48C4C0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Align w:val="center"/>
          </w:tcPr>
          <w:p w14:paraId="7FE19C55">
            <w:pPr>
              <w:jc w:val="center"/>
              <w:rPr>
                <w:rFonts w:ascii="仿宋" w:hAnsi="仿宋" w:eastAsia="仿宋" w:cs="Arial"/>
                <w:sz w:val="21"/>
                <w:szCs w:val="21"/>
              </w:rPr>
            </w:pPr>
            <w:r>
              <w:rPr>
                <w:rFonts w:ascii="仿宋" w:hAnsi="仿宋" w:eastAsia="仿宋" w:cs="Arial"/>
                <w:sz w:val="21"/>
                <w:szCs w:val="21"/>
              </w:rPr>
              <w:t>噪声</w:t>
            </w:r>
          </w:p>
        </w:tc>
        <w:tc>
          <w:tcPr>
            <w:tcW w:w="1016" w:type="pct"/>
            <w:vAlign w:val="center"/>
          </w:tcPr>
          <w:p w14:paraId="794272A4">
            <w:pPr>
              <w:jc w:val="center"/>
              <w:rPr>
                <w:rFonts w:ascii="仿宋" w:hAnsi="仿宋" w:eastAsia="仿宋" w:cs="Arial"/>
                <w:sz w:val="21"/>
                <w:szCs w:val="21"/>
              </w:rPr>
            </w:pPr>
            <w:r>
              <w:rPr>
                <w:rFonts w:ascii="仿宋" w:hAnsi="仿宋" w:eastAsia="仿宋" w:cs="Arial"/>
                <w:sz w:val="21"/>
                <w:szCs w:val="21"/>
              </w:rPr>
              <w:t>居住区、学校等敏感点</w:t>
            </w:r>
          </w:p>
        </w:tc>
        <w:tc>
          <w:tcPr>
            <w:tcW w:w="1489" w:type="pct"/>
            <w:vAlign w:val="center"/>
          </w:tcPr>
          <w:p w14:paraId="0A941E09">
            <w:pPr>
              <w:jc w:val="center"/>
              <w:rPr>
                <w:rFonts w:ascii="仿宋" w:hAnsi="仿宋" w:eastAsia="仿宋" w:cs="Arial"/>
                <w:sz w:val="21"/>
                <w:szCs w:val="21"/>
              </w:rPr>
            </w:pPr>
            <w:r>
              <w:rPr>
                <w:rFonts w:ascii="仿宋" w:hAnsi="仿宋" w:eastAsia="仿宋" w:cs="Arial"/>
                <w:sz w:val="21"/>
                <w:szCs w:val="21"/>
              </w:rPr>
              <w:t>等效连续A声级</w:t>
            </w:r>
          </w:p>
        </w:tc>
        <w:tc>
          <w:tcPr>
            <w:tcW w:w="716" w:type="pct"/>
            <w:vAlign w:val="center"/>
          </w:tcPr>
          <w:p w14:paraId="2DD354E7">
            <w:pPr>
              <w:jc w:val="center"/>
              <w:rPr>
                <w:rFonts w:ascii="仿宋" w:hAnsi="仿宋" w:eastAsia="仿宋" w:cs="Arial"/>
                <w:sz w:val="21"/>
                <w:szCs w:val="21"/>
              </w:rPr>
            </w:pPr>
            <w:r>
              <w:rPr>
                <w:rFonts w:ascii="仿宋" w:hAnsi="仿宋" w:eastAsia="仿宋" w:cs="Arial"/>
                <w:sz w:val="21"/>
                <w:szCs w:val="21"/>
              </w:rPr>
              <w:t>每半年1次，每次2天（昼、夜）</w:t>
            </w:r>
          </w:p>
        </w:tc>
        <w:tc>
          <w:tcPr>
            <w:tcW w:w="795" w:type="pct"/>
            <w:vAlign w:val="center"/>
          </w:tcPr>
          <w:p w14:paraId="236252EF">
            <w:pPr>
              <w:jc w:val="center"/>
              <w:rPr>
                <w:rFonts w:ascii="仿宋" w:hAnsi="仿宋" w:eastAsia="仿宋" w:cs="Arial"/>
                <w:sz w:val="21"/>
                <w:szCs w:val="21"/>
              </w:rPr>
            </w:pPr>
            <w:r>
              <w:rPr>
                <w:rFonts w:ascii="仿宋" w:hAnsi="仿宋" w:eastAsia="仿宋" w:cs="Arial"/>
                <w:sz w:val="21"/>
                <w:szCs w:val="21"/>
              </w:rPr>
              <w:t>GB3096-2008中</w:t>
            </w:r>
            <w:r>
              <w:rPr>
                <w:rFonts w:hint="eastAsia" w:ascii="仿宋" w:hAnsi="仿宋" w:eastAsia="仿宋" w:cs="Arial"/>
                <w:sz w:val="21"/>
                <w:szCs w:val="21"/>
              </w:rPr>
              <w:t>2类标准</w:t>
            </w:r>
          </w:p>
        </w:tc>
        <w:tc>
          <w:tcPr>
            <w:tcW w:w="636" w:type="pct"/>
            <w:vAlign w:val="center"/>
          </w:tcPr>
          <w:p w14:paraId="4CAE5888">
            <w:pPr>
              <w:jc w:val="center"/>
              <w:rPr>
                <w:rFonts w:ascii="仿宋" w:hAnsi="仿宋" w:eastAsia="仿宋" w:cs="Arial"/>
                <w:sz w:val="21"/>
                <w:szCs w:val="21"/>
              </w:rPr>
            </w:pPr>
          </w:p>
        </w:tc>
      </w:tr>
      <w:tr w14:paraId="6B3B0D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restart"/>
            <w:vAlign w:val="center"/>
          </w:tcPr>
          <w:p w14:paraId="2F8779BA">
            <w:pPr>
              <w:jc w:val="center"/>
              <w:rPr>
                <w:rFonts w:ascii="仿宋" w:hAnsi="仿宋" w:eastAsia="仿宋" w:cs="Arial"/>
                <w:sz w:val="21"/>
                <w:szCs w:val="21"/>
              </w:rPr>
            </w:pPr>
            <w:bookmarkStart w:id="21" w:name="_Hlk87368088"/>
            <w:r>
              <w:rPr>
                <w:rFonts w:ascii="仿宋" w:hAnsi="仿宋" w:eastAsia="仿宋" w:cs="Arial"/>
                <w:sz w:val="21"/>
                <w:szCs w:val="21"/>
              </w:rPr>
              <w:t>土壤</w:t>
            </w:r>
          </w:p>
        </w:tc>
        <w:tc>
          <w:tcPr>
            <w:tcW w:w="1016" w:type="pct"/>
            <w:vAlign w:val="center"/>
          </w:tcPr>
          <w:p w14:paraId="410AC6F9">
            <w:pPr>
              <w:jc w:val="center"/>
              <w:rPr>
                <w:rFonts w:ascii="仿宋" w:hAnsi="仿宋" w:eastAsia="仿宋" w:cs="Arial"/>
                <w:sz w:val="21"/>
                <w:szCs w:val="21"/>
              </w:rPr>
            </w:pPr>
            <w:r>
              <w:rPr>
                <w:rFonts w:ascii="仿宋" w:hAnsi="仿宋" w:eastAsia="仿宋" w:cs="Arial"/>
                <w:sz w:val="21"/>
                <w:szCs w:val="21"/>
              </w:rPr>
              <w:t>赋江村（旱地）</w:t>
            </w:r>
          </w:p>
        </w:tc>
        <w:tc>
          <w:tcPr>
            <w:tcW w:w="1489" w:type="pct"/>
            <w:vMerge w:val="restart"/>
            <w:vAlign w:val="center"/>
          </w:tcPr>
          <w:p w14:paraId="2E435AD7">
            <w:pPr>
              <w:jc w:val="center"/>
              <w:rPr>
                <w:rFonts w:ascii="仿宋" w:hAnsi="仿宋" w:eastAsia="仿宋" w:cs="Arial"/>
                <w:sz w:val="21"/>
                <w:szCs w:val="21"/>
              </w:rPr>
            </w:pPr>
            <w:r>
              <w:rPr>
                <w:rFonts w:ascii="仿宋" w:hAnsi="仿宋" w:eastAsia="仿宋" w:cs="Arial"/>
                <w:sz w:val="21"/>
                <w:szCs w:val="21"/>
              </w:rPr>
              <w:t>pH、镉、汞、砷、铅、铬、铜、镍、锌</w:t>
            </w:r>
          </w:p>
        </w:tc>
        <w:tc>
          <w:tcPr>
            <w:tcW w:w="716" w:type="pct"/>
            <w:vMerge w:val="restart"/>
            <w:vAlign w:val="center"/>
          </w:tcPr>
          <w:p w14:paraId="5C72F592">
            <w:pPr>
              <w:jc w:val="center"/>
              <w:rPr>
                <w:rFonts w:ascii="仿宋" w:hAnsi="仿宋" w:eastAsia="仿宋" w:cs="Arial"/>
                <w:sz w:val="21"/>
                <w:szCs w:val="21"/>
              </w:rPr>
            </w:pPr>
            <w:r>
              <w:rPr>
                <w:rFonts w:ascii="仿宋" w:hAnsi="仿宋" w:eastAsia="仿宋" w:cs="Arial"/>
                <w:sz w:val="21"/>
                <w:szCs w:val="21"/>
              </w:rPr>
              <w:t>一年一次</w:t>
            </w:r>
          </w:p>
        </w:tc>
        <w:tc>
          <w:tcPr>
            <w:tcW w:w="795" w:type="pct"/>
            <w:vMerge w:val="restart"/>
            <w:vAlign w:val="center"/>
          </w:tcPr>
          <w:p w14:paraId="575C3A7B">
            <w:pPr>
              <w:jc w:val="center"/>
              <w:rPr>
                <w:rFonts w:ascii="仿宋" w:hAnsi="仿宋" w:eastAsia="仿宋" w:cs="Arial"/>
                <w:sz w:val="21"/>
                <w:szCs w:val="21"/>
              </w:rPr>
            </w:pPr>
            <w:r>
              <w:rPr>
                <w:rFonts w:ascii="仿宋" w:hAnsi="仿宋" w:eastAsia="仿宋" w:cs="Arial"/>
                <w:sz w:val="21"/>
                <w:szCs w:val="21"/>
              </w:rPr>
              <w:t>GB15618-2018</w:t>
            </w:r>
          </w:p>
        </w:tc>
        <w:tc>
          <w:tcPr>
            <w:tcW w:w="636" w:type="pct"/>
            <w:vMerge w:val="restart"/>
            <w:vAlign w:val="center"/>
          </w:tcPr>
          <w:p w14:paraId="638634CF">
            <w:pPr>
              <w:jc w:val="center"/>
              <w:rPr>
                <w:rFonts w:ascii="仿宋" w:hAnsi="仿宋" w:eastAsia="仿宋" w:cs="Arial"/>
                <w:sz w:val="21"/>
                <w:szCs w:val="21"/>
              </w:rPr>
            </w:pPr>
          </w:p>
        </w:tc>
      </w:tr>
      <w:tr w14:paraId="627B89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continue"/>
            <w:vAlign w:val="center"/>
          </w:tcPr>
          <w:p w14:paraId="76BFCB1C">
            <w:pPr>
              <w:jc w:val="center"/>
              <w:rPr>
                <w:rFonts w:ascii="仿宋" w:hAnsi="仿宋" w:eastAsia="仿宋" w:cs="Arial"/>
                <w:sz w:val="21"/>
                <w:szCs w:val="21"/>
              </w:rPr>
            </w:pPr>
          </w:p>
        </w:tc>
        <w:tc>
          <w:tcPr>
            <w:tcW w:w="1016" w:type="pct"/>
            <w:vAlign w:val="center"/>
          </w:tcPr>
          <w:p w14:paraId="4C0B6752">
            <w:pPr>
              <w:jc w:val="center"/>
              <w:rPr>
                <w:rFonts w:ascii="仿宋" w:hAnsi="仿宋" w:eastAsia="仿宋" w:cs="Arial"/>
                <w:sz w:val="21"/>
                <w:szCs w:val="21"/>
              </w:rPr>
            </w:pPr>
            <w:r>
              <w:rPr>
                <w:rFonts w:ascii="仿宋" w:hAnsi="仿宋" w:eastAsia="仿宋" w:cs="Arial"/>
                <w:sz w:val="21"/>
                <w:szCs w:val="21"/>
              </w:rPr>
              <w:t>山塘湾（旱地）</w:t>
            </w:r>
          </w:p>
        </w:tc>
        <w:tc>
          <w:tcPr>
            <w:tcW w:w="1489" w:type="pct"/>
            <w:vMerge w:val="continue"/>
            <w:vAlign w:val="center"/>
          </w:tcPr>
          <w:p w14:paraId="403314F2">
            <w:pPr>
              <w:jc w:val="center"/>
              <w:rPr>
                <w:rFonts w:ascii="仿宋" w:hAnsi="仿宋" w:eastAsia="仿宋" w:cs="Arial"/>
                <w:sz w:val="21"/>
                <w:szCs w:val="21"/>
              </w:rPr>
            </w:pPr>
          </w:p>
        </w:tc>
        <w:tc>
          <w:tcPr>
            <w:tcW w:w="716" w:type="pct"/>
            <w:vMerge w:val="continue"/>
            <w:vAlign w:val="center"/>
          </w:tcPr>
          <w:p w14:paraId="08EDFFA6">
            <w:pPr>
              <w:jc w:val="center"/>
              <w:rPr>
                <w:rFonts w:ascii="仿宋" w:hAnsi="仿宋" w:eastAsia="仿宋" w:cs="Arial"/>
                <w:sz w:val="21"/>
                <w:szCs w:val="21"/>
              </w:rPr>
            </w:pPr>
          </w:p>
        </w:tc>
        <w:tc>
          <w:tcPr>
            <w:tcW w:w="795" w:type="pct"/>
            <w:vMerge w:val="continue"/>
            <w:vAlign w:val="center"/>
          </w:tcPr>
          <w:p w14:paraId="5761BB6F">
            <w:pPr>
              <w:jc w:val="center"/>
              <w:rPr>
                <w:rFonts w:ascii="仿宋" w:hAnsi="仿宋" w:eastAsia="仿宋" w:cs="Arial"/>
                <w:sz w:val="21"/>
                <w:szCs w:val="21"/>
              </w:rPr>
            </w:pPr>
          </w:p>
        </w:tc>
        <w:tc>
          <w:tcPr>
            <w:tcW w:w="636" w:type="pct"/>
            <w:vMerge w:val="continue"/>
            <w:vAlign w:val="center"/>
          </w:tcPr>
          <w:p w14:paraId="5400C8C5">
            <w:pPr>
              <w:jc w:val="center"/>
              <w:rPr>
                <w:rFonts w:ascii="仿宋" w:hAnsi="仿宋" w:eastAsia="仿宋" w:cs="Arial"/>
                <w:sz w:val="21"/>
                <w:szCs w:val="21"/>
              </w:rPr>
            </w:pPr>
          </w:p>
        </w:tc>
      </w:tr>
      <w:tr w14:paraId="3E04DE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continue"/>
            <w:vAlign w:val="center"/>
          </w:tcPr>
          <w:p w14:paraId="6A0BF97B">
            <w:pPr>
              <w:jc w:val="center"/>
              <w:rPr>
                <w:rFonts w:ascii="仿宋" w:hAnsi="仿宋" w:eastAsia="仿宋" w:cs="Arial"/>
                <w:sz w:val="21"/>
                <w:szCs w:val="21"/>
              </w:rPr>
            </w:pPr>
          </w:p>
        </w:tc>
        <w:tc>
          <w:tcPr>
            <w:tcW w:w="1016" w:type="pct"/>
            <w:vAlign w:val="center"/>
          </w:tcPr>
          <w:p w14:paraId="58A2425D">
            <w:pPr>
              <w:jc w:val="center"/>
              <w:rPr>
                <w:rFonts w:ascii="仿宋" w:hAnsi="仿宋" w:eastAsia="仿宋" w:cs="Arial"/>
                <w:sz w:val="21"/>
                <w:szCs w:val="21"/>
              </w:rPr>
            </w:pPr>
            <w:r>
              <w:rPr>
                <w:rFonts w:ascii="仿宋" w:hAnsi="仿宋" w:eastAsia="仿宋" w:cs="Arial"/>
                <w:sz w:val="21"/>
                <w:szCs w:val="21"/>
              </w:rPr>
              <w:t>青光村（旱地）</w:t>
            </w:r>
          </w:p>
        </w:tc>
        <w:tc>
          <w:tcPr>
            <w:tcW w:w="1489" w:type="pct"/>
            <w:vMerge w:val="continue"/>
            <w:vAlign w:val="center"/>
          </w:tcPr>
          <w:p w14:paraId="0513BF87">
            <w:pPr>
              <w:jc w:val="center"/>
              <w:rPr>
                <w:rFonts w:ascii="仿宋" w:hAnsi="仿宋" w:eastAsia="仿宋" w:cs="Arial"/>
                <w:sz w:val="21"/>
                <w:szCs w:val="21"/>
              </w:rPr>
            </w:pPr>
          </w:p>
        </w:tc>
        <w:tc>
          <w:tcPr>
            <w:tcW w:w="716" w:type="pct"/>
            <w:vMerge w:val="continue"/>
            <w:vAlign w:val="center"/>
          </w:tcPr>
          <w:p w14:paraId="7BD6094A">
            <w:pPr>
              <w:jc w:val="center"/>
              <w:rPr>
                <w:rFonts w:ascii="仿宋" w:hAnsi="仿宋" w:eastAsia="仿宋" w:cs="Arial"/>
                <w:sz w:val="21"/>
                <w:szCs w:val="21"/>
              </w:rPr>
            </w:pPr>
          </w:p>
        </w:tc>
        <w:tc>
          <w:tcPr>
            <w:tcW w:w="795" w:type="pct"/>
            <w:vMerge w:val="continue"/>
            <w:vAlign w:val="center"/>
          </w:tcPr>
          <w:p w14:paraId="6C2B5826">
            <w:pPr>
              <w:jc w:val="center"/>
              <w:rPr>
                <w:rFonts w:ascii="仿宋" w:hAnsi="仿宋" w:eastAsia="仿宋" w:cs="Arial"/>
                <w:sz w:val="21"/>
                <w:szCs w:val="21"/>
              </w:rPr>
            </w:pPr>
          </w:p>
        </w:tc>
        <w:tc>
          <w:tcPr>
            <w:tcW w:w="636" w:type="pct"/>
            <w:vMerge w:val="continue"/>
            <w:vAlign w:val="center"/>
          </w:tcPr>
          <w:p w14:paraId="4EDEF5F4">
            <w:pPr>
              <w:jc w:val="center"/>
              <w:rPr>
                <w:rFonts w:ascii="仿宋" w:hAnsi="仿宋" w:eastAsia="仿宋" w:cs="Arial"/>
                <w:sz w:val="21"/>
                <w:szCs w:val="21"/>
              </w:rPr>
            </w:pPr>
          </w:p>
        </w:tc>
      </w:tr>
      <w:tr w14:paraId="1FDFD5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continue"/>
            <w:vAlign w:val="center"/>
          </w:tcPr>
          <w:p w14:paraId="02318A23">
            <w:pPr>
              <w:jc w:val="center"/>
              <w:rPr>
                <w:rFonts w:ascii="仿宋" w:hAnsi="仿宋" w:eastAsia="仿宋" w:cs="Arial"/>
                <w:sz w:val="21"/>
                <w:szCs w:val="21"/>
              </w:rPr>
            </w:pPr>
          </w:p>
        </w:tc>
        <w:tc>
          <w:tcPr>
            <w:tcW w:w="1016" w:type="pct"/>
            <w:vAlign w:val="center"/>
          </w:tcPr>
          <w:p w14:paraId="7E09CA79">
            <w:pPr>
              <w:jc w:val="center"/>
              <w:rPr>
                <w:rFonts w:ascii="仿宋" w:hAnsi="仿宋" w:eastAsia="仿宋" w:cs="Arial"/>
                <w:sz w:val="21"/>
                <w:szCs w:val="21"/>
              </w:rPr>
            </w:pPr>
            <w:r>
              <w:rPr>
                <w:rFonts w:ascii="仿宋" w:hAnsi="仿宋" w:eastAsia="仿宋" w:cs="Arial"/>
                <w:sz w:val="21"/>
                <w:szCs w:val="21"/>
              </w:rPr>
              <w:t>康大工贸附近绿地</w:t>
            </w:r>
          </w:p>
        </w:tc>
        <w:tc>
          <w:tcPr>
            <w:tcW w:w="1489" w:type="pct"/>
            <w:vAlign w:val="center"/>
          </w:tcPr>
          <w:p w14:paraId="55D2EA15">
            <w:pPr>
              <w:jc w:val="center"/>
              <w:rPr>
                <w:rFonts w:ascii="仿宋" w:hAnsi="仿宋" w:eastAsia="仿宋" w:cs="Arial"/>
                <w:sz w:val="21"/>
                <w:szCs w:val="21"/>
              </w:rPr>
            </w:pPr>
            <w:bookmarkStart w:id="22" w:name="_Hlk87368131"/>
            <w:r>
              <w:rPr>
                <w:rFonts w:ascii="仿宋" w:hAnsi="仿宋" w:eastAsia="仿宋" w:cs="Arial"/>
                <w:sz w:val="21"/>
                <w:szCs w:val="21"/>
              </w:rPr>
              <w:t>pH、镉、汞、砷、铅、铬、铜、镍、锌、铊、甲苯、间二甲苯+对二甲苯、邻二甲苯、石油烃</w:t>
            </w:r>
            <w:bookmarkEnd w:id="22"/>
          </w:p>
        </w:tc>
        <w:tc>
          <w:tcPr>
            <w:tcW w:w="716" w:type="pct"/>
            <w:vAlign w:val="center"/>
          </w:tcPr>
          <w:p w14:paraId="2E9FBA19">
            <w:pPr>
              <w:jc w:val="center"/>
              <w:rPr>
                <w:rFonts w:ascii="仿宋" w:hAnsi="仿宋" w:eastAsia="仿宋" w:cs="Arial"/>
                <w:sz w:val="21"/>
                <w:szCs w:val="21"/>
              </w:rPr>
            </w:pPr>
            <w:r>
              <w:rPr>
                <w:rFonts w:ascii="仿宋" w:hAnsi="仿宋" w:eastAsia="仿宋" w:cs="Arial"/>
                <w:sz w:val="21"/>
                <w:szCs w:val="21"/>
              </w:rPr>
              <w:t>一年一次</w:t>
            </w:r>
          </w:p>
        </w:tc>
        <w:tc>
          <w:tcPr>
            <w:tcW w:w="795" w:type="pct"/>
            <w:vAlign w:val="center"/>
          </w:tcPr>
          <w:p w14:paraId="54227A30">
            <w:pPr>
              <w:jc w:val="center"/>
              <w:rPr>
                <w:rFonts w:ascii="仿宋" w:hAnsi="仿宋" w:eastAsia="仿宋" w:cs="Arial"/>
                <w:sz w:val="21"/>
                <w:szCs w:val="21"/>
              </w:rPr>
            </w:pPr>
            <w:r>
              <w:rPr>
                <w:rFonts w:ascii="仿宋" w:hAnsi="仿宋" w:eastAsia="仿宋" w:cs="Arial"/>
                <w:sz w:val="21"/>
                <w:szCs w:val="21"/>
              </w:rPr>
              <w:t>GB36600-2018中第二类用地筛选值</w:t>
            </w:r>
          </w:p>
        </w:tc>
        <w:tc>
          <w:tcPr>
            <w:tcW w:w="636" w:type="pct"/>
            <w:vAlign w:val="center"/>
          </w:tcPr>
          <w:p w14:paraId="4569B764">
            <w:pPr>
              <w:jc w:val="center"/>
              <w:rPr>
                <w:rFonts w:ascii="仿宋" w:hAnsi="仿宋" w:eastAsia="仿宋" w:cs="Arial"/>
                <w:sz w:val="21"/>
                <w:szCs w:val="21"/>
              </w:rPr>
            </w:pPr>
            <w:r>
              <w:rPr>
                <w:rFonts w:ascii="仿宋" w:hAnsi="仿宋" w:eastAsia="仿宋" w:cs="Arial"/>
                <w:sz w:val="21"/>
                <w:szCs w:val="21"/>
              </w:rPr>
              <w:t>铊保留为背景值</w:t>
            </w:r>
          </w:p>
        </w:tc>
      </w:tr>
      <w:bookmarkEnd w:id="21"/>
      <w:tr w14:paraId="7EDB88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restart"/>
            <w:vAlign w:val="center"/>
          </w:tcPr>
          <w:p w14:paraId="7DFDA166">
            <w:pPr>
              <w:jc w:val="center"/>
              <w:rPr>
                <w:rFonts w:ascii="仿宋" w:hAnsi="仿宋" w:eastAsia="仿宋" w:cs="Arial"/>
                <w:sz w:val="21"/>
                <w:szCs w:val="21"/>
              </w:rPr>
            </w:pPr>
            <w:r>
              <w:rPr>
                <w:rFonts w:ascii="仿宋" w:hAnsi="仿宋" w:eastAsia="仿宋" w:cs="Arial"/>
                <w:sz w:val="21"/>
                <w:szCs w:val="21"/>
              </w:rPr>
              <w:t>底泥</w:t>
            </w:r>
          </w:p>
        </w:tc>
        <w:tc>
          <w:tcPr>
            <w:tcW w:w="1016" w:type="pct"/>
            <w:vAlign w:val="center"/>
          </w:tcPr>
          <w:p w14:paraId="0AB527AC">
            <w:pPr>
              <w:jc w:val="center"/>
              <w:rPr>
                <w:rFonts w:ascii="仿宋" w:hAnsi="仿宋" w:eastAsia="仿宋" w:cs="Arial"/>
                <w:sz w:val="21"/>
                <w:szCs w:val="21"/>
              </w:rPr>
            </w:pPr>
            <w:bookmarkStart w:id="23" w:name="_Hlk87368147"/>
            <w:r>
              <w:rPr>
                <w:rFonts w:ascii="仿宋" w:hAnsi="仿宋" w:eastAsia="仿宋" w:cs="Arial"/>
                <w:sz w:val="21"/>
                <w:szCs w:val="21"/>
              </w:rPr>
              <w:t>第一污水排放口</w:t>
            </w:r>
            <w:bookmarkEnd w:id="23"/>
          </w:p>
        </w:tc>
        <w:tc>
          <w:tcPr>
            <w:tcW w:w="1489" w:type="pct"/>
            <w:vMerge w:val="restart"/>
            <w:vAlign w:val="center"/>
          </w:tcPr>
          <w:p w14:paraId="7E3249F8">
            <w:pPr>
              <w:jc w:val="center"/>
              <w:rPr>
                <w:rFonts w:ascii="仿宋" w:hAnsi="仿宋" w:eastAsia="仿宋" w:cs="Arial"/>
                <w:sz w:val="21"/>
                <w:szCs w:val="21"/>
              </w:rPr>
            </w:pPr>
            <w:r>
              <w:rPr>
                <w:rFonts w:ascii="仿宋" w:hAnsi="仿宋" w:eastAsia="仿宋" w:cs="Arial"/>
                <w:sz w:val="21"/>
                <w:szCs w:val="21"/>
              </w:rPr>
              <w:t>pH、铜、铅、锌、镉、铬、汞、砷、镍</w:t>
            </w:r>
          </w:p>
        </w:tc>
        <w:tc>
          <w:tcPr>
            <w:tcW w:w="716" w:type="pct"/>
            <w:vMerge w:val="restart"/>
            <w:vAlign w:val="center"/>
          </w:tcPr>
          <w:p w14:paraId="61F09F61">
            <w:pPr>
              <w:jc w:val="center"/>
              <w:rPr>
                <w:rFonts w:ascii="仿宋" w:hAnsi="仿宋" w:eastAsia="仿宋" w:cs="Arial"/>
                <w:sz w:val="21"/>
                <w:szCs w:val="21"/>
              </w:rPr>
            </w:pPr>
            <w:r>
              <w:rPr>
                <w:rFonts w:ascii="仿宋" w:hAnsi="仿宋" w:eastAsia="仿宋" w:cs="Arial"/>
                <w:sz w:val="21"/>
                <w:szCs w:val="21"/>
              </w:rPr>
              <w:t>一年一次</w:t>
            </w:r>
          </w:p>
        </w:tc>
        <w:tc>
          <w:tcPr>
            <w:tcW w:w="795" w:type="pct"/>
            <w:vAlign w:val="center"/>
          </w:tcPr>
          <w:p w14:paraId="45F3BBF5">
            <w:pPr>
              <w:jc w:val="center"/>
              <w:rPr>
                <w:rFonts w:ascii="仿宋" w:hAnsi="仿宋" w:eastAsia="仿宋" w:cs="Arial"/>
                <w:sz w:val="21"/>
                <w:szCs w:val="21"/>
              </w:rPr>
            </w:pPr>
            <w:r>
              <w:rPr>
                <w:rFonts w:ascii="仿宋" w:hAnsi="仿宋" w:eastAsia="仿宋" w:cs="Arial"/>
                <w:sz w:val="21"/>
                <w:szCs w:val="21"/>
              </w:rPr>
              <w:t>/</w:t>
            </w:r>
          </w:p>
        </w:tc>
        <w:tc>
          <w:tcPr>
            <w:tcW w:w="636" w:type="pct"/>
            <w:vAlign w:val="center"/>
          </w:tcPr>
          <w:p w14:paraId="52D2AFC7">
            <w:pPr>
              <w:jc w:val="center"/>
              <w:rPr>
                <w:rFonts w:ascii="仿宋" w:hAnsi="仿宋" w:eastAsia="仿宋" w:cs="Arial"/>
                <w:sz w:val="21"/>
                <w:szCs w:val="21"/>
              </w:rPr>
            </w:pPr>
          </w:p>
        </w:tc>
      </w:tr>
      <w:tr w14:paraId="734EAE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8" w:type="pct"/>
            <w:vMerge w:val="continue"/>
            <w:vAlign w:val="center"/>
          </w:tcPr>
          <w:p w14:paraId="3436C1C8">
            <w:pPr>
              <w:jc w:val="center"/>
              <w:rPr>
                <w:rFonts w:ascii="仿宋" w:hAnsi="仿宋" w:eastAsia="仿宋" w:cs="Arial"/>
                <w:sz w:val="21"/>
                <w:szCs w:val="21"/>
              </w:rPr>
            </w:pPr>
          </w:p>
        </w:tc>
        <w:tc>
          <w:tcPr>
            <w:tcW w:w="1016" w:type="pct"/>
            <w:vAlign w:val="center"/>
          </w:tcPr>
          <w:p w14:paraId="1E8DF66F">
            <w:pPr>
              <w:jc w:val="center"/>
              <w:rPr>
                <w:rFonts w:ascii="仿宋" w:hAnsi="仿宋" w:eastAsia="仿宋" w:cs="Arial"/>
                <w:sz w:val="21"/>
                <w:szCs w:val="21"/>
              </w:rPr>
            </w:pPr>
            <w:bookmarkStart w:id="24" w:name="_Hlk87368158"/>
            <w:r>
              <w:rPr>
                <w:rFonts w:ascii="仿宋" w:hAnsi="仿宋" w:eastAsia="仿宋" w:cs="Arial"/>
                <w:sz w:val="21"/>
                <w:szCs w:val="21"/>
              </w:rPr>
              <w:t>第二污水排放口</w:t>
            </w:r>
            <w:bookmarkEnd w:id="24"/>
          </w:p>
        </w:tc>
        <w:tc>
          <w:tcPr>
            <w:tcW w:w="1489" w:type="pct"/>
            <w:vMerge w:val="continue"/>
            <w:vAlign w:val="center"/>
          </w:tcPr>
          <w:p w14:paraId="1079BFC1">
            <w:pPr>
              <w:jc w:val="center"/>
              <w:rPr>
                <w:rFonts w:ascii="仿宋" w:hAnsi="仿宋" w:eastAsia="仿宋" w:cs="Arial"/>
                <w:sz w:val="21"/>
                <w:szCs w:val="21"/>
              </w:rPr>
            </w:pPr>
          </w:p>
        </w:tc>
        <w:tc>
          <w:tcPr>
            <w:tcW w:w="716" w:type="pct"/>
            <w:vMerge w:val="continue"/>
            <w:vAlign w:val="center"/>
          </w:tcPr>
          <w:p w14:paraId="49EF49F2">
            <w:pPr>
              <w:jc w:val="center"/>
              <w:rPr>
                <w:rFonts w:ascii="仿宋" w:hAnsi="仿宋" w:eastAsia="仿宋" w:cs="Arial"/>
                <w:sz w:val="21"/>
                <w:szCs w:val="21"/>
              </w:rPr>
            </w:pPr>
          </w:p>
        </w:tc>
        <w:tc>
          <w:tcPr>
            <w:tcW w:w="795" w:type="pct"/>
            <w:vAlign w:val="center"/>
          </w:tcPr>
          <w:p w14:paraId="6E49D536">
            <w:pPr>
              <w:jc w:val="center"/>
              <w:rPr>
                <w:rFonts w:ascii="仿宋" w:hAnsi="仿宋" w:eastAsia="仿宋" w:cs="Arial"/>
                <w:sz w:val="21"/>
                <w:szCs w:val="21"/>
              </w:rPr>
            </w:pPr>
            <w:r>
              <w:rPr>
                <w:rFonts w:ascii="仿宋" w:hAnsi="仿宋" w:eastAsia="仿宋" w:cs="Arial"/>
                <w:sz w:val="21"/>
                <w:szCs w:val="21"/>
              </w:rPr>
              <w:t>/</w:t>
            </w:r>
          </w:p>
        </w:tc>
        <w:tc>
          <w:tcPr>
            <w:tcW w:w="636" w:type="pct"/>
            <w:vAlign w:val="center"/>
          </w:tcPr>
          <w:p w14:paraId="663A36DA">
            <w:pPr>
              <w:jc w:val="center"/>
              <w:rPr>
                <w:rFonts w:ascii="仿宋" w:hAnsi="仿宋" w:eastAsia="仿宋" w:cs="Arial"/>
                <w:sz w:val="21"/>
                <w:szCs w:val="21"/>
              </w:rPr>
            </w:pPr>
          </w:p>
        </w:tc>
      </w:tr>
    </w:tbl>
    <w:p w14:paraId="071490B1">
      <w:pPr>
        <w:spacing w:line="360" w:lineRule="auto"/>
        <w:ind w:firstLine="640" w:firstLineChars="200"/>
        <w:rPr>
          <w:rFonts w:ascii="Times New Roman" w:hAnsi="Times New Roman" w:eastAsia="仿宋" w:cs="Times New Roman"/>
          <w:sz w:val="32"/>
          <w:szCs w:val="32"/>
        </w:rPr>
      </w:pPr>
      <w:bookmarkStart w:id="25" w:name="_Toc123157443"/>
      <w:bookmarkStart w:id="26" w:name="_Toc188260511"/>
      <w:bookmarkStart w:id="27" w:name="_Toc140332499"/>
      <w:r>
        <w:rPr>
          <w:rFonts w:hint="eastAsia" w:ascii="Times New Roman" w:hAnsi="Times New Roman" w:eastAsia="仿宋" w:cs="Times New Roman"/>
          <w:sz w:val="32"/>
          <w:szCs w:val="32"/>
        </w:rPr>
        <w:t>根据湘潭天易经济开发区环保管家项目的服务内容，友谊国际工程咨询股份有限公司委托</w:t>
      </w:r>
      <w:r>
        <w:rPr>
          <w:rFonts w:ascii="Times New Roman" w:hAnsi="Times New Roman" w:eastAsia="仿宋" w:cs="Times New Roman"/>
          <w:sz w:val="32"/>
          <w:szCs w:val="32"/>
        </w:rPr>
        <w:t>湖南华环检测技术有限公司，湖南至正环境有限公司，湖南安基检测技术有限公司</w:t>
      </w:r>
      <w:r>
        <w:rPr>
          <w:rFonts w:hint="eastAsia" w:ascii="Times New Roman" w:hAnsi="Times New Roman" w:eastAsia="仿宋" w:cs="Times New Roman"/>
          <w:sz w:val="32"/>
          <w:szCs w:val="32"/>
        </w:rPr>
        <w:t>对园区大气、地表水、土壤、地下水、噪声、底泥环境质量进行监测</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rPr>
        <w:t>已落实园区规划环评自行监测计划的要求。</w:t>
      </w:r>
    </w:p>
    <w:p w14:paraId="33540C6C">
      <w:pPr>
        <w:spacing w:line="360" w:lineRule="auto"/>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另外，</w:t>
      </w:r>
      <w:r>
        <w:rPr>
          <w:rFonts w:ascii="Times New Roman" w:hAnsi="Times New Roman" w:eastAsia="仿宋" w:cs="Times New Roman"/>
          <w:sz w:val="32"/>
          <w:szCs w:val="32"/>
        </w:rPr>
        <w:t>经开区内设置有1个环境空气自动监测站，8个大气小微监控站；监测因子为</w:t>
      </w:r>
      <w:r>
        <w:rPr>
          <w:rFonts w:hint="eastAsia" w:ascii="Times New Roman" w:hAnsi="Times New Roman" w:eastAsia="仿宋" w:cs="Times New Roman"/>
          <w:sz w:val="32"/>
          <w:szCs w:val="32"/>
        </w:rPr>
        <w:t>SO</w:t>
      </w:r>
      <w:r>
        <w:rPr>
          <w:rFonts w:hint="eastAsia" w:ascii="Times New Roman" w:hAnsi="Times New Roman" w:eastAsia="仿宋" w:cs="Times New Roman"/>
          <w:sz w:val="32"/>
          <w:szCs w:val="32"/>
          <w:vertAlign w:val="subscript"/>
        </w:rPr>
        <w:t>2</w:t>
      </w:r>
      <w:r>
        <w:rPr>
          <w:rFonts w:ascii="Times New Roman" w:hAnsi="Times New Roman" w:eastAsia="仿宋" w:cs="Times New Roman"/>
          <w:sz w:val="32"/>
          <w:szCs w:val="32"/>
        </w:rPr>
        <w:t>、</w:t>
      </w:r>
      <w:r>
        <w:rPr>
          <w:rFonts w:hint="eastAsia" w:ascii="Times New Roman" w:hAnsi="Times New Roman" w:eastAsia="仿宋" w:cs="Times New Roman"/>
          <w:sz w:val="32"/>
          <w:szCs w:val="32"/>
        </w:rPr>
        <w:t>NO</w:t>
      </w:r>
      <w:r>
        <w:rPr>
          <w:rFonts w:hint="eastAsia" w:ascii="Times New Roman" w:hAnsi="Times New Roman" w:eastAsia="仿宋" w:cs="Times New Roman"/>
          <w:sz w:val="32"/>
          <w:szCs w:val="32"/>
          <w:vertAlign w:val="subscript"/>
        </w:rPr>
        <w:t>2</w:t>
      </w:r>
      <w:r>
        <w:rPr>
          <w:rFonts w:ascii="Times New Roman" w:hAnsi="Times New Roman" w:eastAsia="仿宋" w:cs="Times New Roman"/>
          <w:sz w:val="32"/>
          <w:szCs w:val="32"/>
        </w:rPr>
        <w:t>、</w:t>
      </w:r>
      <w:r>
        <w:rPr>
          <w:rFonts w:hint="eastAsia" w:ascii="Times New Roman" w:hAnsi="Times New Roman" w:eastAsia="仿宋" w:cs="Times New Roman"/>
          <w:sz w:val="32"/>
          <w:szCs w:val="32"/>
        </w:rPr>
        <w:t>PM</w:t>
      </w:r>
      <w:r>
        <w:rPr>
          <w:rFonts w:hint="eastAsia" w:ascii="Times New Roman" w:hAnsi="Times New Roman" w:eastAsia="仿宋" w:cs="Times New Roman"/>
          <w:sz w:val="32"/>
          <w:szCs w:val="32"/>
          <w:vertAlign w:val="subscript"/>
        </w:rPr>
        <w:t>10</w:t>
      </w:r>
      <w:r>
        <w:rPr>
          <w:rFonts w:ascii="Times New Roman" w:hAnsi="Times New Roman" w:eastAsia="仿宋" w:cs="Times New Roman"/>
          <w:sz w:val="32"/>
          <w:szCs w:val="32"/>
        </w:rPr>
        <w:t>、</w:t>
      </w:r>
      <w:r>
        <w:rPr>
          <w:rFonts w:hint="eastAsia" w:ascii="Times New Roman" w:hAnsi="Times New Roman" w:eastAsia="仿宋" w:cs="Times New Roman"/>
          <w:sz w:val="32"/>
          <w:szCs w:val="32"/>
        </w:rPr>
        <w:t>PM</w:t>
      </w:r>
      <w:r>
        <w:rPr>
          <w:rFonts w:hint="eastAsia" w:ascii="Times New Roman" w:hAnsi="Times New Roman" w:eastAsia="仿宋" w:cs="Times New Roman"/>
          <w:sz w:val="32"/>
          <w:szCs w:val="32"/>
          <w:vertAlign w:val="subscript"/>
        </w:rPr>
        <w:t>2.5</w:t>
      </w:r>
      <w:r>
        <w:rPr>
          <w:rFonts w:ascii="Times New Roman" w:hAnsi="Times New Roman" w:eastAsia="仿宋" w:cs="Times New Roman"/>
          <w:sz w:val="32"/>
          <w:szCs w:val="32"/>
        </w:rPr>
        <w:t>、CO、O</w:t>
      </w:r>
      <w:r>
        <w:rPr>
          <w:rFonts w:ascii="Times New Roman" w:hAnsi="Times New Roman" w:eastAsia="仿宋" w:cs="Times New Roman"/>
          <w:sz w:val="32"/>
          <w:szCs w:val="32"/>
          <w:vertAlign w:val="subscript"/>
        </w:rPr>
        <w:t>3</w:t>
      </w:r>
      <w:r>
        <w:rPr>
          <w:rFonts w:ascii="Times New Roman" w:hAnsi="Times New Roman" w:eastAsia="仿宋" w:cs="Times New Roman"/>
          <w:sz w:val="32"/>
          <w:szCs w:val="32"/>
        </w:rPr>
        <w:t>六项基本因子；湘潭县生态环境监测站负责空气质量自动监测站数据的审核、发布。</w:t>
      </w:r>
    </w:p>
    <w:p w14:paraId="2A27070C">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湘潭县生态环境监测站每月对涓水入湘江口断面24项常规监测和镍、钒、铊、钴、锑、锰等6项重金属监测</w:t>
      </w:r>
      <w:r>
        <w:rPr>
          <w:rFonts w:hint="eastAsia" w:ascii="Times New Roman" w:hAnsi="Times New Roman" w:eastAsia="仿宋" w:cs="Times New Roman"/>
          <w:sz w:val="32"/>
          <w:szCs w:val="32"/>
        </w:rPr>
        <w:t>，对湘江五星（一水厂）</w:t>
      </w:r>
      <w:r>
        <w:rPr>
          <w:rFonts w:ascii="Times New Roman" w:hAnsi="Times New Roman" w:eastAsia="仿宋" w:cs="Times New Roman"/>
          <w:sz w:val="32"/>
          <w:szCs w:val="32"/>
        </w:rPr>
        <w:t>断面进行24项常规监测，有效反映了经开区区域地表水环境质量达标情况。</w:t>
      </w:r>
    </w:p>
    <w:bookmarkEnd w:id="25"/>
    <w:bookmarkEnd w:id="26"/>
    <w:bookmarkEnd w:id="27"/>
    <w:p w14:paraId="33B13413">
      <w:pPr>
        <w:spacing w:line="360"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经开区内各企业根据各建设项目环境影响评价报告、排污许可证等要求制定自行监测方案并实施；开发区的重点污染源纳入了“重点污染源自动监控于基础数据库系统V3.2”(西安长天)和“湘潭市污染源自动监控管理平台“(力合科技（湖南）股份有限公司)在线监控，企业自身例行监测，全面系统掌控园区建设、发展过程中的环境质量的变化。</w:t>
      </w:r>
    </w:p>
    <w:p w14:paraId="7C4C957D">
      <w:pPr>
        <w:pStyle w:val="21"/>
        <w:spacing w:after="0" w:line="360" w:lineRule="auto"/>
        <w:ind w:left="0" w:leftChars="0" w:firstLine="643"/>
        <w:outlineLvl w:val="1"/>
        <w:rPr>
          <w:rFonts w:ascii="Times New Roman" w:hAnsi="Times New Roman" w:eastAsia="仿宋"/>
          <w:b/>
          <w:bCs/>
          <w:szCs w:val="32"/>
        </w:rPr>
      </w:pPr>
      <w:bookmarkStart w:id="28" w:name="_Toc24195"/>
      <w:bookmarkStart w:id="29" w:name="_Toc31867"/>
      <w:r>
        <w:rPr>
          <w:rFonts w:ascii="Times New Roman" w:hAnsi="Times New Roman" w:eastAsia="仿宋"/>
          <w:b/>
          <w:bCs/>
          <w:szCs w:val="32"/>
        </w:rPr>
        <w:t>（二）</w:t>
      </w:r>
      <w:bookmarkEnd w:id="28"/>
      <w:bookmarkEnd w:id="29"/>
      <w:r>
        <w:rPr>
          <w:rFonts w:hint="eastAsia" w:ascii="Times New Roman" w:hAnsi="Times New Roman" w:eastAsia="仿宋"/>
          <w:b/>
          <w:bCs/>
          <w:szCs w:val="32"/>
        </w:rPr>
        <w:t>生态环境分区管控总体管控要求落实情况</w:t>
      </w:r>
    </w:p>
    <w:p w14:paraId="1768650F">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根据</w:t>
      </w:r>
      <w:r>
        <w:rPr>
          <w:rFonts w:hint="eastAsia" w:ascii="Times New Roman" w:hAnsi="Times New Roman" w:eastAsia="仿宋"/>
          <w:szCs w:val="32"/>
        </w:rPr>
        <w:t>《湖南省生态环境分区管控总体管控要求暨省级以上产业园区生态环境准入清单（2023版）》</w:t>
      </w:r>
      <w:r>
        <w:rPr>
          <w:rFonts w:ascii="Times New Roman" w:hAnsi="Times New Roman" w:eastAsia="仿宋"/>
          <w:szCs w:val="32"/>
        </w:rPr>
        <w:t>相关文件，明确了湘潭天易经济开发区</w:t>
      </w:r>
      <w:r>
        <w:rPr>
          <w:rFonts w:hint="eastAsia" w:ascii="Times New Roman" w:hAnsi="Times New Roman" w:eastAsia="仿宋"/>
          <w:szCs w:val="32"/>
        </w:rPr>
        <w:t>生态环境分区管控总体管控</w:t>
      </w:r>
      <w:r>
        <w:rPr>
          <w:rFonts w:ascii="Times New Roman" w:hAnsi="Times New Roman" w:eastAsia="仿宋"/>
          <w:szCs w:val="32"/>
        </w:rPr>
        <w:t>要求，见下表3。</w:t>
      </w:r>
    </w:p>
    <w:p w14:paraId="405F5B43">
      <w:pPr>
        <w:pStyle w:val="21"/>
        <w:spacing w:after="0" w:line="360" w:lineRule="auto"/>
        <w:ind w:left="0" w:leftChars="0" w:firstLine="0" w:firstLineChars="0"/>
        <w:jc w:val="center"/>
        <w:rPr>
          <w:rFonts w:ascii="Times New Roman" w:hAnsi="Times New Roman" w:eastAsia="仿宋"/>
          <w:b/>
          <w:bCs/>
          <w:sz w:val="28"/>
          <w:szCs w:val="28"/>
        </w:rPr>
      </w:pPr>
      <w:r>
        <w:rPr>
          <w:rFonts w:ascii="Times New Roman" w:hAnsi="Times New Roman" w:eastAsia="仿宋"/>
          <w:b/>
          <w:bCs/>
          <w:sz w:val="28"/>
          <w:szCs w:val="28"/>
        </w:rPr>
        <w:t>表3 湘潭天易经济开发区</w:t>
      </w:r>
      <w:r>
        <w:rPr>
          <w:rFonts w:hint="eastAsia" w:ascii="Times New Roman" w:hAnsi="Times New Roman" w:eastAsia="仿宋"/>
          <w:b/>
          <w:bCs/>
          <w:sz w:val="28"/>
          <w:szCs w:val="28"/>
        </w:rPr>
        <w:t>生态环境分区管控总体管控</w:t>
      </w:r>
      <w:r>
        <w:rPr>
          <w:rFonts w:ascii="Times New Roman" w:hAnsi="Times New Roman" w:eastAsia="仿宋"/>
          <w:b/>
          <w:bCs/>
          <w:sz w:val="28"/>
          <w:szCs w:val="28"/>
        </w:rPr>
        <w:t>要求落实情况</w:t>
      </w:r>
    </w:p>
    <w:tbl>
      <w:tblPr>
        <w:tblStyle w:val="22"/>
        <w:tblW w:w="5015"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0" w:type="dxa"/>
          <w:bottom w:w="0" w:type="dxa"/>
          <w:right w:w="0" w:type="dxa"/>
        </w:tblCellMar>
      </w:tblPr>
      <w:tblGrid>
        <w:gridCol w:w="301"/>
        <w:gridCol w:w="298"/>
        <w:gridCol w:w="306"/>
        <w:gridCol w:w="920"/>
        <w:gridCol w:w="3923"/>
        <w:gridCol w:w="2613"/>
      </w:tblGrid>
      <w:tr w14:paraId="625F26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tblHeader/>
          <w:jc w:val="center"/>
        </w:trPr>
        <w:tc>
          <w:tcPr>
            <w:tcW w:w="541" w:type="pct"/>
            <w:gridSpan w:val="3"/>
            <w:vAlign w:val="center"/>
          </w:tcPr>
          <w:p w14:paraId="144F45D7">
            <w:pPr>
              <w:pStyle w:val="53"/>
              <w:rPr>
                <w:rFonts w:hint="eastAsia" w:ascii="仿宋" w:hAnsi="仿宋" w:eastAsia="仿宋" w:cs="仿宋"/>
                <w:b/>
                <w:bCs/>
                <w:color w:val="000000" w:themeColor="text1"/>
                <w:sz w:val="21"/>
                <w:szCs w:val="21"/>
              </w:rPr>
            </w:pPr>
            <w:r>
              <w:rPr>
                <w:rFonts w:hint="eastAsia" w:ascii="仿宋" w:hAnsi="仿宋" w:eastAsia="仿宋" w:cs="仿宋"/>
                <w:b/>
                <w:bCs/>
                <w:color w:val="000000" w:themeColor="text1"/>
                <w:sz w:val="21"/>
                <w:szCs w:val="21"/>
              </w:rPr>
              <w:t>管控对象</w:t>
            </w:r>
          </w:p>
        </w:tc>
        <w:tc>
          <w:tcPr>
            <w:tcW w:w="550" w:type="pct"/>
            <w:vAlign w:val="center"/>
          </w:tcPr>
          <w:p w14:paraId="7BE414A9">
            <w:pPr>
              <w:pStyle w:val="53"/>
              <w:rPr>
                <w:rFonts w:hint="eastAsia" w:ascii="仿宋" w:hAnsi="仿宋" w:eastAsia="仿宋" w:cs="仿宋"/>
                <w:b/>
                <w:bCs/>
                <w:color w:val="000000" w:themeColor="text1"/>
                <w:sz w:val="21"/>
                <w:szCs w:val="21"/>
              </w:rPr>
            </w:pPr>
            <w:r>
              <w:rPr>
                <w:rFonts w:hint="eastAsia" w:ascii="仿宋" w:hAnsi="仿宋" w:eastAsia="仿宋" w:cs="仿宋"/>
                <w:b/>
                <w:bCs/>
                <w:color w:val="000000" w:themeColor="text1"/>
                <w:sz w:val="21"/>
                <w:szCs w:val="21"/>
              </w:rPr>
              <w:t>基本内容</w:t>
            </w:r>
          </w:p>
        </w:tc>
        <w:tc>
          <w:tcPr>
            <w:tcW w:w="2345" w:type="pct"/>
            <w:vAlign w:val="center"/>
          </w:tcPr>
          <w:p w14:paraId="69B5D1BA">
            <w:pPr>
              <w:pStyle w:val="53"/>
              <w:rPr>
                <w:rFonts w:hint="eastAsia" w:ascii="仿宋" w:hAnsi="仿宋" w:eastAsia="仿宋" w:cs="仿宋"/>
                <w:b/>
                <w:bCs/>
                <w:color w:val="000000" w:themeColor="text1"/>
                <w:sz w:val="21"/>
                <w:szCs w:val="21"/>
              </w:rPr>
            </w:pPr>
            <w:r>
              <w:rPr>
                <w:rFonts w:hint="eastAsia" w:ascii="仿宋" w:hAnsi="仿宋" w:eastAsia="仿宋" w:cs="仿宋"/>
                <w:b/>
                <w:bCs/>
                <w:color w:val="000000" w:themeColor="text1"/>
                <w:sz w:val="21"/>
                <w:szCs w:val="21"/>
              </w:rPr>
              <w:t>管控要求</w:t>
            </w:r>
          </w:p>
        </w:tc>
        <w:tc>
          <w:tcPr>
            <w:tcW w:w="1562" w:type="pct"/>
            <w:vAlign w:val="center"/>
          </w:tcPr>
          <w:p w14:paraId="169635E5">
            <w:pPr>
              <w:pStyle w:val="53"/>
              <w:rPr>
                <w:rFonts w:hint="default" w:ascii="仿宋" w:hAnsi="仿宋" w:eastAsia="仿宋" w:cs="仿宋"/>
                <w:b/>
                <w:bCs/>
                <w:color w:val="000000" w:themeColor="text1"/>
                <w:sz w:val="21"/>
                <w:szCs w:val="21"/>
                <w:lang w:val="en-US" w:eastAsia="zh-CN"/>
              </w:rPr>
            </w:pPr>
            <w:r>
              <w:rPr>
                <w:rFonts w:hint="eastAsia" w:ascii="仿宋" w:hAnsi="仿宋" w:eastAsia="仿宋" w:cs="仿宋"/>
                <w:b/>
                <w:bCs/>
                <w:color w:val="000000" w:themeColor="text1"/>
                <w:sz w:val="21"/>
                <w:szCs w:val="21"/>
                <w:lang w:val="en-US" w:eastAsia="zh-CN"/>
              </w:rPr>
              <w:t>落实情况</w:t>
            </w:r>
          </w:p>
        </w:tc>
      </w:tr>
      <w:tr w14:paraId="5C1AFE6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restart"/>
            <w:vAlign w:val="center"/>
          </w:tcPr>
          <w:p w14:paraId="3A8705DC">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优先保护单元</w:t>
            </w:r>
          </w:p>
        </w:tc>
        <w:tc>
          <w:tcPr>
            <w:tcW w:w="360" w:type="pct"/>
            <w:gridSpan w:val="2"/>
            <w:vAlign w:val="center"/>
          </w:tcPr>
          <w:p w14:paraId="488D0EDE">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水环境优先保护区</w:t>
            </w:r>
          </w:p>
        </w:tc>
        <w:tc>
          <w:tcPr>
            <w:tcW w:w="550" w:type="pct"/>
            <w:vAlign w:val="center"/>
          </w:tcPr>
          <w:p w14:paraId="3628FF54">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水产种质资源保护区所在水环境优先保护区域</w:t>
            </w:r>
          </w:p>
        </w:tc>
        <w:tc>
          <w:tcPr>
            <w:tcW w:w="2345" w:type="pct"/>
            <w:vAlign w:val="center"/>
          </w:tcPr>
          <w:p w14:paraId="428273B9">
            <w:pPr>
              <w:pStyle w:val="53"/>
              <w:jc w:val="left"/>
              <w:rPr>
                <w:rFonts w:hint="eastAsia" w:ascii="仿宋" w:hAnsi="仿宋" w:eastAsia="仿宋" w:cs="仿宋"/>
                <w:color w:val="auto"/>
                <w:sz w:val="21"/>
                <w:szCs w:val="21"/>
                <w:highlight w:val="none"/>
              </w:rPr>
            </w:pPr>
            <w:r>
              <w:rPr>
                <w:rFonts w:hint="eastAsia" w:ascii="仿宋" w:hAnsi="仿宋" w:eastAsia="仿宋" w:cs="仿宋"/>
                <w:color w:val="000000" w:themeColor="text1"/>
                <w:sz w:val="21"/>
                <w:szCs w:val="21"/>
              </w:rPr>
              <w:t>1、禁止在水产种质资源保护区内新建排污口，</w:t>
            </w:r>
            <w:r>
              <w:rPr>
                <w:rFonts w:hint="eastAsia" w:ascii="仿宋" w:hAnsi="仿宋" w:eastAsia="仿宋" w:cs="仿宋"/>
                <w:color w:val="000000" w:themeColor="text1"/>
                <w:sz w:val="21"/>
                <w:szCs w:val="21"/>
                <w:highlight w:val="none"/>
              </w:rPr>
              <w:t>以及围湖</w:t>
            </w:r>
            <w:r>
              <w:rPr>
                <w:rFonts w:hint="eastAsia" w:ascii="仿宋" w:hAnsi="仿宋" w:eastAsia="仿宋" w:cs="仿宋"/>
                <w:color w:val="auto"/>
                <w:sz w:val="21"/>
                <w:szCs w:val="21"/>
                <w:highlight w:val="none"/>
              </w:rPr>
              <w:t>造田等投资建设项目；可选择性的对原集中或分散的老排污口进行科学、可控、达标的改（扩）建，且不得对水产种质资源保护区水域造成污染。</w:t>
            </w:r>
          </w:p>
          <w:p w14:paraId="05DCB580">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highlight w:val="none"/>
              </w:rPr>
              <w:t>2、在水产种质资源保护区附近新</w:t>
            </w:r>
            <w:r>
              <w:rPr>
                <w:rFonts w:hint="eastAsia" w:ascii="仿宋" w:hAnsi="仿宋" w:eastAsia="仿宋" w:cs="仿宋"/>
                <w:color w:val="000000" w:themeColor="text1"/>
                <w:sz w:val="21"/>
                <w:szCs w:val="21"/>
              </w:rPr>
              <w:t>、改、扩建排污口，应当保证保护区水体不受污染；在水产种质资源保护区内从事修建水利工程、疏浚航道、建闸筑坝、勘探和开采矿产资源、港口建设等工程建设的，或者在水产种质资源保护区外从事可能损害保护区功能的工程建设活动的，应当按照国家有关规定编制建设项目对水产种质资源保护区的影响专题论证报告，并将其纳入环境影响评价报告书。</w:t>
            </w:r>
          </w:p>
        </w:tc>
        <w:tc>
          <w:tcPr>
            <w:tcW w:w="1562" w:type="pct"/>
            <w:vAlign w:val="center"/>
          </w:tcPr>
          <w:p w14:paraId="4C7DE36D">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湘潭县第二污水处理厂目前已完成提质改造，改造后的工艺为预处理、A2/O生化处理、深度处理、紫外消毒工艺，出水达到《城镇污水处理厂污染物排放标准》（GB18918-2002）中一级标准A标准，再经人工湿地深度处理后溢流进入京竹渠，最终进入涓水。尾水流经3.2km汇入湘江，间接纳污水体湘江为湘江湘潭段野鲤国家级水产种质资源保护区的实验区。现状处理规模2.5万m</w:t>
            </w:r>
            <w:r>
              <w:rPr>
                <w:rFonts w:hint="eastAsia" w:ascii="仿宋" w:hAnsi="仿宋" w:eastAsia="仿宋" w:cs="仿宋"/>
                <w:color w:val="000000" w:themeColor="text1"/>
                <w:sz w:val="21"/>
                <w:szCs w:val="21"/>
                <w:vertAlign w:val="superscript"/>
              </w:rPr>
              <w:t>3</w:t>
            </w:r>
            <w:r>
              <w:rPr>
                <w:rFonts w:hint="eastAsia" w:ascii="仿宋" w:hAnsi="仿宋" w:eastAsia="仿宋" w:cs="仿宋"/>
                <w:color w:val="000000" w:themeColor="text1"/>
                <w:sz w:val="21"/>
                <w:szCs w:val="21"/>
              </w:rPr>
              <w:t>/d，已取得入河排污口设置批复。扩建规模为2.5万m</w:t>
            </w:r>
            <w:r>
              <w:rPr>
                <w:rFonts w:hint="eastAsia" w:ascii="仿宋" w:hAnsi="仿宋" w:eastAsia="仿宋" w:cs="仿宋"/>
                <w:color w:val="000000" w:themeColor="text1"/>
                <w:sz w:val="21"/>
                <w:szCs w:val="21"/>
                <w:vertAlign w:val="superscript"/>
              </w:rPr>
              <w:t>3</w:t>
            </w:r>
            <w:r>
              <w:rPr>
                <w:rFonts w:hint="eastAsia" w:ascii="仿宋" w:hAnsi="仿宋" w:eastAsia="仿宋" w:cs="仿宋"/>
                <w:color w:val="000000" w:themeColor="text1"/>
                <w:sz w:val="21"/>
                <w:szCs w:val="21"/>
              </w:rPr>
              <w:t>/d，已取得环评批复，目前正在建设过程中。</w:t>
            </w:r>
          </w:p>
          <w:p w14:paraId="014ED9E0">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2、湘潭县第一污水处理厂处理出水达到《城镇污水处理厂污染物排放标准》（GB18918-2002）中一级标准A标准后排入湘江，排污口位于湘江湘潭段野鲤国家级水产种质资源保护区的实验区。现状处理规模为5万m</w:t>
            </w:r>
            <w:r>
              <w:rPr>
                <w:rFonts w:hint="eastAsia" w:ascii="仿宋" w:hAnsi="仿宋" w:eastAsia="仿宋" w:cs="仿宋"/>
                <w:color w:val="000000" w:themeColor="text1"/>
                <w:sz w:val="21"/>
                <w:szCs w:val="21"/>
                <w:vertAlign w:val="superscript"/>
              </w:rPr>
              <w:t>3</w:t>
            </w:r>
            <w:r>
              <w:rPr>
                <w:rFonts w:hint="eastAsia" w:ascii="仿宋" w:hAnsi="仿宋" w:eastAsia="仿宋" w:cs="仿宋"/>
                <w:color w:val="000000" w:themeColor="text1"/>
                <w:sz w:val="21"/>
                <w:szCs w:val="21"/>
              </w:rPr>
              <w:t>/d，未取得入河排污口设置批复。（湘潭县第一污水处理厂依托邯郸港排污口，设立于1992年，建设之初没有要求办理入河排污口论证审批手续）</w:t>
            </w:r>
          </w:p>
        </w:tc>
      </w:tr>
      <w:tr w14:paraId="4C03B8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continue"/>
            <w:vAlign w:val="center"/>
          </w:tcPr>
          <w:p w14:paraId="6FA04943">
            <w:pPr>
              <w:pStyle w:val="53"/>
              <w:rPr>
                <w:rFonts w:hint="eastAsia" w:ascii="仿宋" w:hAnsi="仿宋" w:eastAsia="仿宋" w:cs="仿宋"/>
                <w:color w:val="000000" w:themeColor="text1"/>
                <w:sz w:val="21"/>
                <w:szCs w:val="21"/>
              </w:rPr>
            </w:pPr>
          </w:p>
        </w:tc>
        <w:tc>
          <w:tcPr>
            <w:tcW w:w="360" w:type="pct"/>
            <w:gridSpan w:val="2"/>
            <w:vAlign w:val="center"/>
          </w:tcPr>
          <w:p w14:paraId="19B697C0">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农用地优先保护区</w:t>
            </w:r>
          </w:p>
        </w:tc>
        <w:tc>
          <w:tcPr>
            <w:tcW w:w="550" w:type="pct"/>
            <w:vAlign w:val="center"/>
          </w:tcPr>
          <w:p w14:paraId="3CDE31EE">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永久基本农田区域</w:t>
            </w:r>
          </w:p>
        </w:tc>
        <w:tc>
          <w:tcPr>
            <w:tcW w:w="2345" w:type="pct"/>
            <w:vAlign w:val="center"/>
          </w:tcPr>
          <w:p w14:paraId="4D5653E4">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禁止任何单位和个人在永久基本农田保护区内建密、建房、建坟、挖砂、采石、采矿、取土、堆放固体废弃物或者进行其他破坏永久基本农田的活动。鼓励农业生产者对其经营的永久基本农田施用有机肥料，合理施用化肥和农药。向永久基本农田保护区提供肥料和作为肥料的城市垃圾、污泥的，应当符合国家有关标准。</w:t>
            </w:r>
          </w:p>
          <w:p w14:paraId="343F7E27">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禁止向农用地排放重金属或者其他有毒有害物质含量超标的污水、污泥，以及可能造成土壤污染的清淤底泥、尾矿、矿渣等。对安全利用类农用地地块以及周边地区采取环境准入限制，严格控制新建、改建、扩建可能造成农用地土壤污染的项目。</w:t>
            </w:r>
          </w:p>
          <w:p w14:paraId="189BD89E">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基本农田保护区经依法划定后，任何单位和个人不得改变或者占用。国家能源、交通、水利、军事设施等重点建设项目选址确实无法避开基本农田保护区，需要占用基本农田，涉及农用地转用或者征收土地的，必须经国务院批准。永久基本农田范围内矿产资源勘查开发项目应符合《自然资源部农业农村部关于加强和改进永久基本农田保护工作的通知》有关规定。</w:t>
            </w:r>
          </w:p>
          <w:p w14:paraId="50512ABE">
            <w:pPr>
              <w:pStyle w:val="53"/>
              <w:jc w:val="left"/>
              <w:rPr>
                <w:rFonts w:hint="eastAsia" w:ascii="仿宋" w:hAnsi="仿宋" w:eastAsia="仿宋" w:cs="仿宋"/>
                <w:color w:val="auto"/>
                <w:sz w:val="21"/>
                <w:szCs w:val="21"/>
                <w:highlight w:val="none"/>
              </w:rPr>
            </w:pPr>
            <w:r>
              <w:rPr>
                <w:rFonts w:hint="eastAsia" w:ascii="仿宋" w:hAnsi="仿宋" w:eastAsia="仿宋" w:cs="仿宋"/>
                <w:color w:val="000000" w:themeColor="text1"/>
                <w:sz w:val="21"/>
                <w:szCs w:val="21"/>
              </w:rPr>
              <w:t>4.严格控制在优先保护类耕地集中区域新、改、扩建增加重金属污染排放的项目现有相关企</w:t>
            </w:r>
            <w:r>
              <w:rPr>
                <w:rFonts w:hint="eastAsia" w:ascii="仿宋" w:hAnsi="仿宋" w:eastAsia="仿宋" w:cs="仿宋"/>
                <w:color w:val="auto"/>
                <w:sz w:val="21"/>
                <w:szCs w:val="21"/>
                <w:highlight w:val="none"/>
              </w:rPr>
              <w:t>业要采用新技术、新工艺，加快提标升级改造步伐。</w:t>
            </w:r>
          </w:p>
          <w:p w14:paraId="3183D80B">
            <w:pPr>
              <w:pStyle w:val="53"/>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5,控制农业面源污染。实施化肥农药减量增效行动和农膜回收行动。</w:t>
            </w:r>
          </w:p>
          <w:p w14:paraId="76541408">
            <w:pPr>
              <w:pStyle w:val="53"/>
              <w:jc w:val="left"/>
              <w:rPr>
                <w:rFonts w:hint="eastAsia" w:ascii="仿宋" w:hAnsi="仿宋" w:eastAsia="仿宋" w:cs="仿宋"/>
                <w:color w:val="000000" w:themeColor="text1"/>
                <w:sz w:val="21"/>
                <w:szCs w:val="21"/>
              </w:rPr>
            </w:pPr>
            <w:r>
              <w:rPr>
                <w:rFonts w:hint="eastAsia" w:ascii="仿宋" w:hAnsi="仿宋" w:eastAsia="仿宋" w:cs="仿宋"/>
                <w:color w:val="auto"/>
                <w:sz w:val="21"/>
                <w:szCs w:val="21"/>
                <w:highlight w:val="none"/>
              </w:rPr>
              <w:t>6.依法落实耕地利用优先序，实施耕地种植用途管控，永久基本农田不得转为林地、草地、园地等其他农用地及农业设施建设用地，严格控制一般耕地转为林地、草地、园地等其他农用地。利用卫星遥感、铁塔视频、大数据等信息化手段，监测耕地种植用途变化动态，开展日常巡查和核查，对耕地种植用途改变做到早发现、早制止，</w:t>
            </w:r>
            <w:r>
              <w:rPr>
                <w:rFonts w:hint="eastAsia" w:ascii="仿宋" w:hAnsi="仿宋" w:eastAsia="仿宋" w:cs="仿宋"/>
                <w:color w:val="auto"/>
                <w:sz w:val="21"/>
                <w:szCs w:val="21"/>
                <w:highlight w:val="none"/>
                <w:lang w:val="en-US" w:eastAsia="zh-CN"/>
              </w:rPr>
              <w:t>严格防止耕地</w:t>
            </w:r>
            <w:r>
              <w:rPr>
                <w:rFonts w:hint="eastAsia" w:ascii="仿宋" w:hAnsi="仿宋" w:eastAsia="仿宋" w:cs="仿宋"/>
                <w:color w:val="auto"/>
                <w:sz w:val="21"/>
                <w:szCs w:val="21"/>
                <w:highlight w:val="none"/>
              </w:rPr>
              <w:t>“非粮化”。</w:t>
            </w:r>
          </w:p>
        </w:tc>
        <w:tc>
          <w:tcPr>
            <w:tcW w:w="1562" w:type="pct"/>
            <w:vAlign w:val="center"/>
          </w:tcPr>
          <w:p w14:paraId="146709EC">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1、园区规划不涉及基本农田，本次扩区规划范围紧邻基本农田。园区企业禁止向农用地排放重金属或者其他有毒有害物质含量超标的污水、固废。</w:t>
            </w:r>
          </w:p>
          <w:p w14:paraId="581E9E76">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2、对于园区规划边界紧临的基本农田，园区开发严格执行《基本农田保持条例》的管控要求。</w:t>
            </w:r>
          </w:p>
        </w:tc>
      </w:tr>
      <w:tr w14:paraId="544B5EB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restart"/>
            <w:vAlign w:val="center"/>
          </w:tcPr>
          <w:p w14:paraId="084ACC74">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重点管控单元</w:t>
            </w:r>
          </w:p>
        </w:tc>
        <w:tc>
          <w:tcPr>
            <w:tcW w:w="178" w:type="pct"/>
            <w:vMerge w:val="restart"/>
            <w:vAlign w:val="center"/>
          </w:tcPr>
          <w:p w14:paraId="662EB898">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大气环境重点管控区</w:t>
            </w:r>
          </w:p>
        </w:tc>
        <w:tc>
          <w:tcPr>
            <w:tcW w:w="182" w:type="pct"/>
            <w:vAlign w:val="center"/>
          </w:tcPr>
          <w:p w14:paraId="034C6F8B">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受体敏感区</w:t>
            </w:r>
          </w:p>
        </w:tc>
        <w:tc>
          <w:tcPr>
            <w:tcW w:w="550" w:type="pct"/>
            <w:vAlign w:val="center"/>
          </w:tcPr>
          <w:p w14:paraId="084EF0C4">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城镇中心及集中居住、医疗、教育等区域</w:t>
            </w:r>
          </w:p>
        </w:tc>
        <w:tc>
          <w:tcPr>
            <w:tcW w:w="2345" w:type="pct"/>
            <w:vAlign w:val="center"/>
          </w:tcPr>
          <w:p w14:paraId="660A0E12">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1、禁止在人口集中地区和其他依法需要特殊保护的区域内焚烧沥青、油毡、橡胶、塑料、皮革、垃圾以及其他产生有毒有害烟尘和恶臭气体的物质。</w:t>
            </w:r>
          </w:p>
          <w:p w14:paraId="2987200D">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2、鼓励城市建成区实行集中供热。在集中供热管网覆盖区域内，禁止新建、改建、扩建分散燃煤锅炉，集中供热管网覆盖前已建成使用的分散燃煤锅炉应当限期停止使用。</w:t>
            </w:r>
          </w:p>
          <w:p w14:paraId="6AD34921">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3、在大气污染重点区域城市建成区内禁止新建、扩建钢铁、水泥、有色金属、石油、化工等重污染企业以及新增产能项目。</w:t>
            </w:r>
          </w:p>
        </w:tc>
        <w:tc>
          <w:tcPr>
            <w:tcW w:w="1562" w:type="pct"/>
            <w:vAlign w:val="center"/>
          </w:tcPr>
          <w:p w14:paraId="602DE6EA">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1、天易经开区发展先进装备制造、食品医药、新材料产业。未在人口集中地区和其他依法需要特殊保护的区域内焚烧沥青、油毡、橡胶、塑料、皮革、垃圾以及其他产生有毒有害烟尘和恶臭气体的物质。</w:t>
            </w:r>
          </w:p>
          <w:p w14:paraId="025DA14F">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园区引入湘潭聚森清洁能源供热有限公司作为集中供热公司，项目已建成投入运行，供热管线目前建设长度约10km，覆盖的企业包括伍子醉槟郎、胖哥槟郎、小龙王槟郎、珠江啤酒、宏兴隆食品、湖南金风食品、鸿益食品厂、湖南食掌柜农业科技有限公司、湖南福熙食品有限公司等。</w:t>
            </w:r>
          </w:p>
        </w:tc>
      </w:tr>
      <w:tr w14:paraId="3215BC0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continue"/>
            <w:vAlign w:val="center"/>
          </w:tcPr>
          <w:p w14:paraId="02F57AF2">
            <w:pPr>
              <w:pStyle w:val="53"/>
              <w:rPr>
                <w:rFonts w:hint="eastAsia" w:ascii="仿宋" w:hAnsi="仿宋" w:eastAsia="仿宋" w:cs="仿宋"/>
                <w:color w:val="000000" w:themeColor="text1"/>
                <w:sz w:val="21"/>
                <w:szCs w:val="21"/>
              </w:rPr>
            </w:pPr>
          </w:p>
        </w:tc>
        <w:tc>
          <w:tcPr>
            <w:tcW w:w="178" w:type="pct"/>
            <w:vMerge w:val="continue"/>
            <w:vAlign w:val="center"/>
          </w:tcPr>
          <w:p w14:paraId="745DF9BB">
            <w:pPr>
              <w:pStyle w:val="53"/>
              <w:rPr>
                <w:rFonts w:hint="eastAsia" w:ascii="仿宋" w:hAnsi="仿宋" w:eastAsia="仿宋" w:cs="仿宋"/>
                <w:color w:val="000000" w:themeColor="text1"/>
                <w:sz w:val="21"/>
                <w:szCs w:val="21"/>
              </w:rPr>
            </w:pPr>
          </w:p>
        </w:tc>
        <w:tc>
          <w:tcPr>
            <w:tcW w:w="182" w:type="pct"/>
            <w:vAlign w:val="center"/>
          </w:tcPr>
          <w:p w14:paraId="25ED34ED">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高排放区</w:t>
            </w:r>
          </w:p>
        </w:tc>
        <w:tc>
          <w:tcPr>
            <w:tcW w:w="550" w:type="pct"/>
            <w:vAlign w:val="center"/>
          </w:tcPr>
          <w:p w14:paraId="5FFCF57B">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环境空气二类功能区中的工业集聚区域</w:t>
            </w:r>
          </w:p>
        </w:tc>
        <w:tc>
          <w:tcPr>
            <w:tcW w:w="2345" w:type="pct"/>
            <w:vAlign w:val="center"/>
          </w:tcPr>
          <w:p w14:paraId="3A15264B">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1.严格落实大气污染物达标排放、环境影响评价、总量控制、环保设施“三同时”、在线监测、排污许可等环保制度。</w:t>
            </w:r>
          </w:p>
          <w:p w14:paraId="54944DCF">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2.加强重污染天气应急响应，修订完善并持续更新重污染天气应急预案，细化应急减排措施，实施应急减排清单化管理。督促工业企业按照“一厂一案”要求，配套制定具体的应急响应操作方案。</w:t>
            </w:r>
          </w:p>
          <w:p w14:paraId="3A5956C3">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加强新建、扩建钢铁、水泥、平板玻璃、电解铝等高耗能高排放行业项目准入管理，严格落实污染物排放区域削减要求和减量替代办法，依法依规淘汰落后产能和化解过剩产能。以工业涂装、石化、化工、包装印刷、油品储运销等行业为重点，实施企业 VOCs 原料替代、排放全过程控制。按照“分业施策、一行一策”的原则，加大低 VOCs 含量原辅材料的推广使用力度，从源头减少 VOCs 产生。</w:t>
            </w:r>
          </w:p>
          <w:p w14:paraId="64795CF8">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在化工、印染、包装印刷、涂装、家具制造等行业逐步推进低挥发性有机物含量原料和产品的使用。钢铁、水泥、有色金属、石油、化工等行业中的大气重污染工业项目应当按照国家和省有关规定开展强制性清洁生产审核，实施清洁生产技术改造。</w:t>
            </w:r>
          </w:p>
        </w:tc>
        <w:tc>
          <w:tcPr>
            <w:tcW w:w="1562" w:type="pct"/>
            <w:vAlign w:val="center"/>
          </w:tcPr>
          <w:p w14:paraId="3D6B1EA3">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1、入园企业要求根据相关管理条例要求办理环境影响评价、环保设施“三同时”、排污许可等管理手续，污染物落实总量控制、污染物达标排放，重点污染源企业根据要求落实在线监测要求。</w:t>
            </w:r>
          </w:p>
          <w:p w14:paraId="4BC807FC">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大气污染防治特护期园区加强涉气工业企业环境监管，加强“散乱污”企业整治，加强环境监测，积极应对重污染天气，统一应急减排措施，园区编制应急减排项目清单，制定合理的工业源减排措施，园区重点污染源企业制订重污染天气减排“一厂一策”实施方案。</w:t>
            </w:r>
          </w:p>
          <w:p w14:paraId="3D3C906F">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严格环境准入，实施环评总量前置，新、改、扩建项目二氧化硫、氮氧化物污染物须实行倍量削减替代。园区严格限制、包装印刷、工业涂装、家具制造等高VOCs排放建设项目。实行区域内VOCs排放等量或倍量削减替代。</w:t>
            </w:r>
          </w:p>
          <w:p w14:paraId="1580B8BE">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4、园区内的包装印刷、涂装、家具制造等行业逐步推进低挥发性有机物含量原料和产品的使用。</w:t>
            </w:r>
          </w:p>
        </w:tc>
      </w:tr>
      <w:tr w14:paraId="1AEF970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continue"/>
            <w:vAlign w:val="center"/>
          </w:tcPr>
          <w:p w14:paraId="017C9C04">
            <w:pPr>
              <w:pStyle w:val="53"/>
              <w:rPr>
                <w:rFonts w:hint="eastAsia" w:ascii="仿宋" w:hAnsi="仿宋" w:eastAsia="仿宋" w:cs="仿宋"/>
                <w:color w:val="000000" w:themeColor="text1"/>
                <w:sz w:val="21"/>
                <w:szCs w:val="21"/>
              </w:rPr>
            </w:pPr>
          </w:p>
        </w:tc>
        <w:tc>
          <w:tcPr>
            <w:tcW w:w="360" w:type="pct"/>
            <w:gridSpan w:val="2"/>
            <w:vAlign w:val="center"/>
          </w:tcPr>
          <w:p w14:paraId="3E4A8793">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水环境重点管控区</w:t>
            </w:r>
          </w:p>
        </w:tc>
        <w:tc>
          <w:tcPr>
            <w:tcW w:w="550" w:type="pct"/>
            <w:vAlign w:val="center"/>
          </w:tcPr>
          <w:p w14:paraId="61FC40DA">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省级以上产业园区所属水环境控制区域</w:t>
            </w:r>
          </w:p>
        </w:tc>
        <w:tc>
          <w:tcPr>
            <w:tcW w:w="2345" w:type="pct"/>
            <w:vAlign w:val="center"/>
          </w:tcPr>
          <w:p w14:paraId="7F0F3945">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排放工业废水的企业应当采取有效措施，收集和处理产生的全部废水，防止污染环境。含有毒有害水污染物的工业废水应当分类收集和处理，不得稀释排放。向污水集中处理设施排放工业废水的，应当按照国家有关规定进行预处理，达到集中处理设施处理工艺要求后方可排放。</w:t>
            </w:r>
          </w:p>
          <w:p w14:paraId="5F9240D2">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建设项目所在水环境控制单元或断面总磷超标的，实施总磷排放量2倍或以上削减替代。所在水环境控制单元或断面总磷达标的，实施总磷排放量等量或以上削减替代。替代量应来源于项目同一水环境控制单元或断面上游拟实施关停、升级改造的工业企业，不得来源于农业源、城镇污水处理厂或已列入流域环境质量改善计划的工业企业。相应的减排措施应确保在项目投产前完成。</w:t>
            </w:r>
          </w:p>
          <w:p w14:paraId="20AA865E">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3、建立健全湘江流域重点水污染物排放总量控制、排污许可、水污染物排放监测和水环境质量监测等水环境保护制度。</w:t>
            </w:r>
          </w:p>
          <w:p w14:paraId="60BF3193">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4、制定造纸、焦化、氮肥、有色金属、印染、农副食品加工、原料药制造、制革、农药、电镀等行业专项治理方案，实施清洁化改造，新建、改建、扩建上述行业建设项目实行主要污染物排放等量或减量置换。</w:t>
            </w:r>
          </w:p>
        </w:tc>
        <w:tc>
          <w:tcPr>
            <w:tcW w:w="1562" w:type="pct"/>
            <w:vAlign w:val="center"/>
          </w:tcPr>
          <w:p w14:paraId="14370DB9">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湘潭县第一污水处理厂处理出水达到《城镇污水处理厂污染物排放标准》（GB18918-2002）中一级标准A标准后排入湘江；湘潭县第二污水处理厂出水主要指标达到《湖南省城镇污水处理厂主要水污染物排放标准》二级标准，其他指标达到《城镇污水处理厂污染物排放标准》（GB18918-2002）中一级标准A标准，再经人工湿地深度处理后溢流进入京竹渠，最终进入涓水；吴家巷工业园建设一个污水处理站，5家涉重金属废水经污水处理站处理后达到《铅、锌工业污染物排放标准》（GB25466-2010）表3标准后通过专用管道输送至康大工贸循环利用，不外排。</w:t>
            </w:r>
          </w:p>
          <w:p w14:paraId="5E476336">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2、根据现状监测和收集监测数据可知，总磷等满足《地表水环境质量标准》（GB3838-2002）Ⅲ类水质标准。</w:t>
            </w:r>
          </w:p>
          <w:p w14:paraId="1543655A">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3、园区建立健全重点水污染物排放总量控制、排污许可、水污染物排放监测和水环境质量监测等水环境保护制度。</w:t>
            </w:r>
          </w:p>
          <w:p w14:paraId="59A320B3">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4、园区内的农副食品加工、有色金属行业实施专项治理方案，实施清洁化改造。</w:t>
            </w:r>
          </w:p>
        </w:tc>
      </w:tr>
      <w:tr w14:paraId="3C83B84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continue"/>
            <w:vAlign w:val="center"/>
          </w:tcPr>
          <w:p w14:paraId="127FAAEA">
            <w:pPr>
              <w:pStyle w:val="53"/>
              <w:rPr>
                <w:rFonts w:hint="eastAsia" w:ascii="仿宋" w:hAnsi="仿宋" w:eastAsia="仿宋" w:cs="仿宋"/>
                <w:color w:val="000000" w:themeColor="text1"/>
                <w:sz w:val="21"/>
                <w:szCs w:val="21"/>
              </w:rPr>
            </w:pPr>
          </w:p>
        </w:tc>
        <w:tc>
          <w:tcPr>
            <w:tcW w:w="360" w:type="pct"/>
            <w:gridSpan w:val="2"/>
            <w:vAlign w:val="center"/>
          </w:tcPr>
          <w:p w14:paraId="496F55A1">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土壤环境风险重点管控区</w:t>
            </w:r>
          </w:p>
        </w:tc>
        <w:tc>
          <w:tcPr>
            <w:tcW w:w="550" w:type="pct"/>
            <w:vAlign w:val="center"/>
          </w:tcPr>
          <w:p w14:paraId="79EA8463">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建设用地污染风险重点管控区，含重金属污染防治重点区域及疑似污染地块</w:t>
            </w:r>
          </w:p>
        </w:tc>
        <w:tc>
          <w:tcPr>
            <w:tcW w:w="2345" w:type="pct"/>
            <w:vAlign w:val="center"/>
          </w:tcPr>
          <w:p w14:paraId="6B086BB1">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1、严格执行相关行业企业布局选址要求，禁止在居民区和学校、医院、疗养院、养老院等单位周边新建、改建、扩建可能造成土壤污染的建设项目。</w:t>
            </w:r>
          </w:p>
          <w:p w14:paraId="353D41E0">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2、建立建设用地土壤污染风险管控和修复名录，列入名录且未完成治理修复的地块不得作为住宅、公共管理与公共服务用地。</w:t>
            </w:r>
          </w:p>
          <w:p w14:paraId="3B7E8F5F">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3、未达到土壤污染风险评估报告确定的风险管控、修复目标的建设用地地块，禁止开工建设任何与风险管控、修复无关的项目。</w:t>
            </w:r>
          </w:p>
          <w:p w14:paraId="7FB48964">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加强涉重金属行业污染防控。严格执行重金属污染物排放标准并落实相关总量控制指标，加大监督检查力度，对整改后仍不达标的企业，依法责令其停业、关闭，并将企业名单向社会公开。继续淘汰涉重金属重点行业落后产能，完善重金属相关行业准入条件，禁止新建落后产能或产能严重过剩行业的建设项目。</w:t>
            </w:r>
          </w:p>
          <w:p w14:paraId="6E9EE492">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5、新、改、扩建涉重金属重点行业建设项目必须遵循重点重金属污染物排放“减量置换”或“等量替换”的原则，应在省内有明确具体的重金属污染物排放总量来源。</w:t>
            </w:r>
          </w:p>
          <w:p w14:paraId="171A2CFC">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6、针对重金属污染防治重点区域，实施“目标导向”的重点区域分类管理。深化“一区一策”、分区指导原则，实施差异化目标管理，深入推进区域环境综合整治。</w:t>
            </w:r>
          </w:p>
        </w:tc>
        <w:tc>
          <w:tcPr>
            <w:tcW w:w="1562" w:type="pct"/>
            <w:vAlign w:val="center"/>
          </w:tcPr>
          <w:p w14:paraId="384A41BE">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1、入园企业严格执行行业企业布局选址要求，禁止在居民区和学校等单位周边新建、改建、扩建可能造成土壤污染的建设项目。</w:t>
            </w:r>
          </w:p>
          <w:p w14:paraId="52C671E5">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园区建立建设用地土壤污染风险管控和修复名录，列入名录且未完成治理修复的地块不得作为住宅、公共管理与公共服务用地。未达到土壤污染风险评估报告确定的风险管控、修复目标的建设用地地块，禁止开工建设任何与风险管控、修复无关的项目。</w:t>
            </w:r>
          </w:p>
          <w:p w14:paraId="3F11F311">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园区加强涉及重金属排放企业的污染防控，严格执行重金属污染物排放标准落实相关总量控制指标，加大监督检查力度，对整改后仍不达标的企业，依法责令其停业、关闭，并将企业名单向社会公开。继续淘汰涉重金属重点行业落后产能，完善重金属相关行业准入条件，禁止新建落后产能或产能严重过剩行业的建设项目。</w:t>
            </w:r>
          </w:p>
          <w:p w14:paraId="599FDB5B">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5、园区新、改、扩建涉重金属重点行业建设项目必须遵循重点重金属污染物排放“减量置换”或“等量替换”的原则，应在省内有明确具体的重金属污染物排放总量来源。</w:t>
            </w:r>
          </w:p>
        </w:tc>
      </w:tr>
      <w:tr w14:paraId="02B4C74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continue"/>
            <w:vAlign w:val="center"/>
          </w:tcPr>
          <w:p w14:paraId="675E50AA">
            <w:pPr>
              <w:pStyle w:val="53"/>
              <w:rPr>
                <w:rFonts w:hint="eastAsia" w:ascii="仿宋" w:hAnsi="仿宋" w:eastAsia="仿宋" w:cs="仿宋"/>
                <w:color w:val="000000" w:themeColor="text1"/>
                <w:sz w:val="21"/>
                <w:szCs w:val="21"/>
              </w:rPr>
            </w:pPr>
          </w:p>
        </w:tc>
        <w:tc>
          <w:tcPr>
            <w:tcW w:w="360" w:type="pct"/>
            <w:gridSpan w:val="2"/>
            <w:vAlign w:val="center"/>
          </w:tcPr>
          <w:p w14:paraId="187A30FF">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能源利用重点管控区</w:t>
            </w:r>
          </w:p>
        </w:tc>
        <w:tc>
          <w:tcPr>
            <w:tcW w:w="550" w:type="pct"/>
            <w:vAlign w:val="center"/>
          </w:tcPr>
          <w:p w14:paraId="2AEFE248">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各城市建成区划定的高污染燃料禁燃区</w:t>
            </w:r>
          </w:p>
        </w:tc>
        <w:tc>
          <w:tcPr>
            <w:tcW w:w="2345" w:type="pct"/>
            <w:vAlign w:val="center"/>
          </w:tcPr>
          <w:p w14:paraId="67C4725C">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1、在禁燃区内，禁止销售、燃用高污染燃料；禁止新建、扩建燃用高污染燃料的设施，已建成的，应当在城市人民政府规定的期限内改用天然气、页岩气、液化石油气、电或者其他清洁能源。</w:t>
            </w:r>
          </w:p>
          <w:p w14:paraId="6E6C1D73">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2.强化禁燃区管控，推进散煤替代。优化调整高污染禁燃区范围，严厉查处禁燃区内煤炭燃用行为。</w:t>
            </w:r>
          </w:p>
        </w:tc>
        <w:tc>
          <w:tcPr>
            <w:tcW w:w="1562" w:type="pct"/>
            <w:vAlign w:val="center"/>
          </w:tcPr>
          <w:p w14:paraId="31B62D3F">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园区目前已淘汰燃煤锅炉，使用天然气、生物质等清洁能源。</w:t>
            </w:r>
          </w:p>
        </w:tc>
      </w:tr>
    </w:tbl>
    <w:p w14:paraId="5C793834">
      <w:pPr>
        <w:pStyle w:val="2"/>
      </w:pPr>
      <w:bookmarkStart w:id="30" w:name="_Toc221"/>
    </w:p>
    <w:p w14:paraId="28DF1958">
      <w:pPr>
        <w:pStyle w:val="21"/>
        <w:snapToGrid w:val="0"/>
        <w:spacing w:after="0" w:line="360" w:lineRule="auto"/>
        <w:ind w:left="0" w:leftChars="0" w:firstLine="643"/>
        <w:outlineLvl w:val="1"/>
        <w:rPr>
          <w:rFonts w:ascii="Times New Roman" w:hAnsi="Times New Roman" w:eastAsia="仿宋"/>
          <w:b/>
          <w:bCs/>
          <w:szCs w:val="32"/>
        </w:rPr>
      </w:pPr>
      <w:bookmarkStart w:id="31" w:name="_Toc19000"/>
      <w:r>
        <w:rPr>
          <w:rFonts w:ascii="Times New Roman" w:hAnsi="Times New Roman" w:eastAsia="仿宋"/>
          <w:b/>
          <w:bCs/>
          <w:szCs w:val="32"/>
        </w:rPr>
        <w:t>（三）水环境管理</w:t>
      </w:r>
      <w:bookmarkEnd w:id="30"/>
      <w:bookmarkEnd w:id="31"/>
    </w:p>
    <w:p w14:paraId="4B653C57">
      <w:pPr>
        <w:pStyle w:val="21"/>
        <w:spacing w:after="0" w:line="360" w:lineRule="auto"/>
        <w:ind w:left="0" w:leftChars="0" w:firstLine="643"/>
        <w:rPr>
          <w:rFonts w:ascii="Times New Roman" w:hAnsi="Times New Roman" w:eastAsia="仿宋"/>
          <w:b/>
          <w:bCs/>
          <w:szCs w:val="32"/>
        </w:rPr>
      </w:pPr>
      <w:r>
        <w:rPr>
          <w:rFonts w:ascii="Times New Roman" w:hAnsi="Times New Roman" w:eastAsia="仿宋"/>
          <w:b/>
          <w:bCs/>
          <w:szCs w:val="32"/>
        </w:rPr>
        <w:t>1、污水处理设施建设情况</w:t>
      </w:r>
    </w:p>
    <w:p w14:paraId="22B6DE39">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园区</w:t>
      </w:r>
      <w:r>
        <w:rPr>
          <w:rFonts w:hint="eastAsia" w:ascii="Times New Roman" w:hAnsi="Times New Roman" w:eastAsia="仿宋"/>
          <w:szCs w:val="32"/>
        </w:rPr>
        <w:t>依托城镇污水处理厂2</w:t>
      </w:r>
      <w:r>
        <w:rPr>
          <w:rFonts w:ascii="Times New Roman" w:hAnsi="Times New Roman" w:eastAsia="仿宋"/>
          <w:szCs w:val="32"/>
        </w:rPr>
        <w:t>个，园区污水管网覆盖率为100%，</w:t>
      </w:r>
      <w:r>
        <w:rPr>
          <w:rFonts w:hint="eastAsia" w:ascii="Times New Roman" w:hAnsi="Times New Roman" w:eastAsia="仿宋"/>
          <w:szCs w:val="32"/>
        </w:rPr>
        <w:t>依托的城镇污水处理厂</w:t>
      </w:r>
      <w:r>
        <w:rPr>
          <w:rFonts w:ascii="Times New Roman" w:hAnsi="Times New Roman" w:eastAsia="仿宋"/>
          <w:szCs w:val="32"/>
        </w:rPr>
        <w:t>名称为湘潭县顺业污水处理厂（湘潭县第一污水处理厂）、湘潭县北控</w:t>
      </w:r>
      <w:r>
        <w:rPr>
          <w:rFonts w:hint="eastAsia" w:ascii="Times New Roman" w:hAnsi="Times New Roman" w:eastAsia="仿宋"/>
          <w:szCs w:val="32"/>
        </w:rPr>
        <w:t>天意</w:t>
      </w:r>
      <w:r>
        <w:rPr>
          <w:rFonts w:ascii="Times New Roman" w:hAnsi="Times New Roman" w:eastAsia="仿宋"/>
          <w:szCs w:val="32"/>
        </w:rPr>
        <w:t>水质净化有限公司（湘潭县第二污水处理厂）</w:t>
      </w:r>
      <w:r>
        <w:rPr>
          <w:rFonts w:hint="eastAsia" w:ascii="Times New Roman" w:hAnsi="Times New Roman" w:eastAsia="仿宋"/>
          <w:szCs w:val="32"/>
        </w:rPr>
        <w:t>，另园区建设吴家巷工业园污水处理站</w:t>
      </w:r>
      <w:r>
        <w:rPr>
          <w:rFonts w:ascii="Times New Roman" w:hAnsi="Times New Roman" w:eastAsia="仿宋"/>
          <w:szCs w:val="32"/>
        </w:rPr>
        <w:t>。</w:t>
      </w:r>
    </w:p>
    <w:p w14:paraId="271F8AF0">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（1）湘潭县顺业污水处理厂总设计规模为日处理污水5万</w:t>
      </w:r>
      <w:r>
        <w:rPr>
          <w:rFonts w:hint="eastAsia" w:ascii="Times New Roman" w:hAnsi="Times New Roman" w:eastAsia="仿宋"/>
          <w:szCs w:val="32"/>
        </w:rPr>
        <w:t>m</w:t>
      </w:r>
      <w:r>
        <w:rPr>
          <w:rFonts w:hint="eastAsia" w:ascii="Times New Roman" w:hAnsi="Times New Roman" w:eastAsia="仿宋"/>
          <w:szCs w:val="32"/>
          <w:vertAlign w:val="superscript"/>
        </w:rPr>
        <w:t>3</w:t>
      </w:r>
      <w:r>
        <w:rPr>
          <w:rFonts w:ascii="Times New Roman" w:hAnsi="Times New Roman" w:eastAsia="仿宋"/>
          <w:szCs w:val="32"/>
        </w:rPr>
        <w:t>，分两期建设，一期采用改良型卡努赛尔2000型氧化沟污水处理工艺；二期采用微曝氧化沟的处理工艺。一期工程于2009年10月通过市环保局组织的环保竣工验收；二期工程于2013年6月动工建设，并于2014年1月23日开始试运行，7月6日组织进行竣工验收，8月15日通过环保验收，12月1日进入正式运营。实际日处理水量</w:t>
      </w:r>
      <w:r>
        <w:rPr>
          <w:rFonts w:hint="eastAsia" w:ascii="Times New Roman" w:hAnsi="Times New Roman" w:eastAsia="仿宋"/>
          <w:szCs w:val="32"/>
        </w:rPr>
        <w:t>5.35</w:t>
      </w:r>
      <w:r>
        <w:rPr>
          <w:rFonts w:ascii="Times New Roman" w:hAnsi="Times New Roman" w:eastAsia="仿宋"/>
          <w:szCs w:val="32"/>
        </w:rPr>
        <w:t>万</w:t>
      </w:r>
      <w:r>
        <w:rPr>
          <w:rFonts w:hint="eastAsia" w:ascii="Times New Roman" w:hAnsi="Times New Roman" w:eastAsia="仿宋"/>
          <w:szCs w:val="32"/>
        </w:rPr>
        <w:t>m</w:t>
      </w:r>
      <w:r>
        <w:rPr>
          <w:rFonts w:hint="eastAsia" w:ascii="Times New Roman" w:hAnsi="Times New Roman" w:eastAsia="仿宋"/>
          <w:szCs w:val="32"/>
          <w:vertAlign w:val="superscript"/>
        </w:rPr>
        <w:t>3</w:t>
      </w:r>
      <w:r>
        <w:rPr>
          <w:rFonts w:ascii="Times New Roman" w:hAnsi="Times New Roman" w:eastAsia="仿宋"/>
          <w:szCs w:val="32"/>
        </w:rPr>
        <w:t>/d，负荷率</w:t>
      </w:r>
      <w:r>
        <w:rPr>
          <w:rFonts w:hint="eastAsia" w:ascii="Times New Roman" w:hAnsi="Times New Roman" w:eastAsia="仿宋"/>
          <w:szCs w:val="32"/>
        </w:rPr>
        <w:t>107</w:t>
      </w:r>
      <w:r>
        <w:rPr>
          <w:rFonts w:ascii="Times New Roman" w:hAnsi="Times New Roman" w:eastAsia="仿宋"/>
          <w:szCs w:val="32"/>
        </w:rPr>
        <w:t>%。在线监测达标率100%，园区范围内雨水管网覆盖率100%。</w:t>
      </w:r>
    </w:p>
    <w:p w14:paraId="25F2ED07">
      <w:pPr>
        <w:pStyle w:val="21"/>
        <w:spacing w:after="0" w:line="360" w:lineRule="auto"/>
        <w:ind w:left="0" w:leftChars="0" w:firstLine="640"/>
        <w:rPr>
          <w:rFonts w:ascii="Times New Roman" w:hAnsi="Times New Roman" w:eastAsia="仿宋"/>
          <w:szCs w:val="32"/>
          <w:highlight w:val="yellow"/>
        </w:rPr>
      </w:pPr>
      <w:r>
        <w:rPr>
          <w:rFonts w:ascii="Times New Roman" w:hAnsi="Times New Roman" w:eastAsia="仿宋"/>
          <w:szCs w:val="32"/>
        </w:rPr>
        <w:t>（2）湘潭县北控</w:t>
      </w:r>
      <w:r>
        <w:rPr>
          <w:rFonts w:hint="eastAsia" w:ascii="Times New Roman" w:hAnsi="Times New Roman" w:eastAsia="仿宋"/>
          <w:szCs w:val="32"/>
        </w:rPr>
        <w:t>天意</w:t>
      </w:r>
      <w:r>
        <w:rPr>
          <w:rFonts w:ascii="Times New Roman" w:hAnsi="Times New Roman" w:eastAsia="仿宋"/>
          <w:szCs w:val="32"/>
        </w:rPr>
        <w:t>水质净化有限公司（湘潭县第二污水处理厂）总设计规模为5.0万</w:t>
      </w:r>
      <w:r>
        <w:rPr>
          <w:rFonts w:hint="eastAsia" w:ascii="Times New Roman" w:hAnsi="Times New Roman" w:eastAsia="仿宋"/>
          <w:szCs w:val="32"/>
        </w:rPr>
        <w:t>m</w:t>
      </w:r>
      <w:r>
        <w:rPr>
          <w:rFonts w:hint="eastAsia" w:ascii="Times New Roman" w:hAnsi="Times New Roman" w:eastAsia="仿宋"/>
          <w:szCs w:val="32"/>
          <w:vertAlign w:val="superscript"/>
        </w:rPr>
        <w:t>3</w:t>
      </w:r>
      <w:r>
        <w:rPr>
          <w:rFonts w:ascii="Times New Roman" w:hAnsi="Times New Roman" w:eastAsia="仿宋"/>
          <w:szCs w:val="32"/>
        </w:rPr>
        <w:t>/d，分两期建设，一期工程设计规模为2.5万</w:t>
      </w:r>
      <w:r>
        <w:rPr>
          <w:rFonts w:hint="eastAsia" w:ascii="Times New Roman" w:hAnsi="Times New Roman" w:eastAsia="仿宋"/>
          <w:szCs w:val="32"/>
        </w:rPr>
        <w:t>m</w:t>
      </w:r>
      <w:r>
        <w:rPr>
          <w:rFonts w:hint="eastAsia" w:ascii="Times New Roman" w:hAnsi="Times New Roman" w:eastAsia="仿宋"/>
          <w:szCs w:val="32"/>
          <w:vertAlign w:val="superscript"/>
        </w:rPr>
        <w:t>3</w:t>
      </w:r>
      <w:r>
        <w:rPr>
          <w:rFonts w:ascii="Times New Roman" w:hAnsi="Times New Roman" w:eastAsia="仿宋"/>
          <w:szCs w:val="32"/>
        </w:rPr>
        <w:t>/d，远期新增设计规模为2.5万</w:t>
      </w:r>
      <w:r>
        <w:rPr>
          <w:rFonts w:hint="eastAsia" w:ascii="Times New Roman" w:hAnsi="Times New Roman" w:eastAsia="仿宋"/>
          <w:szCs w:val="32"/>
        </w:rPr>
        <w:t>m</w:t>
      </w:r>
      <w:r>
        <w:rPr>
          <w:rFonts w:hint="eastAsia" w:ascii="Times New Roman" w:hAnsi="Times New Roman" w:eastAsia="仿宋"/>
          <w:szCs w:val="32"/>
          <w:vertAlign w:val="superscript"/>
        </w:rPr>
        <w:t>3</w:t>
      </w:r>
      <w:r>
        <w:rPr>
          <w:rFonts w:ascii="Times New Roman" w:hAnsi="Times New Roman" w:eastAsia="仿宋"/>
          <w:szCs w:val="32"/>
        </w:rPr>
        <w:t>/d。2019年1-10月份，日均处理水量0.8943万</w:t>
      </w:r>
      <w:r>
        <w:rPr>
          <w:rFonts w:hint="eastAsia" w:ascii="Times New Roman" w:hAnsi="Times New Roman" w:eastAsia="仿宋"/>
          <w:szCs w:val="32"/>
        </w:rPr>
        <w:t>m</w:t>
      </w:r>
      <w:r>
        <w:rPr>
          <w:rFonts w:hint="eastAsia" w:ascii="Times New Roman" w:hAnsi="Times New Roman" w:eastAsia="仿宋"/>
          <w:szCs w:val="32"/>
          <w:vertAlign w:val="superscript"/>
        </w:rPr>
        <w:t>3</w:t>
      </w:r>
      <w:r>
        <w:rPr>
          <w:rFonts w:ascii="Times New Roman" w:hAnsi="Times New Roman" w:eastAsia="仿宋"/>
          <w:szCs w:val="32"/>
        </w:rPr>
        <w:t>，湘潭一污至二污调水工程6月份投入试运行，经过了设备调试等，11月2日开始24小时投入运行，日调水量约1.4万</w:t>
      </w:r>
      <w:r>
        <w:rPr>
          <w:rFonts w:hint="eastAsia" w:ascii="Times New Roman" w:hAnsi="Times New Roman" w:eastAsia="仿宋"/>
          <w:szCs w:val="32"/>
        </w:rPr>
        <w:t>m</w:t>
      </w:r>
      <w:r>
        <w:rPr>
          <w:rFonts w:hint="eastAsia" w:ascii="Times New Roman" w:hAnsi="Times New Roman" w:eastAsia="仿宋"/>
          <w:szCs w:val="32"/>
          <w:vertAlign w:val="superscript"/>
        </w:rPr>
        <w:t>3</w:t>
      </w:r>
      <w:r>
        <w:rPr>
          <w:rFonts w:ascii="Times New Roman" w:hAnsi="Times New Roman" w:eastAsia="仿宋"/>
          <w:szCs w:val="32"/>
        </w:rPr>
        <w:t>/日，实际日处理水量合计</w:t>
      </w:r>
      <w:r>
        <w:rPr>
          <w:rFonts w:hint="eastAsia" w:ascii="Times New Roman" w:hAnsi="Times New Roman" w:eastAsia="仿宋"/>
          <w:szCs w:val="32"/>
        </w:rPr>
        <w:t>1.995</w:t>
      </w:r>
      <w:r>
        <w:rPr>
          <w:rFonts w:ascii="Times New Roman" w:hAnsi="Times New Roman" w:eastAsia="仿宋"/>
          <w:szCs w:val="32"/>
        </w:rPr>
        <w:t>万</w:t>
      </w:r>
      <w:r>
        <w:rPr>
          <w:rFonts w:hint="eastAsia" w:ascii="Times New Roman" w:hAnsi="Times New Roman" w:eastAsia="仿宋"/>
          <w:szCs w:val="32"/>
        </w:rPr>
        <w:t>m</w:t>
      </w:r>
      <w:r>
        <w:rPr>
          <w:rFonts w:hint="eastAsia" w:ascii="Times New Roman" w:hAnsi="Times New Roman" w:eastAsia="仿宋"/>
          <w:szCs w:val="32"/>
          <w:vertAlign w:val="superscript"/>
        </w:rPr>
        <w:t>3</w:t>
      </w:r>
      <w:r>
        <w:rPr>
          <w:rFonts w:ascii="Times New Roman" w:hAnsi="Times New Roman" w:eastAsia="仿宋"/>
          <w:szCs w:val="32"/>
        </w:rPr>
        <w:t>/d，负荷率</w:t>
      </w:r>
      <w:r>
        <w:rPr>
          <w:rFonts w:hint="eastAsia" w:ascii="Times New Roman" w:hAnsi="Times New Roman" w:eastAsia="仿宋"/>
          <w:szCs w:val="32"/>
        </w:rPr>
        <w:t>79.8</w:t>
      </w:r>
      <w:r>
        <w:rPr>
          <w:rFonts w:ascii="Times New Roman" w:hAnsi="Times New Roman" w:eastAsia="仿宋"/>
          <w:szCs w:val="32"/>
        </w:rPr>
        <w:t>%。</w:t>
      </w:r>
    </w:p>
    <w:p w14:paraId="5C6890D4">
      <w:pPr>
        <w:spacing w:line="360" w:lineRule="auto"/>
        <w:ind w:firstLine="555"/>
        <w:rPr>
          <w:rFonts w:ascii="Times New Roman" w:hAnsi="Times New Roman" w:eastAsia="仿宋" w:cs="Times New Roman"/>
          <w:sz w:val="32"/>
          <w:szCs w:val="32"/>
        </w:rPr>
      </w:pPr>
      <w:r>
        <w:rPr>
          <w:rFonts w:ascii="Times New Roman" w:hAnsi="Times New Roman" w:eastAsia="仿宋" w:cs="Times New Roman"/>
          <w:sz w:val="32"/>
          <w:szCs w:val="32"/>
        </w:rPr>
        <w:t>一期、二期工程生化处理采用A/A/O工艺，深度处理采用高效沉淀池+反硝化滤池工艺，处理后出水采用紫外线消毒后，排入人工湿地，通过植被的吸引，实现进一步净化，经京竹闸排入涓水。污泥处理采用板框压滤，经脱水至60%后外运作进一步处置。2019年6月1日，一污至二污调水工程投入使用，7月12日湘潭县北控</w:t>
      </w:r>
      <w:r>
        <w:rPr>
          <w:rFonts w:hint="eastAsia" w:ascii="Times New Roman" w:hAnsi="Times New Roman" w:eastAsia="仿宋" w:cs="Times New Roman"/>
          <w:sz w:val="32"/>
          <w:szCs w:val="32"/>
        </w:rPr>
        <w:t>天意</w:t>
      </w:r>
      <w:r>
        <w:rPr>
          <w:rFonts w:ascii="Times New Roman" w:hAnsi="Times New Roman" w:eastAsia="仿宋" w:cs="Times New Roman"/>
          <w:sz w:val="32"/>
          <w:szCs w:val="32"/>
        </w:rPr>
        <w:t>水质净化有限公司一期工程通过了项目竣工环境保护“三同时”验收。在线监测达标率100%，园区雨水管网覆盖率100%。</w:t>
      </w:r>
    </w:p>
    <w:p w14:paraId="3AB90D23">
      <w:pPr>
        <w:pStyle w:val="21"/>
        <w:spacing w:after="0" w:line="360" w:lineRule="auto"/>
        <w:ind w:left="0" w:leftChars="0" w:firstLine="640"/>
        <w:rPr>
          <w:rFonts w:ascii="Times New Roman" w:hAnsi="Times New Roman" w:eastAsia="仿宋"/>
          <w:szCs w:val="32"/>
          <w:highlight w:val="yellow"/>
        </w:rPr>
      </w:pPr>
      <w:r>
        <w:rPr>
          <w:rFonts w:ascii="Times New Roman" w:hAnsi="Times New Roman" w:eastAsia="仿宋"/>
          <w:szCs w:val="32"/>
        </w:rPr>
        <w:t>（3）</w:t>
      </w:r>
      <w:r>
        <w:rPr>
          <w:rFonts w:hint="eastAsia" w:ascii="Times New Roman" w:hAnsi="Times New Roman" w:eastAsia="仿宋"/>
          <w:szCs w:val="32"/>
        </w:rPr>
        <w:t>吴家巷工业园污水处理站</w:t>
      </w:r>
      <w:r>
        <w:rPr>
          <w:rFonts w:ascii="Times New Roman" w:hAnsi="Times New Roman" w:eastAsia="仿宋"/>
          <w:szCs w:val="32"/>
        </w:rPr>
        <w:t>主要处理湘潭县吴家巷工业园中湘潭县宏发化工熟料助剂有限公司（</w:t>
      </w:r>
      <w:r>
        <w:rPr>
          <w:rFonts w:hint="eastAsia" w:ascii="Times New Roman" w:hAnsi="Times New Roman" w:eastAsia="仿宋"/>
          <w:szCs w:val="32"/>
        </w:rPr>
        <w:t>2024年停产</w:t>
      </w:r>
      <w:r>
        <w:rPr>
          <w:rFonts w:ascii="Times New Roman" w:hAnsi="Times New Roman" w:eastAsia="仿宋"/>
          <w:szCs w:val="32"/>
        </w:rPr>
        <w:t>）、湖南信诺颜料科技有限公司、湘潭县楚润碲业有限公司、湘潭县艾力特电化有限公司（</w:t>
      </w:r>
      <w:r>
        <w:rPr>
          <w:rFonts w:hint="eastAsia" w:ascii="Times New Roman" w:hAnsi="Times New Roman" w:eastAsia="仿宋"/>
          <w:szCs w:val="32"/>
        </w:rPr>
        <w:t>2024年停产</w:t>
      </w:r>
      <w:r>
        <w:rPr>
          <w:rFonts w:ascii="Times New Roman" w:hAnsi="Times New Roman" w:eastAsia="仿宋"/>
          <w:szCs w:val="32"/>
        </w:rPr>
        <w:t>）、湘潭县原四通化工有限公司等5家公司产生的涉重废水、废液。其中湖南信诺颜料科技有限公司、湘潭县楚润碲业有限公司等2家公司涉重废水为生产废水，湘潭县宏发化工熟料助剂有限公司（已更名为湘潭宏顺塑胶科技有限公司）、湘潭县艾力特电化有限公司涉重废水为初期雨水、湘潭县原四通化工有限公司废渣填埋场产生的渗滤液，前4家公司所产生的涉重废水均通过专用管道输送至</w:t>
      </w:r>
      <w:r>
        <w:rPr>
          <w:rFonts w:hint="eastAsia" w:ascii="Times New Roman" w:hAnsi="Times New Roman" w:eastAsia="仿宋"/>
          <w:szCs w:val="32"/>
        </w:rPr>
        <w:t>吴家巷工业园污水处理站</w:t>
      </w:r>
      <w:r>
        <w:rPr>
          <w:rFonts w:ascii="Times New Roman" w:hAnsi="Times New Roman" w:eastAsia="仿宋"/>
          <w:szCs w:val="32"/>
        </w:rPr>
        <w:t>处理，湘潭县原四通化工有限公司废渣填埋场产生的渗滤液通过罐车运送至</w:t>
      </w:r>
      <w:r>
        <w:rPr>
          <w:rFonts w:hint="eastAsia" w:ascii="Times New Roman" w:hAnsi="Times New Roman" w:eastAsia="仿宋"/>
          <w:szCs w:val="32"/>
        </w:rPr>
        <w:t>吴家巷工业园污水处理站</w:t>
      </w:r>
      <w:r>
        <w:rPr>
          <w:rFonts w:ascii="Times New Roman" w:hAnsi="Times New Roman" w:eastAsia="仿宋"/>
          <w:szCs w:val="32"/>
        </w:rPr>
        <w:t>处理。处理后的废水通过专用管道输送至湘潭县康大工贸有限公司作冲渣水循环用水，不外排。</w:t>
      </w:r>
      <w:r>
        <w:rPr>
          <w:rFonts w:hint="eastAsia" w:ascii="Times New Roman" w:hAnsi="Times New Roman" w:eastAsia="仿宋"/>
          <w:szCs w:val="32"/>
        </w:rPr>
        <w:t>吴家巷工业园污水处理站</w:t>
      </w:r>
      <w:r>
        <w:rPr>
          <w:rFonts w:ascii="Times New Roman" w:hAnsi="Times New Roman" w:eastAsia="仿宋"/>
          <w:szCs w:val="32"/>
        </w:rPr>
        <w:t>设计处理规模230m³/d，实际处理规模</w:t>
      </w:r>
      <w:r>
        <w:rPr>
          <w:rFonts w:hint="eastAsia" w:ascii="Times New Roman" w:hAnsi="Times New Roman" w:eastAsia="仿宋"/>
          <w:szCs w:val="32"/>
        </w:rPr>
        <w:t>35.62</w:t>
      </w:r>
      <w:r>
        <w:rPr>
          <w:rFonts w:ascii="Times New Roman" w:hAnsi="Times New Roman" w:eastAsia="仿宋"/>
          <w:szCs w:val="32"/>
        </w:rPr>
        <w:t>m³/d，污水处理工艺为絮凝沉淀+过滤工艺，在线监测达标率100%，园区雨水管网覆盖率100%。</w:t>
      </w:r>
    </w:p>
    <w:p w14:paraId="7F9CDAA3">
      <w:pPr>
        <w:pStyle w:val="21"/>
        <w:spacing w:after="0" w:line="360" w:lineRule="auto"/>
        <w:ind w:left="0" w:leftChars="0" w:firstLine="643"/>
        <w:rPr>
          <w:rFonts w:ascii="Times New Roman" w:hAnsi="Times New Roman" w:eastAsia="仿宋"/>
          <w:b/>
          <w:bCs/>
          <w:szCs w:val="32"/>
        </w:rPr>
      </w:pPr>
      <w:r>
        <w:rPr>
          <w:rFonts w:ascii="Times New Roman" w:hAnsi="Times New Roman" w:eastAsia="仿宋"/>
          <w:b/>
          <w:bCs/>
          <w:szCs w:val="32"/>
        </w:rPr>
        <w:t>2、园区工业废水污染物排放情况</w:t>
      </w:r>
    </w:p>
    <w:p w14:paraId="5F73116E">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园区内涉及工业废水外排企业数量</w:t>
      </w:r>
      <w:r>
        <w:rPr>
          <w:rFonts w:ascii="Times New Roman" w:hAnsi="Times New Roman" w:eastAsia="仿宋"/>
          <w:szCs w:val="32"/>
          <w:u w:val="single"/>
        </w:rPr>
        <w:t>2</w:t>
      </w:r>
      <w:r>
        <w:rPr>
          <w:rFonts w:hint="eastAsia" w:ascii="Times New Roman" w:hAnsi="Times New Roman" w:eastAsia="仿宋"/>
          <w:szCs w:val="32"/>
          <w:u w:val="single"/>
        </w:rPr>
        <w:t>5</w:t>
      </w:r>
      <w:r>
        <w:rPr>
          <w:rFonts w:ascii="Times New Roman" w:hAnsi="Times New Roman" w:eastAsia="仿宋"/>
          <w:szCs w:val="32"/>
        </w:rPr>
        <w:t>个，工业废水总排放量</w:t>
      </w:r>
      <w:r>
        <w:rPr>
          <w:rFonts w:hint="eastAsia" w:ascii="Times New Roman" w:hAnsi="Times New Roman" w:eastAsia="仿宋"/>
          <w:szCs w:val="32"/>
          <w:u w:val="single"/>
        </w:rPr>
        <w:t>3024.33</w:t>
      </w:r>
      <w:r>
        <w:rPr>
          <w:rFonts w:ascii="Times New Roman" w:hAnsi="Times New Roman" w:eastAsia="仿宋"/>
          <w:szCs w:val="32"/>
        </w:rPr>
        <w:t>m³/d，外排污水纳管企业数量</w:t>
      </w:r>
      <w:r>
        <w:rPr>
          <w:rFonts w:ascii="Times New Roman" w:hAnsi="Times New Roman" w:eastAsia="仿宋"/>
          <w:szCs w:val="32"/>
          <w:u w:val="single"/>
        </w:rPr>
        <w:t>2</w:t>
      </w:r>
      <w:r>
        <w:rPr>
          <w:rFonts w:hint="eastAsia" w:ascii="Times New Roman" w:hAnsi="Times New Roman" w:eastAsia="仿宋"/>
          <w:szCs w:val="32"/>
          <w:u w:val="single"/>
        </w:rPr>
        <w:t>5</w:t>
      </w:r>
      <w:r>
        <w:rPr>
          <w:rFonts w:ascii="Times New Roman" w:hAnsi="Times New Roman" w:eastAsia="仿宋"/>
          <w:szCs w:val="32"/>
        </w:rPr>
        <w:t>个，污水集中处理比例</w:t>
      </w:r>
      <w:r>
        <w:rPr>
          <w:rFonts w:ascii="Times New Roman" w:hAnsi="Times New Roman" w:eastAsia="仿宋"/>
          <w:szCs w:val="32"/>
          <w:u w:val="single"/>
        </w:rPr>
        <w:t>100%</w:t>
      </w:r>
      <w:r>
        <w:rPr>
          <w:rFonts w:ascii="Times New Roman" w:hAnsi="Times New Roman" w:eastAsia="仿宋"/>
          <w:szCs w:val="32"/>
        </w:rPr>
        <w:t>（按外排水量计）。</w:t>
      </w:r>
    </w:p>
    <w:p w14:paraId="497DBD07">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园区年度水污染物总排放量：化学需氧量</w:t>
      </w:r>
      <w:r>
        <w:rPr>
          <w:rFonts w:hint="eastAsia" w:ascii="Times New Roman" w:hAnsi="Times New Roman" w:eastAsia="仿宋"/>
          <w:szCs w:val="32"/>
          <w:u w:val="single"/>
        </w:rPr>
        <w:t>81.72</w:t>
      </w:r>
      <w:r>
        <w:rPr>
          <w:rFonts w:ascii="Times New Roman" w:hAnsi="Times New Roman" w:eastAsia="仿宋"/>
          <w:szCs w:val="32"/>
        </w:rPr>
        <w:t>t/a，氨氮</w:t>
      </w:r>
      <w:r>
        <w:rPr>
          <w:rFonts w:hint="eastAsia" w:ascii="Times New Roman" w:hAnsi="Times New Roman" w:eastAsia="仿宋"/>
          <w:szCs w:val="32"/>
          <w:u w:val="single"/>
        </w:rPr>
        <w:t>3.58</w:t>
      </w:r>
      <w:r>
        <w:rPr>
          <w:rFonts w:ascii="Times New Roman" w:hAnsi="Times New Roman" w:eastAsia="仿宋"/>
          <w:szCs w:val="32"/>
        </w:rPr>
        <w:t>t/a，其他因子（重金属等）</w:t>
      </w:r>
      <w:r>
        <w:rPr>
          <w:rFonts w:ascii="Times New Roman" w:hAnsi="Times New Roman" w:eastAsia="仿宋"/>
          <w:szCs w:val="32"/>
          <w:u w:val="single"/>
        </w:rPr>
        <w:t>/</w:t>
      </w:r>
      <w:r>
        <w:rPr>
          <w:rFonts w:ascii="Times New Roman" w:hAnsi="Times New Roman" w:eastAsia="仿宋"/>
          <w:szCs w:val="32"/>
        </w:rPr>
        <w:t xml:space="preserve"> t/a。</w:t>
      </w:r>
    </w:p>
    <w:p w14:paraId="6E7E6C92">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根据2014年《湖南湘潭天易经济开发区扩区与调整区位环境影响报告书》及批复，给出的化学需氧量总量控制指标为600t/a，氨氮总量控制指标为60t/a，园区水污染物排放总量满足总量控制指标要求。</w:t>
      </w:r>
    </w:p>
    <w:p w14:paraId="365D29CF">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重点企业在线监控设施具体情况见表4。</w:t>
      </w:r>
    </w:p>
    <w:p w14:paraId="42191D83">
      <w:pPr>
        <w:pStyle w:val="33"/>
        <w:snapToGrid/>
        <w:rPr>
          <w:rFonts w:eastAsia="仿宋" w:cs="Times New Roman"/>
        </w:rPr>
      </w:pPr>
      <w:r>
        <w:rPr>
          <w:rFonts w:eastAsia="仿宋" w:cs="Times New Roman"/>
        </w:rPr>
        <w:t>表4  废水污染源在线监控安装情况一览表</w:t>
      </w:r>
    </w:p>
    <w:tbl>
      <w:tblPr>
        <w:tblStyle w:val="22"/>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229"/>
        <w:gridCol w:w="1029"/>
        <w:gridCol w:w="567"/>
        <w:gridCol w:w="1273"/>
        <w:gridCol w:w="982"/>
        <w:gridCol w:w="1824"/>
        <w:gridCol w:w="1416"/>
        <w:gridCol w:w="1011"/>
      </w:tblGrid>
      <w:tr w14:paraId="68F605E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blHeader/>
        </w:trPr>
        <w:tc>
          <w:tcPr>
            <w:tcW w:w="137" w:type="pct"/>
            <w:tcBorders>
              <w:tl2br w:val="nil"/>
              <w:tr2bl w:val="nil"/>
            </w:tcBorders>
            <w:shd w:val="clear" w:color="auto" w:fill="auto"/>
            <w:tcMar>
              <w:top w:w="15" w:type="dxa"/>
              <w:left w:w="15" w:type="dxa"/>
              <w:right w:w="15" w:type="dxa"/>
            </w:tcMar>
            <w:vAlign w:val="center"/>
          </w:tcPr>
          <w:p w14:paraId="2B8C9EC1">
            <w:pPr>
              <w:pStyle w:val="29"/>
              <w:tabs>
                <w:tab w:val="left" w:pos="1315"/>
                <w:tab w:val="left" w:pos="2565"/>
              </w:tabs>
              <w:snapToGrid w:val="0"/>
              <w:rPr>
                <w:rFonts w:eastAsia="仿宋" w:cs="Times New Roman"/>
                <w:b/>
                <w:bCs/>
              </w:rPr>
            </w:pPr>
            <w:r>
              <w:rPr>
                <w:rFonts w:eastAsia="仿宋" w:cs="Times New Roman"/>
                <w:b/>
                <w:bCs/>
              </w:rPr>
              <w:t>序号</w:t>
            </w:r>
          </w:p>
        </w:tc>
        <w:tc>
          <w:tcPr>
            <w:tcW w:w="617" w:type="pct"/>
            <w:tcBorders>
              <w:tl2br w:val="nil"/>
              <w:tr2bl w:val="nil"/>
            </w:tcBorders>
            <w:shd w:val="clear" w:color="auto" w:fill="auto"/>
            <w:tcMar>
              <w:top w:w="15" w:type="dxa"/>
              <w:left w:w="15" w:type="dxa"/>
              <w:right w:w="15" w:type="dxa"/>
            </w:tcMar>
            <w:vAlign w:val="center"/>
          </w:tcPr>
          <w:p w14:paraId="705FC9C5">
            <w:pPr>
              <w:pStyle w:val="29"/>
              <w:tabs>
                <w:tab w:val="left" w:pos="1315"/>
                <w:tab w:val="left" w:pos="2565"/>
              </w:tabs>
              <w:snapToGrid w:val="0"/>
              <w:rPr>
                <w:rFonts w:eastAsia="仿宋" w:cs="Times New Roman"/>
                <w:b/>
                <w:bCs/>
              </w:rPr>
            </w:pPr>
            <w:r>
              <w:rPr>
                <w:rFonts w:eastAsia="仿宋" w:cs="Times New Roman"/>
                <w:b/>
                <w:bCs/>
              </w:rPr>
              <w:t>企业名称</w:t>
            </w:r>
          </w:p>
        </w:tc>
        <w:tc>
          <w:tcPr>
            <w:tcW w:w="340" w:type="pct"/>
            <w:tcBorders>
              <w:tl2br w:val="nil"/>
              <w:tr2bl w:val="nil"/>
            </w:tcBorders>
            <w:shd w:val="clear" w:color="auto" w:fill="auto"/>
            <w:tcMar>
              <w:top w:w="15" w:type="dxa"/>
              <w:left w:w="15" w:type="dxa"/>
              <w:right w:w="15" w:type="dxa"/>
            </w:tcMar>
            <w:vAlign w:val="center"/>
          </w:tcPr>
          <w:p w14:paraId="28AFBFCD">
            <w:pPr>
              <w:pStyle w:val="29"/>
              <w:tabs>
                <w:tab w:val="left" w:pos="1315"/>
                <w:tab w:val="left" w:pos="2565"/>
              </w:tabs>
              <w:snapToGrid w:val="0"/>
              <w:rPr>
                <w:rFonts w:eastAsia="仿宋" w:cs="Times New Roman"/>
                <w:b/>
                <w:bCs/>
              </w:rPr>
            </w:pPr>
            <w:r>
              <w:rPr>
                <w:rFonts w:eastAsia="仿宋" w:cs="Times New Roman"/>
                <w:b/>
                <w:bCs/>
              </w:rPr>
              <w:t>点位</w:t>
            </w:r>
          </w:p>
        </w:tc>
        <w:tc>
          <w:tcPr>
            <w:tcW w:w="763" w:type="pct"/>
            <w:tcBorders>
              <w:tl2br w:val="nil"/>
              <w:tr2bl w:val="nil"/>
            </w:tcBorders>
            <w:shd w:val="clear" w:color="auto" w:fill="auto"/>
            <w:tcMar>
              <w:top w:w="15" w:type="dxa"/>
              <w:left w:w="15" w:type="dxa"/>
              <w:right w:w="15" w:type="dxa"/>
            </w:tcMar>
            <w:vAlign w:val="center"/>
          </w:tcPr>
          <w:p w14:paraId="41C37909">
            <w:pPr>
              <w:pStyle w:val="29"/>
              <w:tabs>
                <w:tab w:val="left" w:pos="1315"/>
                <w:tab w:val="left" w:pos="2565"/>
              </w:tabs>
              <w:snapToGrid w:val="0"/>
              <w:rPr>
                <w:rFonts w:eastAsia="仿宋" w:cs="Times New Roman"/>
                <w:b/>
                <w:bCs/>
              </w:rPr>
            </w:pPr>
            <w:r>
              <w:rPr>
                <w:rFonts w:eastAsia="仿宋" w:cs="Times New Roman"/>
                <w:b/>
                <w:bCs/>
              </w:rPr>
              <w:t>项目</w:t>
            </w:r>
          </w:p>
        </w:tc>
        <w:tc>
          <w:tcPr>
            <w:tcW w:w="589" w:type="pct"/>
            <w:tcBorders>
              <w:tl2br w:val="nil"/>
              <w:tr2bl w:val="nil"/>
            </w:tcBorders>
            <w:shd w:val="clear" w:color="auto" w:fill="auto"/>
            <w:tcMar>
              <w:top w:w="15" w:type="dxa"/>
              <w:left w:w="15" w:type="dxa"/>
              <w:right w:w="15" w:type="dxa"/>
            </w:tcMar>
            <w:vAlign w:val="center"/>
          </w:tcPr>
          <w:p w14:paraId="2007AAED">
            <w:pPr>
              <w:pStyle w:val="29"/>
              <w:tabs>
                <w:tab w:val="left" w:pos="1315"/>
                <w:tab w:val="left" w:pos="2565"/>
              </w:tabs>
              <w:snapToGrid w:val="0"/>
              <w:rPr>
                <w:rFonts w:eastAsia="仿宋" w:cs="Times New Roman"/>
                <w:b/>
                <w:bCs/>
              </w:rPr>
            </w:pPr>
            <w:r>
              <w:rPr>
                <w:rFonts w:eastAsia="仿宋" w:cs="Times New Roman"/>
                <w:b/>
                <w:bCs/>
              </w:rPr>
              <w:t>是否联网验收</w:t>
            </w:r>
          </w:p>
        </w:tc>
        <w:tc>
          <w:tcPr>
            <w:tcW w:w="1094" w:type="pct"/>
            <w:tcBorders>
              <w:tl2br w:val="nil"/>
              <w:tr2bl w:val="nil"/>
            </w:tcBorders>
            <w:shd w:val="clear" w:color="auto" w:fill="auto"/>
            <w:tcMar>
              <w:top w:w="15" w:type="dxa"/>
              <w:left w:w="15" w:type="dxa"/>
              <w:right w:w="15" w:type="dxa"/>
            </w:tcMar>
            <w:vAlign w:val="center"/>
          </w:tcPr>
          <w:p w14:paraId="62E20BC5">
            <w:pPr>
              <w:pStyle w:val="29"/>
              <w:tabs>
                <w:tab w:val="left" w:pos="1315"/>
                <w:tab w:val="left" w:pos="2565"/>
              </w:tabs>
              <w:snapToGrid w:val="0"/>
              <w:rPr>
                <w:rFonts w:eastAsia="仿宋" w:cs="Times New Roman"/>
                <w:b/>
                <w:bCs/>
              </w:rPr>
            </w:pPr>
            <w:r>
              <w:rPr>
                <w:rFonts w:eastAsia="仿宋" w:cs="Times New Roman"/>
                <w:b/>
                <w:bCs/>
              </w:rPr>
              <w:t>监控平台名称</w:t>
            </w:r>
          </w:p>
        </w:tc>
        <w:tc>
          <w:tcPr>
            <w:tcW w:w="849" w:type="pct"/>
            <w:tcBorders>
              <w:tl2br w:val="nil"/>
              <w:tr2bl w:val="nil"/>
            </w:tcBorders>
            <w:shd w:val="clear" w:color="auto" w:fill="auto"/>
            <w:tcMar>
              <w:top w:w="15" w:type="dxa"/>
              <w:left w:w="15" w:type="dxa"/>
              <w:right w:w="15" w:type="dxa"/>
            </w:tcMar>
            <w:vAlign w:val="center"/>
          </w:tcPr>
          <w:p w14:paraId="27F60331">
            <w:pPr>
              <w:pStyle w:val="29"/>
              <w:tabs>
                <w:tab w:val="left" w:pos="1315"/>
                <w:tab w:val="left" w:pos="2565"/>
              </w:tabs>
              <w:snapToGrid w:val="0"/>
              <w:rPr>
                <w:rFonts w:eastAsia="仿宋" w:cs="Times New Roman"/>
                <w:b/>
                <w:bCs/>
              </w:rPr>
            </w:pPr>
            <w:r>
              <w:rPr>
                <w:rFonts w:eastAsia="仿宋" w:cs="Times New Roman"/>
                <w:b/>
                <w:bCs/>
              </w:rPr>
              <w:t>运营公司</w:t>
            </w:r>
          </w:p>
        </w:tc>
        <w:tc>
          <w:tcPr>
            <w:tcW w:w="607" w:type="pct"/>
            <w:tcBorders>
              <w:tl2br w:val="nil"/>
              <w:tr2bl w:val="nil"/>
            </w:tcBorders>
            <w:shd w:val="clear" w:color="auto" w:fill="auto"/>
            <w:tcMar>
              <w:top w:w="15" w:type="dxa"/>
              <w:left w:w="15" w:type="dxa"/>
              <w:right w:w="15" w:type="dxa"/>
            </w:tcMar>
            <w:vAlign w:val="center"/>
          </w:tcPr>
          <w:p w14:paraId="519C17B7">
            <w:pPr>
              <w:pStyle w:val="29"/>
              <w:tabs>
                <w:tab w:val="left" w:pos="1315"/>
                <w:tab w:val="left" w:pos="2565"/>
              </w:tabs>
              <w:snapToGrid w:val="0"/>
              <w:rPr>
                <w:rFonts w:eastAsia="仿宋" w:cs="Times New Roman"/>
                <w:b/>
                <w:bCs/>
              </w:rPr>
            </w:pPr>
            <w:r>
              <w:rPr>
                <w:rFonts w:eastAsia="仿宋" w:cs="Times New Roman"/>
                <w:b/>
                <w:bCs/>
              </w:rPr>
              <w:t>达标情况</w:t>
            </w:r>
          </w:p>
        </w:tc>
      </w:tr>
      <w:tr w14:paraId="239672A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292A1610">
            <w:pPr>
              <w:pStyle w:val="48"/>
              <w:rPr>
                <w:rFonts w:eastAsia="仿宋" w:cs="Times New Roman"/>
              </w:rPr>
            </w:pPr>
            <w:r>
              <w:rPr>
                <w:rFonts w:eastAsia="仿宋" w:cs="Times New Roman"/>
              </w:rPr>
              <w:t>1</w:t>
            </w:r>
          </w:p>
        </w:tc>
        <w:tc>
          <w:tcPr>
            <w:tcW w:w="617" w:type="pct"/>
            <w:tcBorders>
              <w:tl2br w:val="nil"/>
              <w:tr2bl w:val="nil"/>
            </w:tcBorders>
            <w:shd w:val="clear" w:color="auto" w:fill="auto"/>
            <w:tcMar>
              <w:top w:w="15" w:type="dxa"/>
              <w:left w:w="15" w:type="dxa"/>
              <w:right w:w="15" w:type="dxa"/>
            </w:tcMar>
            <w:vAlign w:val="center"/>
          </w:tcPr>
          <w:p w14:paraId="46D0FA5E">
            <w:pPr>
              <w:pStyle w:val="48"/>
              <w:rPr>
                <w:rFonts w:eastAsia="仿宋" w:cs="Times New Roman"/>
              </w:rPr>
            </w:pPr>
            <w:r>
              <w:rPr>
                <w:rFonts w:eastAsia="仿宋" w:cs="Times New Roman"/>
              </w:rPr>
              <w:t>湖南珠江啤酒有限公司</w:t>
            </w:r>
          </w:p>
        </w:tc>
        <w:tc>
          <w:tcPr>
            <w:tcW w:w="340" w:type="pct"/>
            <w:tcBorders>
              <w:tl2br w:val="nil"/>
              <w:tr2bl w:val="nil"/>
            </w:tcBorders>
            <w:shd w:val="clear" w:color="auto" w:fill="auto"/>
            <w:tcMar>
              <w:top w:w="15" w:type="dxa"/>
              <w:left w:w="15" w:type="dxa"/>
              <w:right w:w="15" w:type="dxa"/>
            </w:tcMar>
            <w:vAlign w:val="center"/>
          </w:tcPr>
          <w:p w14:paraId="03F5D237">
            <w:pPr>
              <w:pStyle w:val="48"/>
              <w:rPr>
                <w:rFonts w:eastAsia="仿宋" w:cs="Times New Roman"/>
              </w:rPr>
            </w:pPr>
            <w:r>
              <w:rPr>
                <w:rFonts w:eastAsia="仿宋" w:cs="Times New Roman"/>
              </w:rPr>
              <w:t>总排口</w:t>
            </w:r>
          </w:p>
        </w:tc>
        <w:tc>
          <w:tcPr>
            <w:tcW w:w="763" w:type="pct"/>
            <w:tcBorders>
              <w:tl2br w:val="nil"/>
              <w:tr2bl w:val="nil"/>
            </w:tcBorders>
            <w:shd w:val="clear" w:color="auto" w:fill="auto"/>
            <w:tcMar>
              <w:top w:w="15" w:type="dxa"/>
              <w:left w:w="15" w:type="dxa"/>
              <w:right w:w="15" w:type="dxa"/>
            </w:tcMar>
            <w:vAlign w:val="center"/>
          </w:tcPr>
          <w:p w14:paraId="7BD0C321">
            <w:pPr>
              <w:pStyle w:val="48"/>
              <w:rPr>
                <w:rFonts w:eastAsia="仿宋" w:cs="Times New Roman"/>
              </w:rPr>
            </w:pPr>
            <w:r>
              <w:rPr>
                <w:rFonts w:eastAsia="仿宋" w:cs="Times New Roman"/>
              </w:rPr>
              <w:t>COD、氨氮、pH值、流量    （总磷、总氮）</w:t>
            </w:r>
          </w:p>
        </w:tc>
        <w:tc>
          <w:tcPr>
            <w:tcW w:w="589" w:type="pct"/>
            <w:tcBorders>
              <w:tl2br w:val="nil"/>
              <w:tr2bl w:val="nil"/>
            </w:tcBorders>
            <w:shd w:val="clear" w:color="auto" w:fill="auto"/>
            <w:tcMar>
              <w:top w:w="15" w:type="dxa"/>
              <w:left w:w="15" w:type="dxa"/>
              <w:right w:w="15" w:type="dxa"/>
            </w:tcMar>
            <w:vAlign w:val="center"/>
          </w:tcPr>
          <w:p w14:paraId="7214C473">
            <w:pPr>
              <w:pStyle w:val="48"/>
              <w:rPr>
                <w:rFonts w:eastAsia="仿宋" w:cs="Times New Roman"/>
              </w:rPr>
            </w:pPr>
            <w:r>
              <w:rPr>
                <w:rFonts w:eastAsia="仿宋" w:cs="Times New Roman"/>
              </w:rPr>
              <w:t>是</w:t>
            </w:r>
          </w:p>
        </w:tc>
        <w:tc>
          <w:tcPr>
            <w:tcW w:w="1094" w:type="pct"/>
            <w:tcBorders>
              <w:tl2br w:val="nil"/>
              <w:tr2bl w:val="nil"/>
            </w:tcBorders>
            <w:shd w:val="clear" w:color="auto" w:fill="auto"/>
            <w:tcMar>
              <w:top w:w="15" w:type="dxa"/>
              <w:left w:w="15" w:type="dxa"/>
              <w:right w:w="15" w:type="dxa"/>
            </w:tcMar>
            <w:vAlign w:val="center"/>
          </w:tcPr>
          <w:p w14:paraId="3A96843F">
            <w:pPr>
              <w:pStyle w:val="48"/>
              <w:rPr>
                <w:rFonts w:eastAsia="仿宋" w:cs="Times New Roman"/>
              </w:rPr>
            </w:pPr>
            <w:r>
              <w:rPr>
                <w:rFonts w:eastAsia="仿宋" w:cs="Times New Roman"/>
              </w:rPr>
              <w:t>重点污染源自动监控与基础数据库系统V3.2(长天平台）</w:t>
            </w:r>
          </w:p>
        </w:tc>
        <w:tc>
          <w:tcPr>
            <w:tcW w:w="849" w:type="pct"/>
            <w:tcBorders>
              <w:tl2br w:val="nil"/>
              <w:tr2bl w:val="nil"/>
            </w:tcBorders>
            <w:shd w:val="clear" w:color="auto" w:fill="auto"/>
            <w:tcMar>
              <w:top w:w="15" w:type="dxa"/>
              <w:left w:w="15" w:type="dxa"/>
              <w:right w:w="15" w:type="dxa"/>
            </w:tcMar>
            <w:vAlign w:val="center"/>
          </w:tcPr>
          <w:p w14:paraId="1CDDA44D">
            <w:pPr>
              <w:pStyle w:val="48"/>
              <w:rPr>
                <w:rFonts w:eastAsia="仿宋" w:cs="Times New Roman"/>
              </w:rPr>
            </w:pPr>
            <w:r>
              <w:rPr>
                <w:rFonts w:eastAsia="仿宋" w:cs="Times New Roman"/>
              </w:rPr>
              <w:t>湖南益伦环境工程有限公司</w:t>
            </w:r>
          </w:p>
        </w:tc>
        <w:tc>
          <w:tcPr>
            <w:tcW w:w="607" w:type="pct"/>
            <w:tcBorders>
              <w:tl2br w:val="nil"/>
              <w:tr2bl w:val="nil"/>
            </w:tcBorders>
            <w:shd w:val="clear" w:color="auto" w:fill="auto"/>
            <w:tcMar>
              <w:top w:w="15" w:type="dxa"/>
              <w:left w:w="15" w:type="dxa"/>
              <w:right w:w="15" w:type="dxa"/>
            </w:tcMar>
            <w:vAlign w:val="center"/>
          </w:tcPr>
          <w:p w14:paraId="5A438080">
            <w:pPr>
              <w:pStyle w:val="48"/>
              <w:rPr>
                <w:rFonts w:eastAsia="仿宋" w:cs="Times New Roman"/>
              </w:rPr>
            </w:pPr>
            <w:r>
              <w:rPr>
                <w:rFonts w:eastAsia="仿宋" w:cs="Times New Roman"/>
              </w:rPr>
              <w:t>达标</w:t>
            </w:r>
          </w:p>
        </w:tc>
      </w:tr>
      <w:tr w14:paraId="4ECFF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0DE9FFE4">
            <w:pPr>
              <w:pStyle w:val="48"/>
              <w:rPr>
                <w:rFonts w:eastAsia="仿宋" w:cs="Times New Roman"/>
              </w:rPr>
            </w:pPr>
            <w:r>
              <w:rPr>
                <w:rFonts w:eastAsia="仿宋" w:cs="Times New Roman"/>
              </w:rPr>
              <w:t>2</w:t>
            </w:r>
          </w:p>
        </w:tc>
        <w:tc>
          <w:tcPr>
            <w:tcW w:w="617" w:type="pct"/>
            <w:tcBorders>
              <w:tl2br w:val="nil"/>
              <w:tr2bl w:val="nil"/>
            </w:tcBorders>
            <w:shd w:val="clear" w:color="auto" w:fill="auto"/>
            <w:tcMar>
              <w:top w:w="15" w:type="dxa"/>
              <w:left w:w="15" w:type="dxa"/>
              <w:right w:w="15" w:type="dxa"/>
            </w:tcMar>
            <w:vAlign w:val="center"/>
          </w:tcPr>
          <w:p w14:paraId="3C87F71E">
            <w:pPr>
              <w:pStyle w:val="48"/>
              <w:rPr>
                <w:rFonts w:eastAsia="仿宋" w:cs="Times New Roman"/>
              </w:rPr>
            </w:pPr>
            <w:r>
              <w:rPr>
                <w:rFonts w:hint="eastAsia" w:eastAsia="仿宋" w:cs="Times New Roman"/>
              </w:rPr>
              <w:t>湖南胖哥耀晨食品有限公司</w:t>
            </w:r>
          </w:p>
        </w:tc>
        <w:tc>
          <w:tcPr>
            <w:tcW w:w="340" w:type="pct"/>
            <w:tcBorders>
              <w:tl2br w:val="nil"/>
              <w:tr2bl w:val="nil"/>
            </w:tcBorders>
            <w:shd w:val="clear" w:color="auto" w:fill="auto"/>
            <w:tcMar>
              <w:top w:w="15" w:type="dxa"/>
              <w:left w:w="15" w:type="dxa"/>
              <w:right w:w="15" w:type="dxa"/>
            </w:tcMar>
            <w:vAlign w:val="center"/>
          </w:tcPr>
          <w:p w14:paraId="4F2908A8">
            <w:pPr>
              <w:pStyle w:val="48"/>
              <w:rPr>
                <w:rFonts w:eastAsia="仿宋" w:cs="Times New Roman"/>
              </w:rPr>
            </w:pPr>
            <w:r>
              <w:rPr>
                <w:rFonts w:eastAsia="仿宋" w:cs="Times New Roman"/>
              </w:rPr>
              <w:t>总排口</w:t>
            </w:r>
          </w:p>
        </w:tc>
        <w:tc>
          <w:tcPr>
            <w:tcW w:w="763" w:type="pct"/>
            <w:tcBorders>
              <w:tl2br w:val="nil"/>
              <w:tr2bl w:val="nil"/>
            </w:tcBorders>
            <w:shd w:val="clear" w:color="auto" w:fill="auto"/>
            <w:tcMar>
              <w:top w:w="15" w:type="dxa"/>
              <w:left w:w="15" w:type="dxa"/>
              <w:right w:w="15" w:type="dxa"/>
            </w:tcMar>
            <w:vAlign w:val="center"/>
          </w:tcPr>
          <w:p w14:paraId="13534717">
            <w:pPr>
              <w:pStyle w:val="48"/>
              <w:rPr>
                <w:rFonts w:eastAsia="仿宋" w:cs="Times New Roman"/>
              </w:rPr>
            </w:pPr>
            <w:r>
              <w:rPr>
                <w:rFonts w:eastAsia="仿宋" w:cs="Times New Roman"/>
              </w:rPr>
              <w:t>COD、氨氮、pH值、流量</w:t>
            </w:r>
          </w:p>
        </w:tc>
        <w:tc>
          <w:tcPr>
            <w:tcW w:w="589" w:type="pct"/>
            <w:tcBorders>
              <w:tl2br w:val="nil"/>
              <w:tr2bl w:val="nil"/>
            </w:tcBorders>
            <w:shd w:val="clear" w:color="auto" w:fill="auto"/>
            <w:tcMar>
              <w:top w:w="15" w:type="dxa"/>
              <w:left w:w="15" w:type="dxa"/>
              <w:right w:w="15" w:type="dxa"/>
            </w:tcMar>
            <w:vAlign w:val="center"/>
          </w:tcPr>
          <w:p w14:paraId="19FB273A">
            <w:pPr>
              <w:pStyle w:val="48"/>
              <w:rPr>
                <w:rFonts w:eastAsia="仿宋" w:cs="Times New Roman"/>
              </w:rPr>
            </w:pPr>
            <w:r>
              <w:rPr>
                <w:rFonts w:eastAsia="仿宋" w:cs="Times New Roman"/>
              </w:rPr>
              <w:t>是</w:t>
            </w:r>
          </w:p>
        </w:tc>
        <w:tc>
          <w:tcPr>
            <w:tcW w:w="1094" w:type="pct"/>
            <w:tcBorders>
              <w:tl2br w:val="nil"/>
              <w:tr2bl w:val="nil"/>
            </w:tcBorders>
            <w:shd w:val="clear" w:color="auto" w:fill="auto"/>
            <w:tcMar>
              <w:top w:w="15" w:type="dxa"/>
              <w:left w:w="15" w:type="dxa"/>
              <w:right w:w="15" w:type="dxa"/>
            </w:tcMar>
            <w:vAlign w:val="center"/>
          </w:tcPr>
          <w:p w14:paraId="6D32677E">
            <w:pPr>
              <w:pStyle w:val="48"/>
              <w:rPr>
                <w:rFonts w:eastAsia="仿宋" w:cs="Times New Roman"/>
              </w:rPr>
            </w:pPr>
            <w:r>
              <w:rPr>
                <w:rFonts w:eastAsia="仿宋" w:cs="Times New Roman"/>
              </w:rPr>
              <w:t>重点污染源自动监控与基础数据库系统V3.2(长天平台）</w:t>
            </w:r>
          </w:p>
        </w:tc>
        <w:tc>
          <w:tcPr>
            <w:tcW w:w="849" w:type="pct"/>
            <w:tcBorders>
              <w:tl2br w:val="nil"/>
              <w:tr2bl w:val="nil"/>
            </w:tcBorders>
            <w:shd w:val="clear" w:color="auto" w:fill="auto"/>
            <w:noWrap/>
            <w:tcMar>
              <w:top w:w="15" w:type="dxa"/>
              <w:left w:w="15" w:type="dxa"/>
              <w:right w:w="15" w:type="dxa"/>
            </w:tcMar>
            <w:vAlign w:val="center"/>
          </w:tcPr>
          <w:p w14:paraId="2C88BE55">
            <w:pPr>
              <w:pStyle w:val="48"/>
              <w:rPr>
                <w:rFonts w:eastAsia="仿宋" w:cs="Times New Roman"/>
              </w:rPr>
            </w:pPr>
            <w:r>
              <w:rPr>
                <w:rFonts w:eastAsia="仿宋" w:cs="Times New Roman"/>
              </w:rPr>
              <w:t>聚光科技（杭州）股份有限公司</w:t>
            </w:r>
          </w:p>
        </w:tc>
        <w:tc>
          <w:tcPr>
            <w:tcW w:w="607" w:type="pct"/>
            <w:tcBorders>
              <w:tl2br w:val="nil"/>
              <w:tr2bl w:val="nil"/>
            </w:tcBorders>
            <w:shd w:val="clear" w:color="auto" w:fill="auto"/>
            <w:noWrap/>
            <w:tcMar>
              <w:top w:w="15" w:type="dxa"/>
              <w:left w:w="15" w:type="dxa"/>
              <w:right w:w="15" w:type="dxa"/>
            </w:tcMar>
            <w:vAlign w:val="center"/>
          </w:tcPr>
          <w:p w14:paraId="52A632BE">
            <w:pPr>
              <w:pStyle w:val="48"/>
              <w:rPr>
                <w:rFonts w:eastAsia="仿宋" w:cs="Times New Roman"/>
              </w:rPr>
            </w:pPr>
            <w:r>
              <w:rPr>
                <w:rFonts w:eastAsia="仿宋" w:cs="Times New Roman"/>
              </w:rPr>
              <w:t>达标</w:t>
            </w:r>
          </w:p>
        </w:tc>
      </w:tr>
      <w:tr w14:paraId="2378F8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163D1893">
            <w:pPr>
              <w:pStyle w:val="48"/>
              <w:rPr>
                <w:rFonts w:eastAsia="仿宋" w:cs="Times New Roman"/>
              </w:rPr>
            </w:pPr>
            <w:r>
              <w:rPr>
                <w:rFonts w:eastAsia="仿宋" w:cs="Times New Roman"/>
              </w:rPr>
              <w:t>3</w:t>
            </w:r>
          </w:p>
        </w:tc>
        <w:tc>
          <w:tcPr>
            <w:tcW w:w="617" w:type="pct"/>
            <w:tcBorders>
              <w:tl2br w:val="nil"/>
              <w:tr2bl w:val="nil"/>
            </w:tcBorders>
            <w:shd w:val="clear" w:color="auto" w:fill="auto"/>
            <w:tcMar>
              <w:top w:w="15" w:type="dxa"/>
              <w:left w:w="15" w:type="dxa"/>
              <w:right w:w="15" w:type="dxa"/>
            </w:tcMar>
            <w:vAlign w:val="center"/>
          </w:tcPr>
          <w:p w14:paraId="1552C738">
            <w:pPr>
              <w:pStyle w:val="48"/>
              <w:rPr>
                <w:rFonts w:eastAsia="仿宋" w:cs="Times New Roman"/>
              </w:rPr>
            </w:pPr>
            <w:r>
              <w:rPr>
                <w:rFonts w:eastAsia="仿宋" w:cs="Times New Roman"/>
              </w:rPr>
              <w:t>湖南伍子醉食品有限公司</w:t>
            </w:r>
          </w:p>
        </w:tc>
        <w:tc>
          <w:tcPr>
            <w:tcW w:w="340" w:type="pct"/>
            <w:tcBorders>
              <w:tl2br w:val="nil"/>
              <w:tr2bl w:val="nil"/>
            </w:tcBorders>
            <w:shd w:val="clear" w:color="auto" w:fill="auto"/>
            <w:tcMar>
              <w:top w:w="15" w:type="dxa"/>
              <w:left w:w="15" w:type="dxa"/>
              <w:right w:w="15" w:type="dxa"/>
            </w:tcMar>
            <w:vAlign w:val="center"/>
          </w:tcPr>
          <w:p w14:paraId="08C06630">
            <w:pPr>
              <w:pStyle w:val="48"/>
              <w:rPr>
                <w:rFonts w:eastAsia="仿宋" w:cs="Times New Roman"/>
              </w:rPr>
            </w:pPr>
            <w:r>
              <w:rPr>
                <w:rFonts w:eastAsia="仿宋" w:cs="Times New Roman"/>
              </w:rPr>
              <w:t>总排口</w:t>
            </w:r>
          </w:p>
        </w:tc>
        <w:tc>
          <w:tcPr>
            <w:tcW w:w="763" w:type="pct"/>
            <w:tcBorders>
              <w:tl2br w:val="nil"/>
              <w:tr2bl w:val="nil"/>
            </w:tcBorders>
            <w:shd w:val="clear" w:color="auto" w:fill="auto"/>
            <w:tcMar>
              <w:top w:w="15" w:type="dxa"/>
              <w:left w:w="15" w:type="dxa"/>
              <w:right w:w="15" w:type="dxa"/>
            </w:tcMar>
            <w:vAlign w:val="center"/>
          </w:tcPr>
          <w:p w14:paraId="65A155AD">
            <w:pPr>
              <w:pStyle w:val="48"/>
              <w:rPr>
                <w:rFonts w:eastAsia="仿宋" w:cs="Times New Roman"/>
              </w:rPr>
            </w:pPr>
            <w:r>
              <w:rPr>
                <w:rFonts w:eastAsia="仿宋" w:cs="Times New Roman"/>
              </w:rPr>
              <w:t>COD、氨氮、pH值、流量</w:t>
            </w:r>
          </w:p>
        </w:tc>
        <w:tc>
          <w:tcPr>
            <w:tcW w:w="589" w:type="pct"/>
            <w:tcBorders>
              <w:tl2br w:val="nil"/>
              <w:tr2bl w:val="nil"/>
            </w:tcBorders>
            <w:shd w:val="clear" w:color="auto" w:fill="auto"/>
            <w:tcMar>
              <w:top w:w="15" w:type="dxa"/>
              <w:left w:w="15" w:type="dxa"/>
              <w:right w:w="15" w:type="dxa"/>
            </w:tcMar>
            <w:vAlign w:val="center"/>
          </w:tcPr>
          <w:p w14:paraId="2EE402A4">
            <w:pPr>
              <w:pStyle w:val="48"/>
              <w:rPr>
                <w:rFonts w:eastAsia="仿宋" w:cs="Times New Roman"/>
              </w:rPr>
            </w:pPr>
            <w:r>
              <w:rPr>
                <w:rFonts w:eastAsia="仿宋" w:cs="Times New Roman"/>
              </w:rPr>
              <w:t>是</w:t>
            </w:r>
          </w:p>
        </w:tc>
        <w:tc>
          <w:tcPr>
            <w:tcW w:w="1094" w:type="pct"/>
            <w:tcBorders>
              <w:tl2br w:val="nil"/>
              <w:tr2bl w:val="nil"/>
            </w:tcBorders>
            <w:shd w:val="clear" w:color="auto" w:fill="auto"/>
            <w:tcMar>
              <w:top w:w="15" w:type="dxa"/>
              <w:left w:w="15" w:type="dxa"/>
              <w:right w:w="15" w:type="dxa"/>
            </w:tcMar>
            <w:vAlign w:val="center"/>
          </w:tcPr>
          <w:p w14:paraId="261DC451">
            <w:pPr>
              <w:pStyle w:val="48"/>
              <w:rPr>
                <w:rFonts w:eastAsia="仿宋" w:cs="Times New Roman"/>
              </w:rPr>
            </w:pPr>
            <w:r>
              <w:rPr>
                <w:rFonts w:eastAsia="仿宋" w:cs="Times New Roman"/>
              </w:rPr>
              <w:t>重点污染源自动监控与基础数据库系统V3.2(长天平台）</w:t>
            </w:r>
          </w:p>
        </w:tc>
        <w:tc>
          <w:tcPr>
            <w:tcW w:w="849" w:type="pct"/>
            <w:tcBorders>
              <w:tl2br w:val="nil"/>
              <w:tr2bl w:val="nil"/>
            </w:tcBorders>
            <w:shd w:val="clear" w:color="auto" w:fill="auto"/>
            <w:noWrap/>
            <w:tcMar>
              <w:top w:w="15" w:type="dxa"/>
              <w:left w:w="15" w:type="dxa"/>
              <w:right w:w="15" w:type="dxa"/>
            </w:tcMar>
            <w:vAlign w:val="center"/>
          </w:tcPr>
          <w:p w14:paraId="65DDFD5C">
            <w:pPr>
              <w:pStyle w:val="48"/>
              <w:rPr>
                <w:rFonts w:eastAsia="仿宋" w:cs="Times New Roman"/>
              </w:rPr>
            </w:pPr>
            <w:r>
              <w:rPr>
                <w:rFonts w:eastAsia="仿宋" w:cs="Times New Roman"/>
              </w:rPr>
              <w:t>聚光科技（杭州）股份有限公司</w:t>
            </w:r>
          </w:p>
        </w:tc>
        <w:tc>
          <w:tcPr>
            <w:tcW w:w="607" w:type="pct"/>
            <w:tcBorders>
              <w:tl2br w:val="nil"/>
              <w:tr2bl w:val="nil"/>
            </w:tcBorders>
            <w:shd w:val="clear" w:color="auto" w:fill="auto"/>
            <w:noWrap/>
            <w:tcMar>
              <w:top w:w="15" w:type="dxa"/>
              <w:left w:w="15" w:type="dxa"/>
              <w:right w:w="15" w:type="dxa"/>
            </w:tcMar>
            <w:vAlign w:val="center"/>
          </w:tcPr>
          <w:p w14:paraId="337A04EE">
            <w:pPr>
              <w:pStyle w:val="48"/>
              <w:rPr>
                <w:rFonts w:eastAsia="仿宋" w:cs="Times New Roman"/>
              </w:rPr>
            </w:pPr>
            <w:r>
              <w:rPr>
                <w:rFonts w:eastAsia="仿宋" w:cs="Times New Roman"/>
              </w:rPr>
              <w:t>达标</w:t>
            </w:r>
          </w:p>
        </w:tc>
      </w:tr>
      <w:tr w14:paraId="798373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76040555">
            <w:pPr>
              <w:pStyle w:val="48"/>
              <w:rPr>
                <w:rFonts w:eastAsia="仿宋" w:cs="Times New Roman"/>
              </w:rPr>
            </w:pPr>
            <w:r>
              <w:rPr>
                <w:rFonts w:eastAsia="仿宋" w:cs="Times New Roman"/>
              </w:rPr>
              <w:t>4</w:t>
            </w:r>
          </w:p>
        </w:tc>
        <w:tc>
          <w:tcPr>
            <w:tcW w:w="617" w:type="pct"/>
            <w:tcBorders>
              <w:tl2br w:val="nil"/>
              <w:tr2bl w:val="nil"/>
            </w:tcBorders>
            <w:shd w:val="clear" w:color="auto" w:fill="auto"/>
            <w:tcMar>
              <w:top w:w="15" w:type="dxa"/>
              <w:left w:w="15" w:type="dxa"/>
              <w:right w:w="15" w:type="dxa"/>
            </w:tcMar>
            <w:vAlign w:val="center"/>
          </w:tcPr>
          <w:p w14:paraId="53A88A95">
            <w:pPr>
              <w:pStyle w:val="48"/>
              <w:rPr>
                <w:rFonts w:eastAsia="仿宋" w:cs="Times New Roman"/>
              </w:rPr>
            </w:pPr>
            <w:r>
              <w:rPr>
                <w:rFonts w:eastAsia="仿宋" w:cs="Times New Roman"/>
              </w:rPr>
              <w:t>湖南小龙王食品有限公司</w:t>
            </w:r>
          </w:p>
        </w:tc>
        <w:tc>
          <w:tcPr>
            <w:tcW w:w="340" w:type="pct"/>
            <w:tcBorders>
              <w:tl2br w:val="nil"/>
              <w:tr2bl w:val="nil"/>
            </w:tcBorders>
            <w:shd w:val="clear" w:color="auto" w:fill="auto"/>
            <w:tcMar>
              <w:top w:w="15" w:type="dxa"/>
              <w:left w:w="15" w:type="dxa"/>
              <w:right w:w="15" w:type="dxa"/>
            </w:tcMar>
            <w:vAlign w:val="center"/>
          </w:tcPr>
          <w:p w14:paraId="7CA9EBD4">
            <w:pPr>
              <w:pStyle w:val="48"/>
              <w:rPr>
                <w:rFonts w:eastAsia="仿宋" w:cs="Times New Roman"/>
              </w:rPr>
            </w:pPr>
            <w:r>
              <w:rPr>
                <w:rFonts w:eastAsia="仿宋" w:cs="Times New Roman"/>
              </w:rPr>
              <w:t>总排口</w:t>
            </w:r>
          </w:p>
        </w:tc>
        <w:tc>
          <w:tcPr>
            <w:tcW w:w="763" w:type="pct"/>
            <w:tcBorders>
              <w:tl2br w:val="nil"/>
              <w:tr2bl w:val="nil"/>
            </w:tcBorders>
            <w:shd w:val="clear" w:color="auto" w:fill="auto"/>
            <w:tcMar>
              <w:top w:w="15" w:type="dxa"/>
              <w:left w:w="15" w:type="dxa"/>
              <w:right w:w="15" w:type="dxa"/>
            </w:tcMar>
            <w:vAlign w:val="center"/>
          </w:tcPr>
          <w:p w14:paraId="2A212EC6">
            <w:pPr>
              <w:pStyle w:val="48"/>
              <w:rPr>
                <w:rFonts w:eastAsia="仿宋" w:cs="Times New Roman"/>
              </w:rPr>
            </w:pPr>
            <w:r>
              <w:rPr>
                <w:rFonts w:eastAsia="仿宋" w:cs="Times New Roman"/>
              </w:rPr>
              <w:t>COD、氨氮、pH值、流量</w:t>
            </w:r>
          </w:p>
        </w:tc>
        <w:tc>
          <w:tcPr>
            <w:tcW w:w="589" w:type="pct"/>
            <w:tcBorders>
              <w:tl2br w:val="nil"/>
              <w:tr2bl w:val="nil"/>
            </w:tcBorders>
            <w:shd w:val="clear" w:color="auto" w:fill="auto"/>
            <w:tcMar>
              <w:top w:w="15" w:type="dxa"/>
              <w:left w:w="15" w:type="dxa"/>
              <w:right w:w="15" w:type="dxa"/>
            </w:tcMar>
            <w:vAlign w:val="center"/>
          </w:tcPr>
          <w:p w14:paraId="068D7AB2">
            <w:pPr>
              <w:pStyle w:val="48"/>
              <w:rPr>
                <w:rFonts w:eastAsia="仿宋" w:cs="Times New Roman"/>
              </w:rPr>
            </w:pPr>
            <w:r>
              <w:rPr>
                <w:rFonts w:eastAsia="仿宋" w:cs="Times New Roman"/>
              </w:rPr>
              <w:t>是</w:t>
            </w:r>
          </w:p>
        </w:tc>
        <w:tc>
          <w:tcPr>
            <w:tcW w:w="1094" w:type="pct"/>
            <w:tcBorders>
              <w:tl2br w:val="nil"/>
              <w:tr2bl w:val="nil"/>
            </w:tcBorders>
            <w:shd w:val="clear" w:color="auto" w:fill="auto"/>
            <w:tcMar>
              <w:top w:w="15" w:type="dxa"/>
              <w:left w:w="15" w:type="dxa"/>
              <w:right w:w="15" w:type="dxa"/>
            </w:tcMar>
            <w:vAlign w:val="center"/>
          </w:tcPr>
          <w:p w14:paraId="0BB8B263">
            <w:pPr>
              <w:pStyle w:val="48"/>
              <w:rPr>
                <w:rFonts w:eastAsia="仿宋" w:cs="Times New Roman"/>
              </w:rPr>
            </w:pPr>
            <w:r>
              <w:rPr>
                <w:rFonts w:eastAsia="仿宋" w:cs="Times New Roman"/>
              </w:rPr>
              <w:t>重点污染源自动监控与基础数据库系统V3.2(长天平台）</w:t>
            </w:r>
          </w:p>
        </w:tc>
        <w:tc>
          <w:tcPr>
            <w:tcW w:w="849" w:type="pct"/>
            <w:tcBorders>
              <w:tl2br w:val="nil"/>
              <w:tr2bl w:val="nil"/>
            </w:tcBorders>
            <w:shd w:val="clear" w:color="auto" w:fill="auto"/>
            <w:noWrap/>
            <w:tcMar>
              <w:top w:w="15" w:type="dxa"/>
              <w:left w:w="15" w:type="dxa"/>
              <w:right w:w="15" w:type="dxa"/>
            </w:tcMar>
            <w:vAlign w:val="center"/>
          </w:tcPr>
          <w:p w14:paraId="1C6B3A1E">
            <w:pPr>
              <w:pStyle w:val="48"/>
              <w:rPr>
                <w:rFonts w:eastAsia="仿宋" w:cs="Times New Roman"/>
              </w:rPr>
            </w:pPr>
            <w:r>
              <w:rPr>
                <w:rFonts w:eastAsia="仿宋" w:cs="Times New Roman"/>
              </w:rPr>
              <w:t>聚光科技（杭州）股份有限公司</w:t>
            </w:r>
          </w:p>
        </w:tc>
        <w:tc>
          <w:tcPr>
            <w:tcW w:w="607" w:type="pct"/>
            <w:tcBorders>
              <w:tl2br w:val="nil"/>
              <w:tr2bl w:val="nil"/>
            </w:tcBorders>
            <w:shd w:val="clear" w:color="auto" w:fill="auto"/>
            <w:noWrap/>
            <w:tcMar>
              <w:top w:w="15" w:type="dxa"/>
              <w:left w:w="15" w:type="dxa"/>
              <w:right w:w="15" w:type="dxa"/>
            </w:tcMar>
            <w:vAlign w:val="center"/>
          </w:tcPr>
          <w:p w14:paraId="2396DF33">
            <w:pPr>
              <w:pStyle w:val="48"/>
              <w:rPr>
                <w:rFonts w:eastAsia="仿宋" w:cs="Times New Roman"/>
              </w:rPr>
            </w:pPr>
            <w:r>
              <w:rPr>
                <w:rFonts w:eastAsia="仿宋" w:cs="Times New Roman"/>
              </w:rPr>
              <w:t>达标</w:t>
            </w:r>
          </w:p>
        </w:tc>
      </w:tr>
      <w:tr w14:paraId="1CB401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1244B528">
            <w:pPr>
              <w:pStyle w:val="48"/>
              <w:rPr>
                <w:rFonts w:eastAsia="仿宋" w:cs="Times New Roman"/>
              </w:rPr>
            </w:pPr>
            <w:r>
              <w:rPr>
                <w:rFonts w:eastAsia="仿宋" w:cs="Times New Roman"/>
              </w:rPr>
              <w:t>5</w:t>
            </w:r>
          </w:p>
        </w:tc>
        <w:tc>
          <w:tcPr>
            <w:tcW w:w="617" w:type="pct"/>
            <w:tcBorders>
              <w:tl2br w:val="nil"/>
              <w:tr2bl w:val="nil"/>
            </w:tcBorders>
            <w:shd w:val="clear" w:color="auto" w:fill="auto"/>
            <w:tcMar>
              <w:top w:w="15" w:type="dxa"/>
              <w:left w:w="15" w:type="dxa"/>
              <w:right w:w="15" w:type="dxa"/>
            </w:tcMar>
            <w:vAlign w:val="center"/>
          </w:tcPr>
          <w:p w14:paraId="5CBE2A3F">
            <w:pPr>
              <w:pStyle w:val="48"/>
              <w:rPr>
                <w:rFonts w:eastAsia="仿宋" w:cs="Times New Roman"/>
              </w:rPr>
            </w:pPr>
            <w:r>
              <w:rPr>
                <w:rFonts w:hint="eastAsia" w:eastAsia="仿宋" w:cs="Times New Roman"/>
              </w:rPr>
              <w:t>湖南皇爷实业有限公司</w:t>
            </w:r>
          </w:p>
        </w:tc>
        <w:tc>
          <w:tcPr>
            <w:tcW w:w="340" w:type="pct"/>
            <w:tcBorders>
              <w:tl2br w:val="nil"/>
              <w:tr2bl w:val="nil"/>
            </w:tcBorders>
            <w:shd w:val="clear" w:color="auto" w:fill="auto"/>
            <w:tcMar>
              <w:top w:w="15" w:type="dxa"/>
              <w:left w:w="15" w:type="dxa"/>
              <w:right w:w="15" w:type="dxa"/>
            </w:tcMar>
            <w:vAlign w:val="center"/>
          </w:tcPr>
          <w:p w14:paraId="6C55B08E">
            <w:pPr>
              <w:pStyle w:val="48"/>
              <w:rPr>
                <w:rFonts w:eastAsia="仿宋" w:cs="Times New Roman"/>
              </w:rPr>
            </w:pPr>
            <w:r>
              <w:rPr>
                <w:rFonts w:eastAsia="仿宋" w:cs="Times New Roman"/>
              </w:rPr>
              <w:t>总排口</w:t>
            </w:r>
          </w:p>
        </w:tc>
        <w:tc>
          <w:tcPr>
            <w:tcW w:w="763" w:type="pct"/>
            <w:tcBorders>
              <w:tl2br w:val="nil"/>
              <w:tr2bl w:val="nil"/>
            </w:tcBorders>
            <w:shd w:val="clear" w:color="auto" w:fill="auto"/>
            <w:tcMar>
              <w:top w:w="15" w:type="dxa"/>
              <w:left w:w="15" w:type="dxa"/>
              <w:right w:w="15" w:type="dxa"/>
            </w:tcMar>
            <w:vAlign w:val="center"/>
          </w:tcPr>
          <w:p w14:paraId="57BECBED">
            <w:pPr>
              <w:pStyle w:val="48"/>
              <w:rPr>
                <w:rFonts w:eastAsia="仿宋" w:cs="Times New Roman"/>
              </w:rPr>
            </w:pPr>
            <w:r>
              <w:rPr>
                <w:rFonts w:eastAsia="仿宋" w:cs="Times New Roman"/>
              </w:rPr>
              <w:t>COD、氨氮、流量</w:t>
            </w:r>
          </w:p>
        </w:tc>
        <w:tc>
          <w:tcPr>
            <w:tcW w:w="589" w:type="pct"/>
            <w:tcBorders>
              <w:tl2br w:val="nil"/>
              <w:tr2bl w:val="nil"/>
            </w:tcBorders>
            <w:shd w:val="clear" w:color="auto" w:fill="auto"/>
            <w:tcMar>
              <w:top w:w="15" w:type="dxa"/>
              <w:left w:w="15" w:type="dxa"/>
              <w:right w:w="15" w:type="dxa"/>
            </w:tcMar>
            <w:vAlign w:val="center"/>
          </w:tcPr>
          <w:p w14:paraId="15429AA9">
            <w:pPr>
              <w:pStyle w:val="48"/>
              <w:rPr>
                <w:rFonts w:eastAsia="仿宋" w:cs="Times New Roman"/>
              </w:rPr>
            </w:pPr>
            <w:r>
              <w:rPr>
                <w:rFonts w:eastAsia="仿宋" w:cs="Times New Roman"/>
              </w:rPr>
              <w:t>是</w:t>
            </w:r>
          </w:p>
        </w:tc>
        <w:tc>
          <w:tcPr>
            <w:tcW w:w="1094" w:type="pct"/>
            <w:tcBorders>
              <w:tl2br w:val="nil"/>
              <w:tr2bl w:val="nil"/>
            </w:tcBorders>
            <w:shd w:val="clear" w:color="auto" w:fill="auto"/>
            <w:tcMar>
              <w:top w:w="15" w:type="dxa"/>
              <w:left w:w="15" w:type="dxa"/>
              <w:right w:w="15" w:type="dxa"/>
            </w:tcMar>
            <w:vAlign w:val="center"/>
          </w:tcPr>
          <w:p w14:paraId="2E628B47">
            <w:pPr>
              <w:pStyle w:val="48"/>
              <w:rPr>
                <w:rFonts w:eastAsia="仿宋" w:cs="Times New Roman"/>
              </w:rPr>
            </w:pPr>
            <w:r>
              <w:rPr>
                <w:rFonts w:eastAsia="仿宋" w:cs="Times New Roman"/>
              </w:rPr>
              <w:t>湘潭市污染源自动监控管理平台（力合平台）</w:t>
            </w:r>
          </w:p>
        </w:tc>
        <w:tc>
          <w:tcPr>
            <w:tcW w:w="849" w:type="pct"/>
            <w:tcBorders>
              <w:tl2br w:val="nil"/>
              <w:tr2bl w:val="nil"/>
            </w:tcBorders>
            <w:shd w:val="clear" w:color="auto" w:fill="auto"/>
            <w:tcMar>
              <w:top w:w="15" w:type="dxa"/>
              <w:left w:w="15" w:type="dxa"/>
              <w:right w:w="15" w:type="dxa"/>
            </w:tcMar>
            <w:vAlign w:val="center"/>
          </w:tcPr>
          <w:p w14:paraId="3428C1DC">
            <w:pPr>
              <w:pStyle w:val="48"/>
              <w:rPr>
                <w:rFonts w:eastAsia="仿宋" w:cs="Times New Roman"/>
              </w:rPr>
            </w:pPr>
            <w:r>
              <w:rPr>
                <w:rFonts w:eastAsia="仿宋" w:cs="Times New Roman"/>
              </w:rPr>
              <w:t>湖南盈展环境科技有限公司</w:t>
            </w:r>
          </w:p>
        </w:tc>
        <w:tc>
          <w:tcPr>
            <w:tcW w:w="607" w:type="pct"/>
            <w:tcBorders>
              <w:tl2br w:val="nil"/>
              <w:tr2bl w:val="nil"/>
            </w:tcBorders>
            <w:shd w:val="clear" w:color="auto" w:fill="auto"/>
            <w:tcMar>
              <w:top w:w="15" w:type="dxa"/>
              <w:left w:w="15" w:type="dxa"/>
              <w:right w:w="15" w:type="dxa"/>
            </w:tcMar>
            <w:vAlign w:val="center"/>
          </w:tcPr>
          <w:p w14:paraId="7F3EBC79">
            <w:pPr>
              <w:pStyle w:val="48"/>
              <w:rPr>
                <w:rFonts w:eastAsia="仿宋" w:cs="Times New Roman"/>
              </w:rPr>
            </w:pPr>
            <w:r>
              <w:rPr>
                <w:rFonts w:eastAsia="仿宋" w:cs="Times New Roman"/>
              </w:rPr>
              <w:t>达标</w:t>
            </w:r>
          </w:p>
        </w:tc>
      </w:tr>
      <w:tr w14:paraId="409F8E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1550A22E">
            <w:pPr>
              <w:pStyle w:val="48"/>
              <w:rPr>
                <w:rFonts w:eastAsia="仿宋" w:cs="Times New Roman"/>
              </w:rPr>
            </w:pPr>
            <w:r>
              <w:rPr>
                <w:rFonts w:hint="eastAsia" w:eastAsia="仿宋" w:cs="Times New Roman"/>
              </w:rPr>
              <w:t>6</w:t>
            </w:r>
          </w:p>
        </w:tc>
        <w:tc>
          <w:tcPr>
            <w:tcW w:w="617" w:type="pct"/>
            <w:tcBorders>
              <w:tl2br w:val="nil"/>
              <w:tr2bl w:val="nil"/>
            </w:tcBorders>
            <w:shd w:val="clear" w:color="auto" w:fill="auto"/>
            <w:tcMar>
              <w:top w:w="15" w:type="dxa"/>
              <w:left w:w="15" w:type="dxa"/>
              <w:right w:w="15" w:type="dxa"/>
            </w:tcMar>
            <w:vAlign w:val="center"/>
          </w:tcPr>
          <w:p w14:paraId="09740B07">
            <w:pPr>
              <w:pStyle w:val="48"/>
              <w:rPr>
                <w:rFonts w:eastAsia="仿宋" w:cs="Times New Roman"/>
              </w:rPr>
            </w:pPr>
            <w:r>
              <w:rPr>
                <w:rFonts w:hint="eastAsia" w:eastAsia="仿宋" w:cs="Times New Roman"/>
              </w:rPr>
              <w:t>湖南信诺颜料科技有限公司</w:t>
            </w:r>
          </w:p>
        </w:tc>
        <w:tc>
          <w:tcPr>
            <w:tcW w:w="340" w:type="pct"/>
            <w:tcBorders>
              <w:tl2br w:val="nil"/>
              <w:tr2bl w:val="nil"/>
            </w:tcBorders>
            <w:shd w:val="clear" w:color="auto" w:fill="auto"/>
            <w:tcMar>
              <w:top w:w="15" w:type="dxa"/>
              <w:left w:w="15" w:type="dxa"/>
              <w:right w:w="15" w:type="dxa"/>
            </w:tcMar>
            <w:vAlign w:val="center"/>
          </w:tcPr>
          <w:p w14:paraId="15415294">
            <w:pPr>
              <w:pStyle w:val="48"/>
              <w:rPr>
                <w:rFonts w:eastAsia="仿宋" w:cs="Times New Roman"/>
              </w:rPr>
            </w:pPr>
            <w:r>
              <w:rPr>
                <w:rFonts w:eastAsia="仿宋" w:cs="Times New Roman"/>
              </w:rPr>
              <w:t>总排口</w:t>
            </w:r>
          </w:p>
        </w:tc>
        <w:tc>
          <w:tcPr>
            <w:tcW w:w="763" w:type="pct"/>
            <w:tcBorders>
              <w:tl2br w:val="nil"/>
              <w:tr2bl w:val="nil"/>
            </w:tcBorders>
            <w:shd w:val="clear" w:color="auto" w:fill="auto"/>
            <w:tcMar>
              <w:top w:w="15" w:type="dxa"/>
              <w:left w:w="15" w:type="dxa"/>
              <w:right w:w="15" w:type="dxa"/>
            </w:tcMar>
            <w:vAlign w:val="center"/>
          </w:tcPr>
          <w:p w14:paraId="7068AD57">
            <w:pPr>
              <w:pStyle w:val="48"/>
              <w:rPr>
                <w:rFonts w:eastAsia="仿宋" w:cs="Times New Roman"/>
              </w:rPr>
            </w:pPr>
            <w:r>
              <w:rPr>
                <w:rFonts w:hint="eastAsia" w:eastAsia="仿宋" w:cs="Times New Roman"/>
              </w:rPr>
              <w:t>六价铬、总铜、</w:t>
            </w:r>
            <w:r>
              <w:rPr>
                <w:rFonts w:eastAsia="仿宋" w:cs="Times New Roman"/>
              </w:rPr>
              <w:t>pH</w:t>
            </w:r>
          </w:p>
        </w:tc>
        <w:tc>
          <w:tcPr>
            <w:tcW w:w="589" w:type="pct"/>
            <w:tcBorders>
              <w:tl2br w:val="nil"/>
              <w:tr2bl w:val="nil"/>
            </w:tcBorders>
            <w:shd w:val="clear" w:color="auto" w:fill="auto"/>
            <w:tcMar>
              <w:top w:w="15" w:type="dxa"/>
              <w:left w:w="15" w:type="dxa"/>
              <w:right w:w="15" w:type="dxa"/>
            </w:tcMar>
            <w:vAlign w:val="center"/>
          </w:tcPr>
          <w:p w14:paraId="35064C5E">
            <w:pPr>
              <w:pStyle w:val="48"/>
              <w:rPr>
                <w:rFonts w:eastAsia="仿宋" w:cs="Times New Roman"/>
              </w:rPr>
            </w:pPr>
            <w:r>
              <w:rPr>
                <w:rFonts w:eastAsia="仿宋" w:cs="Times New Roman"/>
              </w:rPr>
              <w:t>是</w:t>
            </w:r>
          </w:p>
        </w:tc>
        <w:tc>
          <w:tcPr>
            <w:tcW w:w="1094" w:type="pct"/>
            <w:tcBorders>
              <w:tl2br w:val="nil"/>
              <w:tr2bl w:val="nil"/>
            </w:tcBorders>
            <w:shd w:val="clear" w:color="auto" w:fill="auto"/>
            <w:tcMar>
              <w:top w:w="15" w:type="dxa"/>
              <w:left w:w="15" w:type="dxa"/>
              <w:right w:w="15" w:type="dxa"/>
            </w:tcMar>
            <w:vAlign w:val="center"/>
          </w:tcPr>
          <w:p w14:paraId="366C4D53">
            <w:pPr>
              <w:pStyle w:val="48"/>
              <w:rPr>
                <w:rFonts w:eastAsia="仿宋" w:cs="Times New Roman"/>
              </w:rPr>
            </w:pPr>
            <w:r>
              <w:rPr>
                <w:rFonts w:hint="eastAsia" w:eastAsia="仿宋" w:cs="Times New Roman"/>
              </w:rPr>
              <w:t>湘潭市污染源自动监控管理平台</w:t>
            </w:r>
          </w:p>
        </w:tc>
        <w:tc>
          <w:tcPr>
            <w:tcW w:w="849" w:type="pct"/>
            <w:tcBorders>
              <w:tl2br w:val="nil"/>
              <w:tr2bl w:val="nil"/>
            </w:tcBorders>
            <w:shd w:val="clear" w:color="auto" w:fill="auto"/>
            <w:tcMar>
              <w:top w:w="15" w:type="dxa"/>
              <w:left w:w="15" w:type="dxa"/>
              <w:right w:w="15" w:type="dxa"/>
            </w:tcMar>
            <w:vAlign w:val="center"/>
          </w:tcPr>
          <w:p w14:paraId="10E90D8E">
            <w:pPr>
              <w:pStyle w:val="48"/>
              <w:rPr>
                <w:rFonts w:eastAsia="仿宋" w:cs="Times New Roman"/>
              </w:rPr>
            </w:pPr>
            <w:r>
              <w:rPr>
                <w:rFonts w:hint="eastAsia" w:eastAsia="仿宋" w:cs="Times New Roman"/>
              </w:rPr>
              <w:t>湖南贝克特环保科技有限公司</w:t>
            </w:r>
          </w:p>
        </w:tc>
        <w:tc>
          <w:tcPr>
            <w:tcW w:w="607" w:type="pct"/>
            <w:tcBorders>
              <w:tl2br w:val="nil"/>
              <w:tr2bl w:val="nil"/>
            </w:tcBorders>
            <w:shd w:val="clear" w:color="auto" w:fill="auto"/>
            <w:tcMar>
              <w:top w:w="15" w:type="dxa"/>
              <w:left w:w="15" w:type="dxa"/>
              <w:right w:w="15" w:type="dxa"/>
            </w:tcMar>
            <w:vAlign w:val="center"/>
          </w:tcPr>
          <w:p w14:paraId="5AEBA78A">
            <w:pPr>
              <w:pStyle w:val="48"/>
              <w:rPr>
                <w:rFonts w:eastAsia="仿宋" w:cs="Times New Roman"/>
              </w:rPr>
            </w:pPr>
            <w:r>
              <w:rPr>
                <w:rFonts w:eastAsia="仿宋" w:cs="Times New Roman"/>
              </w:rPr>
              <w:t>达标</w:t>
            </w:r>
          </w:p>
        </w:tc>
      </w:tr>
    </w:tbl>
    <w:p w14:paraId="2423ECF8">
      <w:pPr>
        <w:pStyle w:val="21"/>
        <w:spacing w:after="0" w:line="360" w:lineRule="auto"/>
        <w:ind w:left="0" w:leftChars="0" w:firstLine="640"/>
        <w:rPr>
          <w:rFonts w:ascii="Times New Roman" w:hAnsi="Times New Roman" w:eastAsia="仿宋"/>
          <w:b/>
          <w:bCs/>
          <w:szCs w:val="32"/>
        </w:rPr>
      </w:pPr>
      <w:r>
        <w:rPr>
          <w:rFonts w:ascii="Times New Roman" w:hAnsi="Times New Roman" w:eastAsia="仿宋"/>
          <w:szCs w:val="32"/>
        </w:rPr>
        <w:t>经开区的废水重点污染源纳入了“重点污染源自动监控于基础数据库系统V3.2”(西安长天)和“湘潭市污染源自动监控管理平台“(力合科技（湖南）股份有限公司)在线监控，企业自身例行监测，全面系统掌控园区建设、发展过程中的环境质量的变化。</w:t>
      </w:r>
    </w:p>
    <w:p w14:paraId="5835C9BE">
      <w:pPr>
        <w:pStyle w:val="21"/>
        <w:spacing w:after="0" w:line="360" w:lineRule="auto"/>
        <w:ind w:left="0" w:leftChars="0" w:firstLine="643"/>
        <w:rPr>
          <w:rFonts w:ascii="Times New Roman" w:hAnsi="Times New Roman" w:eastAsia="仿宋"/>
          <w:b/>
          <w:bCs/>
          <w:szCs w:val="32"/>
        </w:rPr>
      </w:pPr>
      <w:r>
        <w:rPr>
          <w:rFonts w:ascii="Times New Roman" w:hAnsi="Times New Roman" w:eastAsia="仿宋"/>
          <w:b/>
          <w:bCs/>
          <w:szCs w:val="32"/>
        </w:rPr>
        <w:t>3、地表水环境质量监测情况</w:t>
      </w:r>
    </w:p>
    <w:p w14:paraId="24BC7B2C">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湘潭县顺业污水处理厂排污口下游最近的地表水水质管控断面名称湘江五星（一水厂)，水功能区划Ⅱ类，监测达标率</w:t>
      </w:r>
      <w:r>
        <w:rPr>
          <w:rFonts w:ascii="Times New Roman" w:hAnsi="Times New Roman" w:eastAsia="仿宋"/>
          <w:szCs w:val="32"/>
          <w:u w:val="single"/>
        </w:rPr>
        <w:t>100</w:t>
      </w:r>
      <w:r>
        <w:rPr>
          <w:rFonts w:ascii="Times New Roman" w:hAnsi="Times New Roman" w:eastAsia="仿宋"/>
          <w:szCs w:val="32"/>
        </w:rPr>
        <w:t>%，超标因子</w:t>
      </w:r>
      <w:r>
        <w:rPr>
          <w:rFonts w:ascii="Times New Roman" w:hAnsi="Times New Roman" w:eastAsia="仿宋"/>
          <w:szCs w:val="32"/>
          <w:u w:val="single"/>
        </w:rPr>
        <w:t>/</w:t>
      </w:r>
      <w:r>
        <w:rPr>
          <w:rFonts w:ascii="Times New Roman" w:hAnsi="Times New Roman" w:eastAsia="仿宋"/>
          <w:szCs w:val="32"/>
        </w:rPr>
        <w:t xml:space="preserve"> ，最大超标倍数</w:t>
      </w:r>
      <w:r>
        <w:rPr>
          <w:rFonts w:ascii="Times New Roman" w:hAnsi="Times New Roman" w:eastAsia="仿宋"/>
          <w:szCs w:val="32"/>
          <w:u w:val="single"/>
        </w:rPr>
        <w:t>/</w:t>
      </w:r>
      <w:r>
        <w:rPr>
          <w:rFonts w:ascii="Times New Roman" w:hAnsi="Times New Roman" w:eastAsia="仿宋"/>
          <w:szCs w:val="32"/>
        </w:rPr>
        <w:t>倍。</w:t>
      </w:r>
    </w:p>
    <w:p w14:paraId="24594B31">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湘潭县北控</w:t>
      </w:r>
      <w:r>
        <w:rPr>
          <w:rFonts w:hint="eastAsia" w:ascii="Times New Roman" w:hAnsi="Times New Roman" w:eastAsia="仿宋"/>
          <w:szCs w:val="32"/>
        </w:rPr>
        <w:t>天意</w:t>
      </w:r>
      <w:r>
        <w:rPr>
          <w:rFonts w:ascii="Times New Roman" w:hAnsi="Times New Roman" w:eastAsia="仿宋"/>
          <w:szCs w:val="32"/>
        </w:rPr>
        <w:t>水质净化有限公司排污口下游最近的地表水水质管控断面名称</w:t>
      </w:r>
      <w:r>
        <w:rPr>
          <w:rFonts w:hint="eastAsia" w:ascii="Times New Roman" w:hAnsi="Times New Roman" w:eastAsia="仿宋"/>
          <w:szCs w:val="32"/>
        </w:rPr>
        <w:t>涓水入湘江口</w:t>
      </w:r>
      <w:r>
        <w:rPr>
          <w:rFonts w:ascii="Times New Roman" w:hAnsi="Times New Roman" w:eastAsia="仿宋"/>
          <w:szCs w:val="32"/>
        </w:rPr>
        <w:t>，水功能区划Ⅲ类，监测达标率</w:t>
      </w:r>
      <w:r>
        <w:rPr>
          <w:rFonts w:ascii="Times New Roman" w:hAnsi="Times New Roman" w:eastAsia="仿宋"/>
          <w:szCs w:val="32"/>
          <w:u w:val="single"/>
        </w:rPr>
        <w:t>100</w:t>
      </w:r>
      <w:r>
        <w:rPr>
          <w:rFonts w:ascii="Times New Roman" w:hAnsi="Times New Roman" w:eastAsia="仿宋"/>
          <w:szCs w:val="32"/>
        </w:rPr>
        <w:t>%，超标因子</w:t>
      </w:r>
      <w:r>
        <w:rPr>
          <w:rFonts w:ascii="Times New Roman" w:hAnsi="Times New Roman" w:eastAsia="仿宋"/>
          <w:szCs w:val="32"/>
          <w:u w:val="single"/>
        </w:rPr>
        <w:t>/</w:t>
      </w:r>
      <w:r>
        <w:rPr>
          <w:rFonts w:ascii="Times New Roman" w:hAnsi="Times New Roman" w:eastAsia="仿宋"/>
          <w:szCs w:val="32"/>
        </w:rPr>
        <w:t>，最大超标倍数</w:t>
      </w:r>
      <w:r>
        <w:rPr>
          <w:rFonts w:ascii="Times New Roman" w:hAnsi="Times New Roman" w:eastAsia="仿宋"/>
          <w:szCs w:val="32"/>
          <w:u w:val="single"/>
        </w:rPr>
        <w:t>/</w:t>
      </w:r>
      <w:r>
        <w:rPr>
          <w:rFonts w:ascii="Times New Roman" w:hAnsi="Times New Roman" w:eastAsia="仿宋"/>
          <w:szCs w:val="32"/>
        </w:rPr>
        <w:t>倍。</w:t>
      </w:r>
    </w:p>
    <w:p w14:paraId="5F6464D7">
      <w:pPr>
        <w:pStyle w:val="21"/>
        <w:spacing w:after="0" w:line="360" w:lineRule="auto"/>
        <w:ind w:left="0" w:leftChars="0" w:firstLine="643"/>
        <w:rPr>
          <w:rFonts w:ascii="Times New Roman" w:hAnsi="Times New Roman" w:eastAsia="仿宋"/>
          <w:b/>
          <w:bCs/>
          <w:szCs w:val="32"/>
        </w:rPr>
      </w:pPr>
      <w:r>
        <w:rPr>
          <w:rFonts w:ascii="Times New Roman" w:hAnsi="Times New Roman" w:eastAsia="仿宋"/>
          <w:b/>
          <w:bCs/>
          <w:szCs w:val="32"/>
        </w:rPr>
        <w:t>4、“双源”地下水监测建设情况及监测结果自评</w:t>
      </w:r>
    </w:p>
    <w:p w14:paraId="55D7CADA">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目前，园区无“双源”地下水监测。</w:t>
      </w:r>
    </w:p>
    <w:p w14:paraId="3AA8492A">
      <w:pPr>
        <w:spacing w:line="360" w:lineRule="auto"/>
        <w:ind w:firstLine="643" w:firstLineChars="200"/>
        <w:rPr>
          <w:rFonts w:ascii="Times New Roman" w:hAnsi="Times New Roman" w:eastAsia="仿宋" w:cs="Times New Roman"/>
          <w:b/>
          <w:bCs/>
          <w:sz w:val="32"/>
          <w:szCs w:val="32"/>
        </w:rPr>
      </w:pPr>
      <w:r>
        <w:rPr>
          <w:rFonts w:ascii="Times New Roman" w:hAnsi="Times New Roman" w:eastAsia="仿宋" w:cs="Times New Roman"/>
          <w:b/>
          <w:bCs/>
          <w:sz w:val="32"/>
          <w:szCs w:val="32"/>
        </w:rPr>
        <w:t>5、园区内涉及黑臭水体情况</w:t>
      </w:r>
    </w:p>
    <w:p w14:paraId="69F11A51">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园区</w:t>
      </w:r>
      <w:r>
        <w:rPr>
          <w:rFonts w:hint="eastAsia" w:ascii="Times New Roman" w:hAnsi="Times New Roman" w:eastAsia="仿宋"/>
          <w:szCs w:val="32"/>
        </w:rPr>
        <w:t>不涉及黑臭水体。</w:t>
      </w:r>
    </w:p>
    <w:p w14:paraId="4F800938">
      <w:bookmarkStart w:id="32" w:name="_Toc27211"/>
      <w:bookmarkStart w:id="33" w:name="_Toc28310"/>
    </w:p>
    <w:p w14:paraId="7F0421B0">
      <w:pPr>
        <w:pStyle w:val="21"/>
        <w:snapToGrid w:val="0"/>
        <w:spacing w:after="0" w:line="360" w:lineRule="auto"/>
        <w:ind w:left="0" w:leftChars="0" w:firstLine="643"/>
        <w:outlineLvl w:val="1"/>
        <w:rPr>
          <w:rFonts w:ascii="Times New Roman" w:hAnsi="Times New Roman" w:eastAsia="仿宋"/>
          <w:b/>
          <w:bCs/>
          <w:szCs w:val="32"/>
        </w:rPr>
      </w:pPr>
      <w:r>
        <w:rPr>
          <w:rFonts w:ascii="Times New Roman" w:hAnsi="Times New Roman" w:eastAsia="仿宋"/>
          <w:b/>
          <w:bCs/>
          <w:szCs w:val="32"/>
        </w:rPr>
        <w:t>（四）大气环境管理</w:t>
      </w:r>
      <w:bookmarkEnd w:id="32"/>
      <w:bookmarkEnd w:id="33"/>
    </w:p>
    <w:p w14:paraId="0672A39E">
      <w:pPr>
        <w:pStyle w:val="21"/>
        <w:snapToGrid w:val="0"/>
        <w:spacing w:after="0" w:line="360" w:lineRule="auto"/>
        <w:ind w:left="0" w:leftChars="0" w:firstLine="643"/>
        <w:rPr>
          <w:rFonts w:ascii="Times New Roman" w:hAnsi="Times New Roman" w:eastAsia="仿宋"/>
          <w:b/>
          <w:bCs/>
          <w:szCs w:val="32"/>
        </w:rPr>
      </w:pPr>
      <w:r>
        <w:rPr>
          <w:rFonts w:ascii="Times New Roman" w:hAnsi="Times New Roman" w:eastAsia="仿宋"/>
          <w:b/>
          <w:bCs/>
          <w:szCs w:val="32"/>
        </w:rPr>
        <w:t>1、园区涉及工业废气企业污染物排放情况</w:t>
      </w:r>
    </w:p>
    <w:p w14:paraId="5D8DF9CB">
      <w:pPr>
        <w:pStyle w:val="21"/>
        <w:snapToGrid w:val="0"/>
        <w:spacing w:after="0" w:line="360" w:lineRule="auto"/>
        <w:ind w:left="0" w:leftChars="0" w:firstLine="640"/>
        <w:rPr>
          <w:rFonts w:ascii="Times New Roman" w:hAnsi="Times New Roman" w:eastAsia="仿宋"/>
          <w:szCs w:val="32"/>
        </w:rPr>
      </w:pPr>
      <w:r>
        <w:rPr>
          <w:rFonts w:ascii="Times New Roman" w:hAnsi="Times New Roman" w:eastAsia="仿宋"/>
          <w:szCs w:val="32"/>
        </w:rPr>
        <w:t>园区内涉及工业废气外排企业数量</w:t>
      </w:r>
      <w:r>
        <w:rPr>
          <w:rFonts w:hint="eastAsia" w:ascii="Times New Roman" w:hAnsi="Times New Roman" w:eastAsia="仿宋"/>
          <w:szCs w:val="32"/>
          <w:u w:val="single"/>
        </w:rPr>
        <w:t>44</w:t>
      </w:r>
      <w:r>
        <w:rPr>
          <w:rFonts w:ascii="Times New Roman" w:hAnsi="Times New Roman" w:eastAsia="仿宋"/>
          <w:szCs w:val="32"/>
        </w:rPr>
        <w:t>个</w:t>
      </w:r>
      <w:r>
        <w:rPr>
          <w:rFonts w:hint="eastAsia" w:ascii="Times New Roman" w:hAnsi="Times New Roman" w:eastAsia="仿宋"/>
          <w:szCs w:val="32"/>
        </w:rPr>
        <w:t>（环统数据）</w:t>
      </w:r>
      <w:r>
        <w:rPr>
          <w:rFonts w:ascii="Times New Roman" w:hAnsi="Times New Roman" w:eastAsia="仿宋"/>
          <w:szCs w:val="32"/>
        </w:rPr>
        <w:t>，大气质量监测达标率</w:t>
      </w:r>
      <w:r>
        <w:rPr>
          <w:rFonts w:ascii="Times New Roman" w:hAnsi="Times New Roman" w:eastAsia="仿宋"/>
          <w:szCs w:val="32"/>
          <w:u w:val="single"/>
        </w:rPr>
        <w:t>100%</w:t>
      </w:r>
      <w:r>
        <w:rPr>
          <w:rFonts w:ascii="Times New Roman" w:hAnsi="Times New Roman" w:eastAsia="仿宋"/>
          <w:szCs w:val="32"/>
        </w:rPr>
        <w:t>，超标因子</w:t>
      </w:r>
      <w:r>
        <w:rPr>
          <w:rFonts w:ascii="Times New Roman" w:hAnsi="Times New Roman" w:eastAsia="仿宋"/>
          <w:szCs w:val="32"/>
          <w:u w:val="single"/>
        </w:rPr>
        <w:t>无</w:t>
      </w:r>
      <w:r>
        <w:rPr>
          <w:rFonts w:ascii="Times New Roman" w:hAnsi="Times New Roman" w:eastAsia="仿宋"/>
          <w:szCs w:val="32"/>
        </w:rPr>
        <w:t>，最大超标倍数</w:t>
      </w:r>
      <w:r>
        <w:rPr>
          <w:rFonts w:ascii="Times New Roman" w:hAnsi="Times New Roman" w:eastAsia="仿宋"/>
          <w:szCs w:val="32"/>
          <w:u w:val="single"/>
        </w:rPr>
        <w:t>/</w:t>
      </w:r>
      <w:r>
        <w:rPr>
          <w:rFonts w:ascii="Times New Roman" w:hAnsi="Times New Roman" w:eastAsia="仿宋"/>
          <w:szCs w:val="32"/>
        </w:rPr>
        <w:t>倍。大气污染物总排放量：二氧化硫</w:t>
      </w:r>
      <w:r>
        <w:rPr>
          <w:rFonts w:hint="eastAsia" w:ascii="Times New Roman" w:hAnsi="Times New Roman" w:eastAsia="仿宋"/>
          <w:szCs w:val="32"/>
          <w:u w:val="single"/>
        </w:rPr>
        <w:t>21.229</w:t>
      </w:r>
      <w:r>
        <w:rPr>
          <w:rFonts w:ascii="Times New Roman" w:hAnsi="Times New Roman" w:eastAsia="仿宋"/>
          <w:szCs w:val="32"/>
        </w:rPr>
        <w:t>t/a，氮氧化物</w:t>
      </w:r>
      <w:r>
        <w:rPr>
          <w:rFonts w:hint="eastAsia" w:ascii="Times New Roman" w:hAnsi="Times New Roman" w:eastAsia="仿宋"/>
          <w:szCs w:val="32"/>
          <w:u w:val="single"/>
        </w:rPr>
        <w:t>27.02</w:t>
      </w:r>
      <w:r>
        <w:rPr>
          <w:rFonts w:ascii="Times New Roman" w:hAnsi="Times New Roman" w:eastAsia="仿宋"/>
          <w:szCs w:val="32"/>
        </w:rPr>
        <w:t>t/a，</w:t>
      </w:r>
      <w:r>
        <w:rPr>
          <w:rFonts w:hint="eastAsia" w:ascii="Times New Roman" w:hAnsi="Times New Roman" w:eastAsia="仿宋"/>
          <w:szCs w:val="32"/>
        </w:rPr>
        <w:t>VOC</w:t>
      </w:r>
      <w:r>
        <w:rPr>
          <w:rFonts w:hint="eastAsia" w:ascii="Times New Roman" w:hAnsi="Times New Roman" w:eastAsia="仿宋"/>
          <w:szCs w:val="32"/>
          <w:vertAlign w:val="subscript"/>
        </w:rPr>
        <w:t>S</w:t>
      </w:r>
      <w:r>
        <w:rPr>
          <w:rFonts w:hint="eastAsia" w:ascii="Times New Roman" w:hAnsi="Times New Roman" w:eastAsia="仿宋"/>
          <w:szCs w:val="32"/>
          <w:u w:val="single"/>
        </w:rPr>
        <w:t>692.452838</w:t>
      </w:r>
      <w:r>
        <w:rPr>
          <w:rFonts w:ascii="Times New Roman" w:hAnsi="Times New Roman" w:eastAsia="仿宋"/>
          <w:szCs w:val="32"/>
        </w:rPr>
        <w:t>t/a，其他</w:t>
      </w:r>
      <w:r>
        <w:rPr>
          <w:rFonts w:ascii="Times New Roman" w:hAnsi="Times New Roman" w:eastAsia="仿宋"/>
          <w:szCs w:val="32"/>
          <w:u w:val="single"/>
        </w:rPr>
        <w:t xml:space="preserve"> / </w:t>
      </w:r>
      <w:r>
        <w:rPr>
          <w:rFonts w:ascii="Times New Roman" w:hAnsi="Times New Roman" w:eastAsia="仿宋"/>
          <w:szCs w:val="32"/>
        </w:rPr>
        <w:t>t/a。根据2014年《湖南湘潭天易经济开发区扩区与调整区位环境影响报告书》及批复，给出的二氧化硫总量控制指标为</w:t>
      </w:r>
      <w:r>
        <w:rPr>
          <w:rFonts w:ascii="Times New Roman" w:hAnsi="Times New Roman" w:eastAsia="仿宋"/>
          <w:szCs w:val="32"/>
          <w:u w:val="single"/>
        </w:rPr>
        <w:t>0.5</w:t>
      </w:r>
      <w:r>
        <w:rPr>
          <w:rFonts w:ascii="Times New Roman" w:hAnsi="Times New Roman" w:eastAsia="仿宋"/>
          <w:szCs w:val="32"/>
        </w:rPr>
        <w:t>t/a，氮氧化物总量控制指标为</w:t>
      </w:r>
      <w:r>
        <w:rPr>
          <w:rFonts w:ascii="Times New Roman" w:hAnsi="Times New Roman" w:eastAsia="仿宋"/>
          <w:szCs w:val="32"/>
          <w:u w:val="single"/>
        </w:rPr>
        <w:t>21</w:t>
      </w:r>
      <w:r>
        <w:rPr>
          <w:rFonts w:ascii="Times New Roman" w:hAnsi="Times New Roman" w:eastAsia="仿宋"/>
          <w:szCs w:val="32"/>
        </w:rPr>
        <w:t>t/a，未对挥发性有机物提出总量控制指标要求。由于规划环评编制过程中总量控制指标数据核算出现错误，批复中二氧化硫及氮氧化物总量指标极小</w:t>
      </w:r>
      <w:r>
        <w:rPr>
          <w:rFonts w:hint="eastAsia" w:ascii="Times New Roman" w:hAnsi="Times New Roman" w:eastAsia="仿宋"/>
          <w:szCs w:val="32"/>
          <w:lang w:eastAsia="zh-CN"/>
        </w:rPr>
        <w:t>，</w:t>
      </w:r>
      <w:r>
        <w:rPr>
          <w:rFonts w:ascii="Times New Roman" w:hAnsi="Times New Roman" w:eastAsia="仿宋"/>
          <w:szCs w:val="32"/>
        </w:rPr>
        <w:t>导致园区二氧化硫、氮氧化物实际排放量超出总量控制指标要求。园区已完成《</w:t>
      </w:r>
      <w:r>
        <w:rPr>
          <w:rFonts w:hint="eastAsia" w:ascii="Times New Roman" w:hAnsi="Times New Roman" w:eastAsia="仿宋"/>
          <w:szCs w:val="32"/>
        </w:rPr>
        <w:t>湖南湘潭天易经济开发区环境影响跟踪评价</w:t>
      </w:r>
      <w:r>
        <w:rPr>
          <w:rFonts w:ascii="Times New Roman" w:hAnsi="Times New Roman" w:eastAsia="仿宋"/>
          <w:szCs w:val="32"/>
        </w:rPr>
        <w:t>》，报告中建议经开区尽快开展调区扩区工作，重新核定园区污染物排放总量指标。</w:t>
      </w:r>
    </w:p>
    <w:p w14:paraId="1DC2B9EA">
      <w:pPr>
        <w:pStyle w:val="21"/>
        <w:snapToGrid w:val="0"/>
        <w:spacing w:after="0" w:line="360" w:lineRule="auto"/>
        <w:ind w:left="0" w:leftChars="0" w:firstLine="640"/>
        <w:rPr>
          <w:rFonts w:ascii="Times New Roman" w:hAnsi="Times New Roman" w:eastAsia="仿宋"/>
          <w:szCs w:val="32"/>
        </w:rPr>
      </w:pPr>
      <w:r>
        <w:rPr>
          <w:rFonts w:ascii="Times New Roman" w:hAnsi="Times New Roman" w:eastAsia="仿宋"/>
          <w:szCs w:val="32"/>
        </w:rPr>
        <w:t>经开区涉气重点企业在线监控设施具体情况见表5。</w:t>
      </w:r>
    </w:p>
    <w:p w14:paraId="70B0C277">
      <w:pPr>
        <w:pStyle w:val="33"/>
        <w:rPr>
          <w:rFonts w:eastAsia="仿宋" w:cs="Times New Roman"/>
          <w:bCs/>
          <w:sz w:val="28"/>
          <w:szCs w:val="28"/>
        </w:rPr>
      </w:pPr>
      <w:r>
        <w:rPr>
          <w:rFonts w:eastAsia="仿宋" w:cs="Times New Roman"/>
          <w:bCs/>
          <w:sz w:val="28"/>
          <w:szCs w:val="28"/>
        </w:rPr>
        <w:t>表5  废气污染源在线监控安装情况一览表</w:t>
      </w:r>
    </w:p>
    <w:tbl>
      <w:tblPr>
        <w:tblStyle w:val="22"/>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316"/>
        <w:gridCol w:w="1010"/>
        <w:gridCol w:w="651"/>
        <w:gridCol w:w="1318"/>
        <w:gridCol w:w="810"/>
        <w:gridCol w:w="1523"/>
        <w:gridCol w:w="1215"/>
        <w:gridCol w:w="1488"/>
      </w:tblGrid>
      <w:tr w14:paraId="5803F0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072B3F92">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序号</w:t>
            </w:r>
          </w:p>
        </w:tc>
        <w:tc>
          <w:tcPr>
            <w:tcW w:w="606" w:type="pct"/>
            <w:tcBorders>
              <w:tl2br w:val="nil"/>
              <w:tr2bl w:val="nil"/>
            </w:tcBorders>
            <w:shd w:val="clear" w:color="auto" w:fill="auto"/>
            <w:tcMar>
              <w:top w:w="15" w:type="dxa"/>
              <w:left w:w="15" w:type="dxa"/>
              <w:right w:w="15" w:type="dxa"/>
            </w:tcMar>
            <w:vAlign w:val="center"/>
          </w:tcPr>
          <w:p w14:paraId="201992A9">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企业名称</w:t>
            </w:r>
          </w:p>
        </w:tc>
        <w:tc>
          <w:tcPr>
            <w:tcW w:w="391" w:type="pct"/>
            <w:tcBorders>
              <w:tl2br w:val="nil"/>
              <w:tr2bl w:val="nil"/>
            </w:tcBorders>
            <w:shd w:val="clear" w:color="auto" w:fill="auto"/>
            <w:tcMar>
              <w:top w:w="15" w:type="dxa"/>
              <w:left w:w="15" w:type="dxa"/>
              <w:right w:w="15" w:type="dxa"/>
            </w:tcMar>
            <w:vAlign w:val="center"/>
          </w:tcPr>
          <w:p w14:paraId="45800F44">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点位</w:t>
            </w:r>
          </w:p>
        </w:tc>
        <w:tc>
          <w:tcPr>
            <w:tcW w:w="791" w:type="pct"/>
            <w:tcBorders>
              <w:tl2br w:val="nil"/>
              <w:tr2bl w:val="nil"/>
            </w:tcBorders>
            <w:shd w:val="clear" w:color="auto" w:fill="auto"/>
            <w:tcMar>
              <w:top w:w="15" w:type="dxa"/>
              <w:left w:w="15" w:type="dxa"/>
              <w:right w:w="15" w:type="dxa"/>
            </w:tcMar>
            <w:vAlign w:val="center"/>
          </w:tcPr>
          <w:p w14:paraId="557F2F7D">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项目</w:t>
            </w:r>
          </w:p>
        </w:tc>
        <w:tc>
          <w:tcPr>
            <w:tcW w:w="486" w:type="pct"/>
            <w:tcBorders>
              <w:tl2br w:val="nil"/>
              <w:tr2bl w:val="nil"/>
            </w:tcBorders>
            <w:shd w:val="clear" w:color="auto" w:fill="auto"/>
            <w:tcMar>
              <w:top w:w="15" w:type="dxa"/>
              <w:left w:w="15" w:type="dxa"/>
              <w:right w:w="15" w:type="dxa"/>
            </w:tcMar>
            <w:vAlign w:val="center"/>
          </w:tcPr>
          <w:p w14:paraId="3AEFA0FA">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是否联网验收</w:t>
            </w:r>
          </w:p>
        </w:tc>
        <w:tc>
          <w:tcPr>
            <w:tcW w:w="914" w:type="pct"/>
            <w:tcBorders>
              <w:tl2br w:val="nil"/>
              <w:tr2bl w:val="nil"/>
            </w:tcBorders>
            <w:shd w:val="clear" w:color="auto" w:fill="auto"/>
            <w:tcMar>
              <w:top w:w="15" w:type="dxa"/>
              <w:left w:w="15" w:type="dxa"/>
              <w:right w:w="15" w:type="dxa"/>
            </w:tcMar>
            <w:vAlign w:val="center"/>
          </w:tcPr>
          <w:p w14:paraId="18B14471">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监控平台名称</w:t>
            </w:r>
          </w:p>
        </w:tc>
        <w:tc>
          <w:tcPr>
            <w:tcW w:w="729" w:type="pct"/>
            <w:tcBorders>
              <w:tl2br w:val="nil"/>
              <w:tr2bl w:val="nil"/>
            </w:tcBorders>
            <w:shd w:val="clear" w:color="auto" w:fill="auto"/>
            <w:tcMar>
              <w:top w:w="15" w:type="dxa"/>
              <w:left w:w="15" w:type="dxa"/>
              <w:right w:w="15" w:type="dxa"/>
            </w:tcMar>
            <w:vAlign w:val="center"/>
          </w:tcPr>
          <w:p w14:paraId="4493DFBB">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运营公司</w:t>
            </w:r>
          </w:p>
        </w:tc>
        <w:tc>
          <w:tcPr>
            <w:tcW w:w="893" w:type="pct"/>
            <w:tcBorders>
              <w:tl2br w:val="nil"/>
              <w:tr2bl w:val="nil"/>
            </w:tcBorders>
            <w:shd w:val="clear" w:color="auto" w:fill="auto"/>
            <w:tcMar>
              <w:top w:w="15" w:type="dxa"/>
              <w:left w:w="15" w:type="dxa"/>
              <w:right w:w="15" w:type="dxa"/>
            </w:tcMar>
            <w:vAlign w:val="center"/>
          </w:tcPr>
          <w:p w14:paraId="719EDC72">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达标情况</w:t>
            </w:r>
          </w:p>
        </w:tc>
      </w:tr>
      <w:tr w14:paraId="3C95219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7829A108">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1</w:t>
            </w:r>
          </w:p>
        </w:tc>
        <w:tc>
          <w:tcPr>
            <w:tcW w:w="606" w:type="pct"/>
            <w:tcBorders>
              <w:tl2br w:val="nil"/>
              <w:tr2bl w:val="nil"/>
            </w:tcBorders>
            <w:shd w:val="clear" w:color="auto" w:fill="auto"/>
            <w:tcMar>
              <w:top w:w="15" w:type="dxa"/>
              <w:left w:w="15" w:type="dxa"/>
              <w:right w:w="15" w:type="dxa"/>
            </w:tcMar>
            <w:vAlign w:val="center"/>
          </w:tcPr>
          <w:p w14:paraId="0398E0BB">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湘潭县康大工贸有限责任公司</w:t>
            </w:r>
          </w:p>
        </w:tc>
        <w:tc>
          <w:tcPr>
            <w:tcW w:w="391" w:type="pct"/>
            <w:tcBorders>
              <w:tl2br w:val="nil"/>
              <w:tr2bl w:val="nil"/>
            </w:tcBorders>
            <w:shd w:val="clear" w:color="auto" w:fill="auto"/>
            <w:tcMar>
              <w:top w:w="15" w:type="dxa"/>
              <w:left w:w="15" w:type="dxa"/>
              <w:right w:w="15" w:type="dxa"/>
            </w:tcMar>
            <w:vAlign w:val="center"/>
          </w:tcPr>
          <w:p w14:paraId="76B09B9F">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回转窑排口</w:t>
            </w:r>
          </w:p>
        </w:tc>
        <w:tc>
          <w:tcPr>
            <w:tcW w:w="791" w:type="pct"/>
            <w:tcBorders>
              <w:tl2br w:val="nil"/>
              <w:tr2bl w:val="nil"/>
            </w:tcBorders>
            <w:shd w:val="clear" w:color="auto" w:fill="auto"/>
            <w:tcMar>
              <w:top w:w="15" w:type="dxa"/>
              <w:left w:w="15" w:type="dxa"/>
              <w:right w:w="15" w:type="dxa"/>
            </w:tcMar>
            <w:vAlign w:val="center"/>
          </w:tcPr>
          <w:p w14:paraId="22A92A44">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SO</w:t>
            </w:r>
            <w:r>
              <w:rPr>
                <w:rFonts w:hint="eastAsia" w:ascii="Times New Roman" w:hAnsi="Times New Roman" w:eastAsia="仿宋" w:cs="Times New Roman"/>
                <w:sz w:val="21"/>
                <w:szCs w:val="21"/>
                <w:vertAlign w:val="subscript"/>
              </w:rPr>
              <w:t>2</w:t>
            </w:r>
            <w:r>
              <w:rPr>
                <w:rFonts w:ascii="Times New Roman" w:hAnsi="Times New Roman" w:eastAsia="仿宋" w:cs="Times New Roman"/>
                <w:sz w:val="21"/>
                <w:szCs w:val="21"/>
              </w:rPr>
              <w:t>、</w:t>
            </w:r>
            <w:r>
              <w:rPr>
                <w:rFonts w:hint="eastAsia" w:ascii="Times New Roman" w:hAnsi="Times New Roman" w:eastAsia="仿宋" w:cs="Times New Roman"/>
                <w:sz w:val="21"/>
                <w:szCs w:val="21"/>
              </w:rPr>
              <w:t>NO</w:t>
            </w:r>
            <w:r>
              <w:rPr>
                <w:rFonts w:hint="eastAsia" w:ascii="Times New Roman" w:hAnsi="Times New Roman" w:eastAsia="仿宋" w:cs="Times New Roman"/>
                <w:sz w:val="21"/>
                <w:szCs w:val="21"/>
                <w:vertAlign w:val="subscript"/>
              </w:rPr>
              <w:t>X</w:t>
            </w:r>
            <w:r>
              <w:rPr>
                <w:rFonts w:ascii="Times New Roman" w:hAnsi="Times New Roman" w:eastAsia="仿宋" w:cs="Times New Roman"/>
                <w:sz w:val="21"/>
                <w:szCs w:val="21"/>
              </w:rPr>
              <w:t>、颗粒物、温度、湿度、流量、含氧量、压力</w:t>
            </w:r>
          </w:p>
        </w:tc>
        <w:tc>
          <w:tcPr>
            <w:tcW w:w="486" w:type="pct"/>
            <w:tcBorders>
              <w:tl2br w:val="nil"/>
              <w:tr2bl w:val="nil"/>
            </w:tcBorders>
            <w:shd w:val="clear" w:color="auto" w:fill="auto"/>
            <w:tcMar>
              <w:top w:w="15" w:type="dxa"/>
              <w:left w:w="15" w:type="dxa"/>
              <w:right w:w="15" w:type="dxa"/>
            </w:tcMar>
            <w:vAlign w:val="center"/>
          </w:tcPr>
          <w:p w14:paraId="70403FB6">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c>
          <w:tcPr>
            <w:tcW w:w="914" w:type="pct"/>
            <w:tcBorders>
              <w:tl2br w:val="nil"/>
              <w:tr2bl w:val="nil"/>
            </w:tcBorders>
            <w:shd w:val="clear" w:color="auto" w:fill="auto"/>
            <w:tcMar>
              <w:top w:w="15" w:type="dxa"/>
              <w:left w:w="15" w:type="dxa"/>
              <w:right w:w="15" w:type="dxa"/>
            </w:tcMar>
            <w:vAlign w:val="center"/>
          </w:tcPr>
          <w:p w14:paraId="5B9B12BC">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重点污染源自动监控与基础数据库系统V3.2(长天平台）</w:t>
            </w:r>
          </w:p>
        </w:tc>
        <w:tc>
          <w:tcPr>
            <w:tcW w:w="729" w:type="pct"/>
            <w:tcBorders>
              <w:tl2br w:val="nil"/>
              <w:tr2bl w:val="nil"/>
            </w:tcBorders>
            <w:shd w:val="clear" w:color="auto" w:fill="auto"/>
            <w:tcMar>
              <w:top w:w="15" w:type="dxa"/>
              <w:left w:w="15" w:type="dxa"/>
              <w:right w:w="15" w:type="dxa"/>
            </w:tcMar>
            <w:vAlign w:val="center"/>
          </w:tcPr>
          <w:p w14:paraId="069F2DBD">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长沙华时捷环保科技发展股份有限公司</w:t>
            </w:r>
          </w:p>
        </w:tc>
        <w:tc>
          <w:tcPr>
            <w:tcW w:w="893" w:type="pct"/>
            <w:tcBorders>
              <w:tl2br w:val="nil"/>
              <w:tr2bl w:val="nil"/>
            </w:tcBorders>
            <w:shd w:val="clear" w:color="auto" w:fill="auto"/>
            <w:tcMar>
              <w:top w:w="15" w:type="dxa"/>
              <w:left w:w="15" w:type="dxa"/>
              <w:right w:w="15" w:type="dxa"/>
            </w:tcMar>
            <w:vAlign w:val="center"/>
          </w:tcPr>
          <w:p w14:paraId="73BD0997">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达标</w:t>
            </w:r>
          </w:p>
        </w:tc>
      </w:tr>
      <w:tr w14:paraId="5C36F0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4ACA2BD9">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2</w:t>
            </w:r>
          </w:p>
        </w:tc>
        <w:tc>
          <w:tcPr>
            <w:tcW w:w="606" w:type="pct"/>
            <w:tcBorders>
              <w:tl2br w:val="nil"/>
              <w:tr2bl w:val="nil"/>
            </w:tcBorders>
            <w:shd w:val="clear" w:color="auto" w:fill="auto"/>
            <w:tcMar>
              <w:top w:w="15" w:type="dxa"/>
              <w:left w:w="15" w:type="dxa"/>
              <w:right w:w="15" w:type="dxa"/>
            </w:tcMar>
            <w:vAlign w:val="center"/>
          </w:tcPr>
          <w:p w14:paraId="71E18AB0">
            <w:pPr>
              <w:snapToGrid w:val="0"/>
              <w:jc w:val="center"/>
              <w:rPr>
                <w:rFonts w:ascii="Times New Roman" w:hAnsi="Times New Roman" w:eastAsia="仿宋" w:cs="Times New Roman"/>
                <w:szCs w:val="21"/>
              </w:rPr>
            </w:pPr>
            <w:r>
              <w:rPr>
                <w:rFonts w:ascii="Times New Roman" w:hAnsi="Times New Roman" w:eastAsia="仿宋" w:cs="Times New Roman"/>
                <w:sz w:val="21"/>
                <w:szCs w:val="21"/>
              </w:rPr>
              <w:t>湘潭县亿鑫锌业有限公司</w:t>
            </w:r>
          </w:p>
        </w:tc>
        <w:tc>
          <w:tcPr>
            <w:tcW w:w="391" w:type="pct"/>
            <w:tcBorders>
              <w:tl2br w:val="nil"/>
              <w:tr2bl w:val="nil"/>
            </w:tcBorders>
            <w:shd w:val="clear" w:color="auto" w:fill="auto"/>
            <w:tcMar>
              <w:top w:w="15" w:type="dxa"/>
              <w:left w:w="15" w:type="dxa"/>
              <w:right w:w="15" w:type="dxa"/>
            </w:tcMar>
            <w:vAlign w:val="center"/>
          </w:tcPr>
          <w:p w14:paraId="35B0C30A">
            <w:pPr>
              <w:snapToGrid w:val="0"/>
              <w:jc w:val="center"/>
              <w:rPr>
                <w:rFonts w:ascii="Times New Roman" w:hAnsi="Times New Roman" w:eastAsia="仿宋" w:cs="Times New Roman"/>
                <w:szCs w:val="21"/>
              </w:rPr>
            </w:pPr>
            <w:r>
              <w:rPr>
                <w:rFonts w:ascii="Times New Roman" w:hAnsi="Times New Roman" w:eastAsia="仿宋" w:cs="Times New Roman"/>
                <w:sz w:val="21"/>
                <w:szCs w:val="21"/>
              </w:rPr>
              <w:t>回转窑排口</w:t>
            </w:r>
          </w:p>
        </w:tc>
        <w:tc>
          <w:tcPr>
            <w:tcW w:w="791" w:type="pct"/>
            <w:tcBorders>
              <w:tl2br w:val="nil"/>
              <w:tr2bl w:val="nil"/>
            </w:tcBorders>
            <w:shd w:val="clear" w:color="auto" w:fill="auto"/>
            <w:tcMar>
              <w:top w:w="15" w:type="dxa"/>
              <w:left w:w="15" w:type="dxa"/>
              <w:right w:w="15" w:type="dxa"/>
            </w:tcMar>
            <w:vAlign w:val="center"/>
          </w:tcPr>
          <w:p w14:paraId="0715B64B">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SO</w:t>
            </w:r>
            <w:r>
              <w:rPr>
                <w:rFonts w:hint="eastAsia" w:ascii="Times New Roman" w:hAnsi="Times New Roman" w:eastAsia="仿宋" w:cs="Times New Roman"/>
                <w:sz w:val="21"/>
                <w:szCs w:val="21"/>
                <w:vertAlign w:val="subscript"/>
              </w:rPr>
              <w:t>2</w:t>
            </w:r>
            <w:r>
              <w:rPr>
                <w:rFonts w:ascii="Times New Roman" w:hAnsi="Times New Roman" w:eastAsia="仿宋" w:cs="Times New Roman"/>
                <w:sz w:val="21"/>
                <w:szCs w:val="21"/>
              </w:rPr>
              <w:t>、</w:t>
            </w:r>
            <w:r>
              <w:rPr>
                <w:rFonts w:hint="eastAsia" w:ascii="Times New Roman" w:hAnsi="Times New Roman" w:eastAsia="仿宋" w:cs="Times New Roman"/>
                <w:sz w:val="21"/>
                <w:szCs w:val="21"/>
              </w:rPr>
              <w:t>NO</w:t>
            </w:r>
            <w:r>
              <w:rPr>
                <w:rFonts w:hint="eastAsia" w:ascii="Times New Roman" w:hAnsi="Times New Roman" w:eastAsia="仿宋" w:cs="Times New Roman"/>
                <w:sz w:val="21"/>
                <w:szCs w:val="21"/>
                <w:vertAlign w:val="subscript"/>
              </w:rPr>
              <w:t>X</w:t>
            </w:r>
            <w:r>
              <w:rPr>
                <w:rFonts w:ascii="Times New Roman" w:hAnsi="Times New Roman" w:eastAsia="仿宋" w:cs="Times New Roman"/>
                <w:sz w:val="21"/>
                <w:szCs w:val="21"/>
              </w:rPr>
              <w:t>、颗粒物、温度、湿度、流量、含氧量、压力</w:t>
            </w:r>
          </w:p>
        </w:tc>
        <w:tc>
          <w:tcPr>
            <w:tcW w:w="486" w:type="pct"/>
            <w:tcBorders>
              <w:tl2br w:val="nil"/>
              <w:tr2bl w:val="nil"/>
            </w:tcBorders>
            <w:shd w:val="clear" w:color="auto" w:fill="auto"/>
            <w:tcMar>
              <w:top w:w="15" w:type="dxa"/>
              <w:left w:w="15" w:type="dxa"/>
              <w:right w:w="15" w:type="dxa"/>
            </w:tcMar>
            <w:vAlign w:val="center"/>
          </w:tcPr>
          <w:p w14:paraId="2117BAE5">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c>
          <w:tcPr>
            <w:tcW w:w="914" w:type="pct"/>
            <w:tcBorders>
              <w:tl2br w:val="nil"/>
              <w:tr2bl w:val="nil"/>
            </w:tcBorders>
            <w:shd w:val="clear" w:color="auto" w:fill="auto"/>
            <w:tcMar>
              <w:top w:w="15" w:type="dxa"/>
              <w:left w:w="15" w:type="dxa"/>
              <w:right w:w="15" w:type="dxa"/>
            </w:tcMar>
            <w:vAlign w:val="center"/>
          </w:tcPr>
          <w:p w14:paraId="763A5FD2">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重点污染源自动监控与基础数据库系统V3.2(长天平台）</w:t>
            </w:r>
          </w:p>
        </w:tc>
        <w:tc>
          <w:tcPr>
            <w:tcW w:w="729" w:type="pct"/>
            <w:tcBorders>
              <w:tl2br w:val="nil"/>
              <w:tr2bl w:val="nil"/>
            </w:tcBorders>
            <w:shd w:val="clear" w:color="auto" w:fill="auto"/>
            <w:tcMar>
              <w:top w:w="15" w:type="dxa"/>
              <w:left w:w="15" w:type="dxa"/>
              <w:right w:w="15" w:type="dxa"/>
            </w:tcMar>
            <w:vAlign w:val="center"/>
          </w:tcPr>
          <w:p w14:paraId="216BEA00">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长沙华时捷环保科技发展股份有限公司</w:t>
            </w:r>
          </w:p>
        </w:tc>
        <w:tc>
          <w:tcPr>
            <w:tcW w:w="893" w:type="pct"/>
            <w:tcBorders>
              <w:tl2br w:val="nil"/>
              <w:tr2bl w:val="nil"/>
            </w:tcBorders>
            <w:shd w:val="clear" w:color="auto" w:fill="auto"/>
            <w:tcMar>
              <w:top w:w="15" w:type="dxa"/>
              <w:left w:w="15" w:type="dxa"/>
              <w:right w:w="15" w:type="dxa"/>
            </w:tcMar>
            <w:vAlign w:val="center"/>
          </w:tcPr>
          <w:p w14:paraId="5DF84079">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达标</w:t>
            </w:r>
          </w:p>
        </w:tc>
      </w:tr>
      <w:tr w14:paraId="75EBA0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25521371">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3</w:t>
            </w:r>
          </w:p>
        </w:tc>
        <w:tc>
          <w:tcPr>
            <w:tcW w:w="606" w:type="pct"/>
            <w:tcBorders>
              <w:tl2br w:val="nil"/>
              <w:tr2bl w:val="nil"/>
            </w:tcBorders>
            <w:shd w:val="clear" w:color="auto" w:fill="auto"/>
            <w:tcMar>
              <w:top w:w="15" w:type="dxa"/>
              <w:left w:w="15" w:type="dxa"/>
              <w:right w:w="15" w:type="dxa"/>
            </w:tcMar>
            <w:vAlign w:val="center"/>
          </w:tcPr>
          <w:p w14:paraId="05390A65">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湖南森泰生物科技有限公司</w:t>
            </w:r>
          </w:p>
        </w:tc>
        <w:tc>
          <w:tcPr>
            <w:tcW w:w="391" w:type="pct"/>
            <w:tcBorders>
              <w:tl2br w:val="nil"/>
              <w:tr2bl w:val="nil"/>
            </w:tcBorders>
            <w:shd w:val="clear" w:color="auto" w:fill="auto"/>
            <w:tcMar>
              <w:top w:w="15" w:type="dxa"/>
              <w:left w:w="15" w:type="dxa"/>
              <w:right w:w="15" w:type="dxa"/>
            </w:tcMar>
            <w:vAlign w:val="center"/>
          </w:tcPr>
          <w:p w14:paraId="00F28770">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64B384B8">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SO</w:t>
            </w:r>
            <w:r>
              <w:rPr>
                <w:rFonts w:hint="eastAsia" w:ascii="Times New Roman" w:hAnsi="Times New Roman" w:eastAsia="仿宋" w:cs="Times New Roman"/>
                <w:sz w:val="21"/>
                <w:szCs w:val="21"/>
                <w:vertAlign w:val="subscript"/>
              </w:rPr>
              <w:t>2</w:t>
            </w:r>
            <w:r>
              <w:rPr>
                <w:rFonts w:ascii="Times New Roman" w:hAnsi="Times New Roman" w:eastAsia="仿宋" w:cs="Times New Roman"/>
                <w:sz w:val="21"/>
                <w:szCs w:val="21"/>
              </w:rPr>
              <w:t>、</w:t>
            </w:r>
            <w:r>
              <w:rPr>
                <w:rFonts w:hint="eastAsia" w:ascii="Times New Roman" w:hAnsi="Times New Roman" w:eastAsia="仿宋" w:cs="Times New Roman"/>
                <w:sz w:val="21"/>
                <w:szCs w:val="21"/>
              </w:rPr>
              <w:t>NO</w:t>
            </w:r>
            <w:r>
              <w:rPr>
                <w:rFonts w:hint="eastAsia" w:ascii="Times New Roman" w:hAnsi="Times New Roman" w:eastAsia="仿宋" w:cs="Times New Roman"/>
                <w:sz w:val="21"/>
                <w:szCs w:val="21"/>
                <w:vertAlign w:val="subscript"/>
              </w:rPr>
              <w:t>X</w:t>
            </w:r>
            <w:r>
              <w:rPr>
                <w:rFonts w:ascii="Times New Roman" w:hAnsi="Times New Roman" w:eastAsia="仿宋" w:cs="Times New Roman"/>
                <w:sz w:val="21"/>
                <w:szCs w:val="21"/>
              </w:rPr>
              <w:t>、颗粒物、温度、湿度、流量、含氧量、压力</w:t>
            </w:r>
          </w:p>
        </w:tc>
        <w:tc>
          <w:tcPr>
            <w:tcW w:w="486" w:type="pct"/>
            <w:tcBorders>
              <w:tl2br w:val="nil"/>
              <w:tr2bl w:val="nil"/>
            </w:tcBorders>
            <w:shd w:val="clear" w:color="auto" w:fill="auto"/>
            <w:tcMar>
              <w:top w:w="15" w:type="dxa"/>
              <w:left w:w="15" w:type="dxa"/>
              <w:right w:w="15" w:type="dxa"/>
            </w:tcMar>
            <w:vAlign w:val="center"/>
          </w:tcPr>
          <w:p w14:paraId="7834B6A1">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c>
          <w:tcPr>
            <w:tcW w:w="914" w:type="pct"/>
            <w:tcBorders>
              <w:tl2br w:val="nil"/>
              <w:tr2bl w:val="nil"/>
            </w:tcBorders>
            <w:shd w:val="clear" w:color="auto" w:fill="auto"/>
            <w:tcMar>
              <w:top w:w="15" w:type="dxa"/>
              <w:left w:w="15" w:type="dxa"/>
              <w:right w:w="15" w:type="dxa"/>
            </w:tcMar>
            <w:vAlign w:val="center"/>
          </w:tcPr>
          <w:p w14:paraId="5DECFC2A">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湘潭市污染源自动监控管理平台（力合平台）</w:t>
            </w:r>
          </w:p>
        </w:tc>
        <w:tc>
          <w:tcPr>
            <w:tcW w:w="729" w:type="pct"/>
            <w:tcBorders>
              <w:tl2br w:val="nil"/>
              <w:tr2bl w:val="nil"/>
            </w:tcBorders>
            <w:shd w:val="clear" w:color="auto" w:fill="auto"/>
            <w:tcMar>
              <w:top w:w="15" w:type="dxa"/>
              <w:left w:w="15" w:type="dxa"/>
              <w:right w:w="15" w:type="dxa"/>
            </w:tcMar>
            <w:vAlign w:val="center"/>
          </w:tcPr>
          <w:p w14:paraId="26D559A1">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湖南益伦环境工程有限公司</w:t>
            </w:r>
          </w:p>
        </w:tc>
        <w:tc>
          <w:tcPr>
            <w:tcW w:w="893" w:type="pct"/>
            <w:tcBorders>
              <w:tl2br w:val="nil"/>
              <w:tr2bl w:val="nil"/>
            </w:tcBorders>
            <w:shd w:val="clear" w:color="auto" w:fill="auto"/>
            <w:tcMar>
              <w:top w:w="15" w:type="dxa"/>
              <w:left w:w="15" w:type="dxa"/>
              <w:right w:w="15" w:type="dxa"/>
            </w:tcMar>
            <w:vAlign w:val="center"/>
          </w:tcPr>
          <w:p w14:paraId="62C267C2">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达标</w:t>
            </w:r>
          </w:p>
        </w:tc>
      </w:tr>
      <w:tr w14:paraId="5DD771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40E25C17">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4</w:t>
            </w:r>
          </w:p>
        </w:tc>
        <w:tc>
          <w:tcPr>
            <w:tcW w:w="606" w:type="pct"/>
            <w:tcBorders>
              <w:tl2br w:val="nil"/>
              <w:tr2bl w:val="nil"/>
            </w:tcBorders>
            <w:shd w:val="clear" w:color="auto" w:fill="auto"/>
            <w:tcMar>
              <w:top w:w="15" w:type="dxa"/>
              <w:left w:w="15" w:type="dxa"/>
              <w:right w:w="15" w:type="dxa"/>
            </w:tcMar>
            <w:vAlign w:val="center"/>
          </w:tcPr>
          <w:p w14:paraId="7508ABD2">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湖南新向维包装有限公司</w:t>
            </w:r>
          </w:p>
        </w:tc>
        <w:tc>
          <w:tcPr>
            <w:tcW w:w="391" w:type="pct"/>
            <w:tcBorders>
              <w:tl2br w:val="nil"/>
              <w:tr2bl w:val="nil"/>
            </w:tcBorders>
            <w:shd w:val="clear" w:color="auto" w:fill="auto"/>
            <w:tcMar>
              <w:top w:w="15" w:type="dxa"/>
              <w:left w:w="15" w:type="dxa"/>
              <w:right w:w="15" w:type="dxa"/>
            </w:tcMar>
            <w:vAlign w:val="center"/>
          </w:tcPr>
          <w:p w14:paraId="6B062AC2">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058082FF">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非甲烷总烃、温度、流量、湿度、压力、含氧量</w:t>
            </w:r>
          </w:p>
        </w:tc>
        <w:tc>
          <w:tcPr>
            <w:tcW w:w="486" w:type="pct"/>
            <w:tcBorders>
              <w:tl2br w:val="nil"/>
              <w:tr2bl w:val="nil"/>
            </w:tcBorders>
            <w:shd w:val="clear" w:color="auto" w:fill="auto"/>
            <w:tcMar>
              <w:top w:w="15" w:type="dxa"/>
              <w:left w:w="15" w:type="dxa"/>
              <w:right w:w="15" w:type="dxa"/>
            </w:tcMar>
            <w:vAlign w:val="center"/>
          </w:tcPr>
          <w:p w14:paraId="46BC341E">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c>
          <w:tcPr>
            <w:tcW w:w="914" w:type="pct"/>
            <w:tcBorders>
              <w:tl2br w:val="nil"/>
              <w:tr2bl w:val="nil"/>
            </w:tcBorders>
            <w:shd w:val="clear" w:color="auto" w:fill="auto"/>
            <w:tcMar>
              <w:top w:w="15" w:type="dxa"/>
              <w:left w:w="15" w:type="dxa"/>
              <w:right w:w="15" w:type="dxa"/>
            </w:tcMar>
            <w:vAlign w:val="center"/>
          </w:tcPr>
          <w:p w14:paraId="39051422">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重点污染源自动监控与基础数据库系统V3.2(长天平台）</w:t>
            </w:r>
          </w:p>
        </w:tc>
        <w:tc>
          <w:tcPr>
            <w:tcW w:w="729" w:type="pct"/>
            <w:tcBorders>
              <w:tl2br w:val="nil"/>
              <w:tr2bl w:val="nil"/>
            </w:tcBorders>
            <w:shd w:val="clear" w:color="auto" w:fill="auto"/>
            <w:tcMar>
              <w:top w:w="15" w:type="dxa"/>
              <w:left w:w="15" w:type="dxa"/>
              <w:right w:w="15" w:type="dxa"/>
            </w:tcMar>
            <w:vAlign w:val="center"/>
          </w:tcPr>
          <w:p w14:paraId="2CFE3E64">
            <w:pPr>
              <w:pStyle w:val="18"/>
              <w:widowControl/>
              <w:spacing w:beforeAutospacing="0" w:afterAutospacing="0"/>
              <w:jc w:val="center"/>
              <w:rPr>
                <w:rFonts w:ascii="Times New Roman" w:hAnsi="Times New Roman" w:eastAsia="仿宋"/>
                <w:kern w:val="2"/>
                <w:sz w:val="21"/>
                <w:szCs w:val="21"/>
              </w:rPr>
            </w:pPr>
            <w:r>
              <w:rPr>
                <w:rFonts w:ascii="Times New Roman" w:hAnsi="Times New Roman" w:eastAsia="仿宋"/>
                <w:kern w:val="2"/>
                <w:sz w:val="21"/>
                <w:szCs w:val="21"/>
              </w:rPr>
              <w:t>泽睿环保科技有限公司</w:t>
            </w:r>
          </w:p>
        </w:tc>
        <w:tc>
          <w:tcPr>
            <w:tcW w:w="893" w:type="pct"/>
            <w:tcBorders>
              <w:tl2br w:val="nil"/>
              <w:tr2bl w:val="nil"/>
            </w:tcBorders>
            <w:shd w:val="clear" w:color="auto" w:fill="auto"/>
            <w:tcMar>
              <w:top w:w="15" w:type="dxa"/>
              <w:left w:w="15" w:type="dxa"/>
              <w:right w:w="15" w:type="dxa"/>
            </w:tcMar>
            <w:vAlign w:val="center"/>
          </w:tcPr>
          <w:p w14:paraId="0A10D049">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达标</w:t>
            </w:r>
          </w:p>
        </w:tc>
      </w:tr>
      <w:tr w14:paraId="603F751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74473505">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5</w:t>
            </w:r>
          </w:p>
        </w:tc>
        <w:tc>
          <w:tcPr>
            <w:tcW w:w="606" w:type="pct"/>
            <w:tcBorders>
              <w:tl2br w:val="nil"/>
              <w:tr2bl w:val="nil"/>
            </w:tcBorders>
            <w:shd w:val="clear" w:color="auto" w:fill="auto"/>
            <w:tcMar>
              <w:top w:w="15" w:type="dxa"/>
              <w:left w:w="15" w:type="dxa"/>
              <w:right w:w="15" w:type="dxa"/>
            </w:tcMar>
            <w:vAlign w:val="center"/>
          </w:tcPr>
          <w:p w14:paraId="0B02AD01">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湖南国雅彩印有限公司</w:t>
            </w:r>
          </w:p>
        </w:tc>
        <w:tc>
          <w:tcPr>
            <w:tcW w:w="391" w:type="pct"/>
            <w:tcBorders>
              <w:tl2br w:val="nil"/>
              <w:tr2bl w:val="nil"/>
            </w:tcBorders>
            <w:shd w:val="clear" w:color="auto" w:fill="auto"/>
            <w:tcMar>
              <w:top w:w="15" w:type="dxa"/>
              <w:left w:w="15" w:type="dxa"/>
              <w:right w:w="15" w:type="dxa"/>
            </w:tcMar>
            <w:vAlign w:val="center"/>
          </w:tcPr>
          <w:p w14:paraId="625DBBDC">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10392D8E">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非甲烷总烃、温度、流量、湿度、压力、含氧量</w:t>
            </w:r>
          </w:p>
        </w:tc>
        <w:tc>
          <w:tcPr>
            <w:tcW w:w="486" w:type="pct"/>
            <w:tcBorders>
              <w:tl2br w:val="nil"/>
              <w:tr2bl w:val="nil"/>
            </w:tcBorders>
            <w:shd w:val="clear" w:color="auto" w:fill="auto"/>
            <w:tcMar>
              <w:top w:w="15" w:type="dxa"/>
              <w:left w:w="15" w:type="dxa"/>
              <w:right w:w="15" w:type="dxa"/>
            </w:tcMar>
            <w:vAlign w:val="center"/>
          </w:tcPr>
          <w:p w14:paraId="092E4890">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c>
          <w:tcPr>
            <w:tcW w:w="914" w:type="pct"/>
            <w:tcBorders>
              <w:tl2br w:val="nil"/>
              <w:tr2bl w:val="nil"/>
            </w:tcBorders>
            <w:shd w:val="clear" w:color="auto" w:fill="auto"/>
            <w:tcMar>
              <w:top w:w="15" w:type="dxa"/>
              <w:left w:w="15" w:type="dxa"/>
              <w:right w:w="15" w:type="dxa"/>
            </w:tcMar>
            <w:vAlign w:val="center"/>
          </w:tcPr>
          <w:p w14:paraId="0855A8CB">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湘潭市污染源自动监控管理平台（力合平台）</w:t>
            </w:r>
          </w:p>
        </w:tc>
        <w:tc>
          <w:tcPr>
            <w:tcW w:w="729" w:type="pct"/>
            <w:tcBorders>
              <w:tl2br w:val="nil"/>
              <w:tr2bl w:val="nil"/>
            </w:tcBorders>
            <w:shd w:val="clear" w:color="auto" w:fill="auto"/>
            <w:tcMar>
              <w:top w:w="15" w:type="dxa"/>
              <w:left w:w="15" w:type="dxa"/>
              <w:right w:w="15" w:type="dxa"/>
            </w:tcMar>
            <w:vAlign w:val="center"/>
          </w:tcPr>
          <w:p w14:paraId="28330690">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湖南世纪天源环保技术有限公司</w:t>
            </w:r>
          </w:p>
        </w:tc>
        <w:tc>
          <w:tcPr>
            <w:tcW w:w="893" w:type="pct"/>
            <w:tcBorders>
              <w:tl2br w:val="nil"/>
              <w:tr2bl w:val="nil"/>
            </w:tcBorders>
            <w:shd w:val="clear" w:color="auto" w:fill="auto"/>
            <w:tcMar>
              <w:top w:w="15" w:type="dxa"/>
              <w:left w:w="15" w:type="dxa"/>
              <w:right w:w="15" w:type="dxa"/>
            </w:tcMar>
            <w:vAlign w:val="center"/>
          </w:tcPr>
          <w:p w14:paraId="11ECBF84">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达标</w:t>
            </w:r>
          </w:p>
        </w:tc>
      </w:tr>
      <w:tr w14:paraId="10AC30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35F490F8">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6</w:t>
            </w:r>
          </w:p>
        </w:tc>
        <w:tc>
          <w:tcPr>
            <w:tcW w:w="606" w:type="pct"/>
            <w:tcBorders>
              <w:tl2br w:val="nil"/>
              <w:tr2bl w:val="nil"/>
            </w:tcBorders>
            <w:shd w:val="clear" w:color="auto" w:fill="auto"/>
            <w:tcMar>
              <w:top w:w="15" w:type="dxa"/>
              <w:left w:w="15" w:type="dxa"/>
              <w:right w:w="15" w:type="dxa"/>
            </w:tcMar>
            <w:vAlign w:val="center"/>
          </w:tcPr>
          <w:p w14:paraId="18447767">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湖南彩达包装印务有限公司</w:t>
            </w:r>
          </w:p>
        </w:tc>
        <w:tc>
          <w:tcPr>
            <w:tcW w:w="391" w:type="pct"/>
            <w:tcBorders>
              <w:tl2br w:val="nil"/>
              <w:tr2bl w:val="nil"/>
            </w:tcBorders>
            <w:shd w:val="clear" w:color="auto" w:fill="auto"/>
            <w:tcMar>
              <w:top w:w="15" w:type="dxa"/>
              <w:left w:w="15" w:type="dxa"/>
              <w:right w:w="15" w:type="dxa"/>
            </w:tcMar>
            <w:vAlign w:val="center"/>
          </w:tcPr>
          <w:p w14:paraId="798C6B11">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227D4B8C">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非甲烷总烃、温度、流量、湿度、压力、含氧量</w:t>
            </w:r>
          </w:p>
        </w:tc>
        <w:tc>
          <w:tcPr>
            <w:tcW w:w="486" w:type="pct"/>
            <w:tcBorders>
              <w:tl2br w:val="nil"/>
              <w:tr2bl w:val="nil"/>
            </w:tcBorders>
            <w:shd w:val="clear" w:color="auto" w:fill="auto"/>
            <w:tcMar>
              <w:top w:w="15" w:type="dxa"/>
              <w:left w:w="15" w:type="dxa"/>
              <w:right w:w="15" w:type="dxa"/>
            </w:tcMar>
            <w:vAlign w:val="center"/>
          </w:tcPr>
          <w:p w14:paraId="2745835E">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c>
          <w:tcPr>
            <w:tcW w:w="914" w:type="pct"/>
            <w:tcBorders>
              <w:tl2br w:val="nil"/>
              <w:tr2bl w:val="nil"/>
            </w:tcBorders>
            <w:shd w:val="clear" w:color="auto" w:fill="auto"/>
            <w:tcMar>
              <w:top w:w="15" w:type="dxa"/>
              <w:left w:w="15" w:type="dxa"/>
              <w:right w:w="15" w:type="dxa"/>
            </w:tcMar>
            <w:vAlign w:val="center"/>
          </w:tcPr>
          <w:p w14:paraId="58D342F7">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湘潭市污染源自动监控管理平台（力合平台）</w:t>
            </w:r>
          </w:p>
        </w:tc>
        <w:tc>
          <w:tcPr>
            <w:tcW w:w="729" w:type="pct"/>
            <w:tcBorders>
              <w:tl2br w:val="nil"/>
              <w:tr2bl w:val="nil"/>
            </w:tcBorders>
            <w:shd w:val="clear" w:color="auto" w:fill="auto"/>
            <w:tcMar>
              <w:top w:w="15" w:type="dxa"/>
              <w:left w:w="15" w:type="dxa"/>
              <w:right w:w="15" w:type="dxa"/>
            </w:tcMar>
            <w:vAlign w:val="center"/>
          </w:tcPr>
          <w:p w14:paraId="5123BA31">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湖南世纪天源环保技术有限公司</w:t>
            </w:r>
          </w:p>
        </w:tc>
        <w:tc>
          <w:tcPr>
            <w:tcW w:w="893" w:type="pct"/>
            <w:tcBorders>
              <w:tl2br w:val="nil"/>
              <w:tr2bl w:val="nil"/>
            </w:tcBorders>
            <w:shd w:val="clear" w:color="auto" w:fill="auto"/>
            <w:tcMar>
              <w:top w:w="15" w:type="dxa"/>
              <w:left w:w="15" w:type="dxa"/>
              <w:right w:w="15" w:type="dxa"/>
            </w:tcMar>
            <w:vAlign w:val="center"/>
          </w:tcPr>
          <w:p w14:paraId="2F100856">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达标</w:t>
            </w:r>
          </w:p>
        </w:tc>
      </w:tr>
      <w:tr w14:paraId="2F28F9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4F0A3A41">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7</w:t>
            </w:r>
          </w:p>
        </w:tc>
        <w:tc>
          <w:tcPr>
            <w:tcW w:w="606" w:type="pct"/>
            <w:tcBorders>
              <w:tl2br w:val="nil"/>
              <w:tr2bl w:val="nil"/>
            </w:tcBorders>
            <w:shd w:val="clear" w:color="auto" w:fill="auto"/>
            <w:tcMar>
              <w:top w:w="15" w:type="dxa"/>
              <w:left w:w="15" w:type="dxa"/>
              <w:right w:w="15" w:type="dxa"/>
            </w:tcMar>
            <w:vAlign w:val="center"/>
          </w:tcPr>
          <w:p w14:paraId="67EC7E24">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湖南恒会昌彩印包装有限公司</w:t>
            </w:r>
          </w:p>
        </w:tc>
        <w:tc>
          <w:tcPr>
            <w:tcW w:w="391" w:type="pct"/>
            <w:tcBorders>
              <w:tl2br w:val="nil"/>
              <w:tr2bl w:val="nil"/>
            </w:tcBorders>
            <w:shd w:val="clear" w:color="auto" w:fill="auto"/>
            <w:tcMar>
              <w:top w:w="15" w:type="dxa"/>
              <w:left w:w="15" w:type="dxa"/>
              <w:right w:w="15" w:type="dxa"/>
            </w:tcMar>
            <w:vAlign w:val="center"/>
          </w:tcPr>
          <w:p w14:paraId="7954B163">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11B232B0">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非甲烷总烃、温度、流量、湿度、压力、含氧量</w:t>
            </w:r>
          </w:p>
        </w:tc>
        <w:tc>
          <w:tcPr>
            <w:tcW w:w="486" w:type="pct"/>
            <w:tcBorders>
              <w:tl2br w:val="nil"/>
              <w:tr2bl w:val="nil"/>
            </w:tcBorders>
            <w:shd w:val="clear" w:color="auto" w:fill="auto"/>
            <w:tcMar>
              <w:top w:w="15" w:type="dxa"/>
              <w:left w:w="15" w:type="dxa"/>
              <w:right w:w="15" w:type="dxa"/>
            </w:tcMar>
            <w:vAlign w:val="center"/>
          </w:tcPr>
          <w:p w14:paraId="2241BD61">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c>
          <w:tcPr>
            <w:tcW w:w="914" w:type="pct"/>
            <w:tcBorders>
              <w:tl2br w:val="nil"/>
              <w:tr2bl w:val="nil"/>
            </w:tcBorders>
            <w:shd w:val="clear" w:color="auto" w:fill="auto"/>
            <w:tcMar>
              <w:top w:w="15" w:type="dxa"/>
              <w:left w:w="15" w:type="dxa"/>
              <w:right w:w="15" w:type="dxa"/>
            </w:tcMar>
            <w:vAlign w:val="center"/>
          </w:tcPr>
          <w:p w14:paraId="029AC743">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湘潭市污染源自动监控管理平台（力合平台）</w:t>
            </w:r>
          </w:p>
        </w:tc>
        <w:tc>
          <w:tcPr>
            <w:tcW w:w="729" w:type="pct"/>
            <w:tcBorders>
              <w:tl2br w:val="nil"/>
              <w:tr2bl w:val="nil"/>
            </w:tcBorders>
            <w:shd w:val="clear" w:color="auto" w:fill="auto"/>
            <w:tcMar>
              <w:top w:w="15" w:type="dxa"/>
              <w:left w:w="15" w:type="dxa"/>
              <w:right w:w="15" w:type="dxa"/>
            </w:tcMar>
            <w:vAlign w:val="center"/>
          </w:tcPr>
          <w:p w14:paraId="6FBA7870">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泽睿环保科技有限公司</w:t>
            </w:r>
          </w:p>
        </w:tc>
        <w:tc>
          <w:tcPr>
            <w:tcW w:w="893" w:type="pct"/>
            <w:tcBorders>
              <w:tl2br w:val="nil"/>
              <w:tr2bl w:val="nil"/>
            </w:tcBorders>
            <w:shd w:val="clear" w:color="auto" w:fill="auto"/>
            <w:tcMar>
              <w:top w:w="15" w:type="dxa"/>
              <w:left w:w="15" w:type="dxa"/>
              <w:right w:w="15" w:type="dxa"/>
            </w:tcMar>
            <w:vAlign w:val="center"/>
          </w:tcPr>
          <w:p w14:paraId="4B689F58">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达标</w:t>
            </w:r>
          </w:p>
        </w:tc>
      </w:tr>
      <w:tr w14:paraId="0B6E5FD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1FE557AB">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8</w:t>
            </w:r>
          </w:p>
        </w:tc>
        <w:tc>
          <w:tcPr>
            <w:tcW w:w="606" w:type="pct"/>
            <w:tcBorders>
              <w:tl2br w:val="nil"/>
              <w:tr2bl w:val="nil"/>
            </w:tcBorders>
            <w:shd w:val="clear" w:color="auto" w:fill="auto"/>
            <w:tcMar>
              <w:top w:w="15" w:type="dxa"/>
              <w:left w:w="15" w:type="dxa"/>
              <w:right w:w="15" w:type="dxa"/>
            </w:tcMar>
            <w:vAlign w:val="center"/>
          </w:tcPr>
          <w:p w14:paraId="21ECC929">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湘潭聚森清洁能源供热有限公司</w:t>
            </w:r>
          </w:p>
        </w:tc>
        <w:tc>
          <w:tcPr>
            <w:tcW w:w="391" w:type="pct"/>
            <w:tcBorders>
              <w:tl2br w:val="nil"/>
              <w:tr2bl w:val="nil"/>
            </w:tcBorders>
            <w:shd w:val="clear" w:color="auto" w:fill="auto"/>
            <w:tcMar>
              <w:top w:w="15" w:type="dxa"/>
              <w:left w:w="15" w:type="dxa"/>
              <w:right w:w="15" w:type="dxa"/>
            </w:tcMar>
            <w:vAlign w:val="center"/>
          </w:tcPr>
          <w:p w14:paraId="1C669B90">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5AB399E9">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SO</w:t>
            </w:r>
            <w:r>
              <w:rPr>
                <w:rFonts w:hint="eastAsia" w:ascii="Times New Roman" w:hAnsi="Times New Roman" w:eastAsia="仿宋" w:cs="Times New Roman"/>
                <w:sz w:val="21"/>
                <w:szCs w:val="21"/>
                <w:vertAlign w:val="subscript"/>
              </w:rPr>
              <w:t>2</w:t>
            </w:r>
            <w:r>
              <w:rPr>
                <w:rFonts w:ascii="Times New Roman" w:hAnsi="Times New Roman" w:eastAsia="仿宋" w:cs="Times New Roman"/>
                <w:sz w:val="21"/>
                <w:szCs w:val="21"/>
              </w:rPr>
              <w:t>、</w:t>
            </w:r>
            <w:r>
              <w:rPr>
                <w:rFonts w:hint="eastAsia" w:ascii="Times New Roman" w:hAnsi="Times New Roman" w:eastAsia="仿宋" w:cs="Times New Roman"/>
                <w:sz w:val="21"/>
                <w:szCs w:val="21"/>
              </w:rPr>
              <w:t>NO</w:t>
            </w:r>
            <w:r>
              <w:rPr>
                <w:rFonts w:hint="eastAsia" w:ascii="Times New Roman" w:hAnsi="Times New Roman" w:eastAsia="仿宋" w:cs="Times New Roman"/>
                <w:sz w:val="21"/>
                <w:szCs w:val="21"/>
                <w:vertAlign w:val="subscript"/>
              </w:rPr>
              <w:t>X</w:t>
            </w:r>
            <w:r>
              <w:rPr>
                <w:rFonts w:ascii="Times New Roman" w:hAnsi="Times New Roman" w:eastAsia="仿宋" w:cs="Times New Roman"/>
                <w:sz w:val="21"/>
                <w:szCs w:val="21"/>
              </w:rPr>
              <w:t>、颗粒物、温度、湿度、流量、含氧量、压力</w:t>
            </w:r>
          </w:p>
        </w:tc>
        <w:tc>
          <w:tcPr>
            <w:tcW w:w="486" w:type="pct"/>
            <w:tcBorders>
              <w:tl2br w:val="nil"/>
              <w:tr2bl w:val="nil"/>
            </w:tcBorders>
            <w:shd w:val="clear" w:color="auto" w:fill="auto"/>
            <w:tcMar>
              <w:top w:w="15" w:type="dxa"/>
              <w:left w:w="15" w:type="dxa"/>
              <w:right w:w="15" w:type="dxa"/>
            </w:tcMar>
            <w:vAlign w:val="center"/>
          </w:tcPr>
          <w:p w14:paraId="01D12F60">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是</w:t>
            </w:r>
          </w:p>
        </w:tc>
        <w:tc>
          <w:tcPr>
            <w:tcW w:w="914" w:type="pct"/>
            <w:tcBorders>
              <w:tl2br w:val="nil"/>
              <w:tr2bl w:val="nil"/>
            </w:tcBorders>
            <w:shd w:val="clear" w:color="auto" w:fill="auto"/>
            <w:tcMar>
              <w:top w:w="15" w:type="dxa"/>
              <w:left w:w="15" w:type="dxa"/>
              <w:right w:w="15" w:type="dxa"/>
            </w:tcMar>
            <w:vAlign w:val="center"/>
          </w:tcPr>
          <w:p w14:paraId="400156A5">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湘潭市污染源自动监控管理平台（力合平台）</w:t>
            </w:r>
          </w:p>
        </w:tc>
        <w:tc>
          <w:tcPr>
            <w:tcW w:w="729" w:type="pct"/>
            <w:tcBorders>
              <w:tl2br w:val="nil"/>
              <w:tr2bl w:val="nil"/>
            </w:tcBorders>
            <w:shd w:val="clear" w:color="auto" w:fill="auto"/>
            <w:tcMar>
              <w:top w:w="15" w:type="dxa"/>
              <w:left w:w="15" w:type="dxa"/>
              <w:right w:w="15" w:type="dxa"/>
            </w:tcMar>
            <w:vAlign w:val="center"/>
          </w:tcPr>
          <w:p w14:paraId="5132FCA9">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湖南盈展环境科技有限公司</w:t>
            </w:r>
          </w:p>
        </w:tc>
        <w:tc>
          <w:tcPr>
            <w:tcW w:w="893" w:type="pct"/>
            <w:tcBorders>
              <w:tl2br w:val="nil"/>
              <w:tr2bl w:val="nil"/>
            </w:tcBorders>
            <w:shd w:val="clear" w:color="auto" w:fill="auto"/>
            <w:tcMar>
              <w:top w:w="15" w:type="dxa"/>
              <w:left w:w="15" w:type="dxa"/>
              <w:right w:w="15" w:type="dxa"/>
            </w:tcMar>
            <w:vAlign w:val="center"/>
          </w:tcPr>
          <w:p w14:paraId="6B89B3BE">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达标</w:t>
            </w:r>
          </w:p>
        </w:tc>
      </w:tr>
    </w:tbl>
    <w:p w14:paraId="7D61E885">
      <w:pPr>
        <w:ind w:firstLine="640" w:firstLineChars="200"/>
        <w:rPr>
          <w:rFonts w:ascii="Times New Roman" w:hAnsi="Times New Roman" w:eastAsia="仿宋" w:cs="Times New Roman"/>
          <w:sz w:val="32"/>
          <w:szCs w:val="32"/>
          <w:highlight w:val="yellow"/>
        </w:rPr>
      </w:pPr>
      <w:r>
        <w:rPr>
          <w:rFonts w:ascii="Times New Roman" w:hAnsi="Times New Roman" w:eastAsia="仿宋" w:cs="Times New Roman"/>
          <w:sz w:val="32"/>
          <w:szCs w:val="32"/>
        </w:rPr>
        <w:t>经开区的废气重点污染源纳入了“重点污染源自动监控于基础数据库系统V3.2”(西安长天)和“湘潭市污染源自动监控管理平台“(力合科技（湖南）股份有限公司)在线监控，企业自身例行监测，全面系统掌控园区建设、发展过程中的环境质量的变化。</w:t>
      </w:r>
    </w:p>
    <w:p w14:paraId="14D3E885">
      <w:pPr>
        <w:pStyle w:val="21"/>
        <w:spacing w:after="0" w:line="360" w:lineRule="auto"/>
        <w:ind w:left="0" w:leftChars="0" w:firstLine="643"/>
        <w:rPr>
          <w:rFonts w:ascii="Times New Roman" w:hAnsi="Times New Roman" w:eastAsia="仿宋"/>
          <w:szCs w:val="32"/>
        </w:rPr>
      </w:pPr>
      <w:r>
        <w:rPr>
          <w:rFonts w:ascii="Times New Roman" w:hAnsi="Times New Roman" w:eastAsia="仿宋"/>
          <w:b/>
          <w:bCs/>
          <w:szCs w:val="32"/>
        </w:rPr>
        <w:t>2、环境空气质量监测情况</w:t>
      </w:r>
    </w:p>
    <w:p w14:paraId="37338730">
      <w:pPr>
        <w:pStyle w:val="21"/>
        <w:spacing w:after="0" w:line="600" w:lineRule="exact"/>
        <w:ind w:left="0" w:leftChars="0" w:firstLine="640"/>
        <w:rPr>
          <w:rFonts w:ascii="Times New Roman" w:hAnsi="Times New Roman" w:eastAsia="仿宋"/>
          <w:szCs w:val="32"/>
        </w:rPr>
      </w:pPr>
      <w:r>
        <w:rPr>
          <w:rFonts w:ascii="Times New Roman" w:hAnsi="Times New Roman" w:eastAsia="仿宋"/>
          <w:szCs w:val="32"/>
        </w:rPr>
        <w:t>湘潭天易经开区建立1个环境空气自动监测站（省控站）、8个大气小微监控站对园区环境空气质量进行实时监控，在园区设立7个大气污染源在线监控点位，对重点企业厂界废气浓度实施24小时在线监控。环境空气监测点位、监测因子及监测结果见下表6。</w:t>
      </w:r>
    </w:p>
    <w:p w14:paraId="46DD86D1">
      <w:pPr>
        <w:pStyle w:val="33"/>
        <w:snapToGrid/>
        <w:rPr>
          <w:rFonts w:eastAsia="仿宋" w:cs="Times New Roman"/>
        </w:rPr>
      </w:pPr>
      <w:r>
        <w:rPr>
          <w:rFonts w:eastAsia="仿宋" w:cs="Times New Roman"/>
        </w:rPr>
        <w:t>表6  天易经开区环境空气质量监测情况</w:t>
      </w:r>
    </w:p>
    <w:tbl>
      <w:tblPr>
        <w:tblStyle w:val="22"/>
        <w:tblW w:w="88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1"/>
        <w:gridCol w:w="1987"/>
        <w:gridCol w:w="2126"/>
        <w:gridCol w:w="1701"/>
        <w:gridCol w:w="1053"/>
        <w:gridCol w:w="1329"/>
      </w:tblGrid>
      <w:tr w14:paraId="499FA6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61" w:type="dxa"/>
            <w:vAlign w:val="center"/>
          </w:tcPr>
          <w:p w14:paraId="31C9AD85">
            <w:pPr>
              <w:snapToGrid w:val="0"/>
              <w:spacing w:line="276" w:lineRule="auto"/>
              <w:jc w:val="center"/>
              <w:rPr>
                <w:rFonts w:ascii="Times New Roman" w:hAnsi="Times New Roman" w:eastAsia="仿宋" w:cs="Times New Roman"/>
                <w:b/>
                <w:sz w:val="21"/>
                <w:szCs w:val="21"/>
              </w:rPr>
            </w:pPr>
            <w:r>
              <w:rPr>
                <w:rFonts w:ascii="Times New Roman" w:hAnsi="Times New Roman" w:eastAsia="仿宋" w:cs="Times New Roman"/>
                <w:b/>
                <w:sz w:val="21"/>
                <w:szCs w:val="21"/>
              </w:rPr>
              <w:t>序号</w:t>
            </w:r>
          </w:p>
        </w:tc>
        <w:tc>
          <w:tcPr>
            <w:tcW w:w="1987" w:type="dxa"/>
            <w:vAlign w:val="center"/>
          </w:tcPr>
          <w:p w14:paraId="16DDF5E2">
            <w:pPr>
              <w:snapToGrid w:val="0"/>
              <w:spacing w:line="276" w:lineRule="auto"/>
              <w:jc w:val="center"/>
              <w:rPr>
                <w:rFonts w:ascii="Times New Roman" w:hAnsi="Times New Roman" w:eastAsia="仿宋" w:cs="Times New Roman"/>
                <w:b/>
                <w:sz w:val="21"/>
                <w:szCs w:val="21"/>
              </w:rPr>
            </w:pPr>
            <w:r>
              <w:rPr>
                <w:rFonts w:ascii="Times New Roman" w:hAnsi="Times New Roman" w:eastAsia="仿宋" w:cs="Times New Roman"/>
                <w:b/>
                <w:sz w:val="21"/>
                <w:szCs w:val="21"/>
              </w:rPr>
              <w:t>监测点名称</w:t>
            </w:r>
          </w:p>
        </w:tc>
        <w:tc>
          <w:tcPr>
            <w:tcW w:w="2126" w:type="dxa"/>
            <w:vAlign w:val="center"/>
          </w:tcPr>
          <w:p w14:paraId="1CB7A2B4">
            <w:pPr>
              <w:snapToGrid w:val="0"/>
              <w:spacing w:line="276" w:lineRule="auto"/>
              <w:jc w:val="center"/>
              <w:rPr>
                <w:rFonts w:ascii="Times New Roman" w:hAnsi="Times New Roman" w:eastAsia="仿宋" w:cs="Times New Roman"/>
                <w:b/>
                <w:sz w:val="21"/>
                <w:szCs w:val="21"/>
              </w:rPr>
            </w:pPr>
            <w:r>
              <w:rPr>
                <w:rFonts w:ascii="Times New Roman" w:hAnsi="Times New Roman" w:eastAsia="仿宋" w:cs="Times New Roman"/>
                <w:b/>
                <w:sz w:val="21"/>
                <w:szCs w:val="21"/>
              </w:rPr>
              <w:t>监测项目</w:t>
            </w:r>
          </w:p>
        </w:tc>
        <w:tc>
          <w:tcPr>
            <w:tcW w:w="1701" w:type="dxa"/>
            <w:vAlign w:val="center"/>
          </w:tcPr>
          <w:p w14:paraId="5EE2DD24">
            <w:pPr>
              <w:snapToGrid w:val="0"/>
              <w:spacing w:line="276" w:lineRule="auto"/>
              <w:jc w:val="center"/>
              <w:rPr>
                <w:rFonts w:ascii="Times New Roman" w:hAnsi="Times New Roman" w:eastAsia="仿宋" w:cs="Times New Roman"/>
                <w:b/>
                <w:sz w:val="21"/>
                <w:szCs w:val="21"/>
              </w:rPr>
            </w:pPr>
            <w:r>
              <w:rPr>
                <w:rFonts w:ascii="Times New Roman" w:hAnsi="Times New Roman" w:eastAsia="仿宋" w:cs="Times New Roman"/>
                <w:b/>
                <w:sz w:val="21"/>
                <w:szCs w:val="21"/>
              </w:rPr>
              <w:t>监测频次</w:t>
            </w:r>
          </w:p>
        </w:tc>
        <w:tc>
          <w:tcPr>
            <w:tcW w:w="1053" w:type="dxa"/>
            <w:vAlign w:val="center"/>
          </w:tcPr>
          <w:p w14:paraId="4F06ED0E">
            <w:pPr>
              <w:snapToGrid w:val="0"/>
              <w:spacing w:line="276" w:lineRule="auto"/>
              <w:jc w:val="center"/>
              <w:rPr>
                <w:rFonts w:ascii="Times New Roman" w:hAnsi="Times New Roman" w:eastAsia="仿宋" w:cs="Times New Roman"/>
                <w:b/>
                <w:sz w:val="21"/>
                <w:szCs w:val="21"/>
              </w:rPr>
            </w:pPr>
            <w:r>
              <w:rPr>
                <w:rFonts w:ascii="Times New Roman" w:hAnsi="Times New Roman" w:eastAsia="仿宋" w:cs="Times New Roman"/>
                <w:b/>
                <w:sz w:val="21"/>
                <w:szCs w:val="21"/>
              </w:rPr>
              <w:t>达标率</w:t>
            </w:r>
          </w:p>
        </w:tc>
        <w:tc>
          <w:tcPr>
            <w:tcW w:w="1329" w:type="dxa"/>
            <w:vAlign w:val="center"/>
          </w:tcPr>
          <w:p w14:paraId="01F23838">
            <w:pPr>
              <w:snapToGrid w:val="0"/>
              <w:spacing w:line="276" w:lineRule="auto"/>
              <w:jc w:val="center"/>
              <w:rPr>
                <w:rFonts w:ascii="Times New Roman" w:hAnsi="Times New Roman" w:eastAsia="仿宋" w:cs="Times New Roman"/>
                <w:b/>
                <w:sz w:val="21"/>
                <w:szCs w:val="21"/>
              </w:rPr>
            </w:pPr>
            <w:r>
              <w:rPr>
                <w:rFonts w:ascii="Times New Roman" w:hAnsi="Times New Roman" w:eastAsia="仿宋" w:cs="Times New Roman"/>
                <w:b/>
                <w:sz w:val="21"/>
                <w:szCs w:val="21"/>
              </w:rPr>
              <w:t>备注</w:t>
            </w:r>
          </w:p>
        </w:tc>
      </w:tr>
      <w:tr w14:paraId="2083D4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61" w:type="dxa"/>
            <w:vAlign w:val="center"/>
          </w:tcPr>
          <w:p w14:paraId="45FF9717">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w:t>
            </w:r>
          </w:p>
        </w:tc>
        <w:tc>
          <w:tcPr>
            <w:tcW w:w="1987" w:type="dxa"/>
            <w:vAlign w:val="center"/>
          </w:tcPr>
          <w:p w14:paraId="3D995428">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湘潭市生态环境局湘潭县分局</w:t>
            </w:r>
          </w:p>
        </w:tc>
        <w:tc>
          <w:tcPr>
            <w:tcW w:w="2126" w:type="dxa"/>
            <w:vAlign w:val="center"/>
          </w:tcPr>
          <w:p w14:paraId="58F1835C">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SO</w:t>
            </w:r>
            <w:r>
              <w:rPr>
                <w:rFonts w:hint="eastAsia" w:ascii="Times New Roman" w:hAnsi="Times New Roman" w:eastAsia="仿宋" w:cs="Times New Roman"/>
                <w:sz w:val="21"/>
                <w:szCs w:val="21"/>
                <w:vertAlign w:val="subscript"/>
              </w:rPr>
              <w:t>2</w:t>
            </w:r>
            <w:r>
              <w:rPr>
                <w:rFonts w:hint="eastAsia" w:ascii="Times New Roman" w:hAnsi="Times New Roman" w:eastAsia="仿宋" w:cs="Times New Roman"/>
                <w:sz w:val="21"/>
                <w:szCs w:val="21"/>
              </w:rPr>
              <w:t>、NO</w:t>
            </w:r>
            <w:r>
              <w:rPr>
                <w:rFonts w:hint="eastAsia" w:ascii="Times New Roman" w:hAnsi="Times New Roman" w:eastAsia="仿宋" w:cs="Times New Roman"/>
                <w:sz w:val="21"/>
                <w:szCs w:val="21"/>
                <w:vertAlign w:val="subscript"/>
              </w:rPr>
              <w:t>2</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10</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2.5</w:t>
            </w:r>
            <w:r>
              <w:rPr>
                <w:rFonts w:hint="eastAsia" w:ascii="Times New Roman" w:hAnsi="Times New Roman" w:eastAsia="仿宋" w:cs="Times New Roman"/>
                <w:sz w:val="21"/>
                <w:szCs w:val="21"/>
              </w:rPr>
              <w:t>、</w:t>
            </w:r>
            <w:r>
              <w:rPr>
                <w:rFonts w:ascii="Times New Roman" w:hAnsi="Times New Roman" w:eastAsia="仿宋" w:cs="Times New Roman"/>
                <w:sz w:val="21"/>
                <w:szCs w:val="21"/>
              </w:rPr>
              <w:t>CO、O</w:t>
            </w:r>
            <w:r>
              <w:rPr>
                <w:rFonts w:ascii="Times New Roman" w:hAnsi="Times New Roman" w:eastAsia="仿宋" w:cs="Times New Roman"/>
                <w:sz w:val="21"/>
                <w:szCs w:val="21"/>
                <w:vertAlign w:val="subscript"/>
              </w:rPr>
              <w:t>3</w:t>
            </w:r>
          </w:p>
        </w:tc>
        <w:tc>
          <w:tcPr>
            <w:tcW w:w="1701" w:type="dxa"/>
            <w:vAlign w:val="center"/>
          </w:tcPr>
          <w:p w14:paraId="504C95D0">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1次/天（日均值）</w:t>
            </w:r>
          </w:p>
        </w:tc>
        <w:tc>
          <w:tcPr>
            <w:tcW w:w="1053" w:type="dxa"/>
            <w:vAlign w:val="center"/>
          </w:tcPr>
          <w:p w14:paraId="77676399">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100%</w:t>
            </w:r>
          </w:p>
        </w:tc>
        <w:tc>
          <w:tcPr>
            <w:tcW w:w="1329" w:type="dxa"/>
            <w:vAlign w:val="center"/>
          </w:tcPr>
          <w:p w14:paraId="072A688B">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省控点</w:t>
            </w:r>
          </w:p>
        </w:tc>
      </w:tr>
      <w:tr w14:paraId="423297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61" w:type="dxa"/>
            <w:vAlign w:val="center"/>
          </w:tcPr>
          <w:p w14:paraId="73461B27">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2</w:t>
            </w:r>
          </w:p>
        </w:tc>
        <w:tc>
          <w:tcPr>
            <w:tcW w:w="1987" w:type="dxa"/>
            <w:vAlign w:val="center"/>
          </w:tcPr>
          <w:p w14:paraId="2869FB65">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湖南德天润包装印刷有限公司办公楼楼顶（七参数）</w:t>
            </w:r>
          </w:p>
        </w:tc>
        <w:tc>
          <w:tcPr>
            <w:tcW w:w="2126" w:type="dxa"/>
            <w:vAlign w:val="center"/>
          </w:tcPr>
          <w:p w14:paraId="75472576">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SO</w:t>
            </w:r>
            <w:r>
              <w:rPr>
                <w:rFonts w:hint="eastAsia" w:ascii="Times New Roman" w:hAnsi="Times New Roman" w:eastAsia="仿宋" w:cs="Times New Roman"/>
                <w:sz w:val="21"/>
                <w:szCs w:val="21"/>
                <w:vertAlign w:val="subscript"/>
              </w:rPr>
              <w:t>2</w:t>
            </w:r>
            <w:r>
              <w:rPr>
                <w:rFonts w:hint="eastAsia" w:ascii="Times New Roman" w:hAnsi="Times New Roman" w:eastAsia="仿宋" w:cs="Times New Roman"/>
                <w:sz w:val="21"/>
                <w:szCs w:val="21"/>
              </w:rPr>
              <w:t>、NO</w:t>
            </w:r>
            <w:r>
              <w:rPr>
                <w:rFonts w:hint="eastAsia" w:ascii="Times New Roman" w:hAnsi="Times New Roman" w:eastAsia="仿宋" w:cs="Times New Roman"/>
                <w:sz w:val="21"/>
                <w:szCs w:val="21"/>
                <w:vertAlign w:val="subscript"/>
              </w:rPr>
              <w:t>2</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10</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2.5</w:t>
            </w:r>
            <w:r>
              <w:rPr>
                <w:rFonts w:hint="eastAsia" w:ascii="Times New Roman" w:hAnsi="Times New Roman" w:eastAsia="仿宋" w:cs="Times New Roman"/>
                <w:sz w:val="21"/>
                <w:szCs w:val="21"/>
              </w:rPr>
              <w:t>、</w:t>
            </w:r>
            <w:r>
              <w:rPr>
                <w:rFonts w:ascii="Times New Roman" w:hAnsi="Times New Roman" w:eastAsia="仿宋" w:cs="Times New Roman"/>
                <w:sz w:val="21"/>
                <w:szCs w:val="21"/>
              </w:rPr>
              <w:t>CO、O</w:t>
            </w:r>
            <w:r>
              <w:rPr>
                <w:rFonts w:ascii="Times New Roman" w:hAnsi="Times New Roman" w:eastAsia="仿宋" w:cs="Times New Roman"/>
                <w:sz w:val="21"/>
                <w:szCs w:val="21"/>
                <w:vertAlign w:val="subscript"/>
              </w:rPr>
              <w:t>3</w:t>
            </w:r>
            <w:r>
              <w:rPr>
                <w:rFonts w:ascii="Times New Roman" w:hAnsi="Times New Roman" w:eastAsia="仿宋" w:cs="Times New Roman"/>
                <w:sz w:val="21"/>
                <w:szCs w:val="21"/>
              </w:rPr>
              <w:t>、TVOC</w:t>
            </w:r>
          </w:p>
        </w:tc>
        <w:tc>
          <w:tcPr>
            <w:tcW w:w="1701" w:type="dxa"/>
            <w:vAlign w:val="center"/>
          </w:tcPr>
          <w:p w14:paraId="7EC1923B">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1次/天（日均值）</w:t>
            </w:r>
          </w:p>
        </w:tc>
        <w:tc>
          <w:tcPr>
            <w:tcW w:w="1053" w:type="dxa"/>
            <w:vAlign w:val="center"/>
          </w:tcPr>
          <w:p w14:paraId="76FCFEE6">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100%</w:t>
            </w:r>
          </w:p>
        </w:tc>
        <w:tc>
          <w:tcPr>
            <w:tcW w:w="1329" w:type="dxa"/>
            <w:vAlign w:val="center"/>
          </w:tcPr>
          <w:p w14:paraId="5612AF0A">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小微监控站</w:t>
            </w:r>
          </w:p>
        </w:tc>
      </w:tr>
      <w:tr w14:paraId="492ACA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61" w:type="dxa"/>
            <w:vAlign w:val="center"/>
          </w:tcPr>
          <w:p w14:paraId="2063BAD0">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3</w:t>
            </w:r>
          </w:p>
        </w:tc>
        <w:tc>
          <w:tcPr>
            <w:tcW w:w="1987" w:type="dxa"/>
            <w:vAlign w:val="center"/>
          </w:tcPr>
          <w:p w14:paraId="7698B5C8">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湖南恒会昌彩印包装有限公司</w:t>
            </w:r>
          </w:p>
        </w:tc>
        <w:tc>
          <w:tcPr>
            <w:tcW w:w="2126" w:type="dxa"/>
            <w:vAlign w:val="center"/>
          </w:tcPr>
          <w:p w14:paraId="711A4789">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10</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2.5</w:t>
            </w:r>
          </w:p>
        </w:tc>
        <w:tc>
          <w:tcPr>
            <w:tcW w:w="1701" w:type="dxa"/>
            <w:vAlign w:val="center"/>
          </w:tcPr>
          <w:p w14:paraId="3D2D5FBE">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1次/天（日均值）</w:t>
            </w:r>
          </w:p>
        </w:tc>
        <w:tc>
          <w:tcPr>
            <w:tcW w:w="1053" w:type="dxa"/>
            <w:vAlign w:val="center"/>
          </w:tcPr>
          <w:p w14:paraId="39F6ADBD">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100%</w:t>
            </w:r>
          </w:p>
        </w:tc>
        <w:tc>
          <w:tcPr>
            <w:tcW w:w="1329" w:type="dxa"/>
            <w:vAlign w:val="center"/>
          </w:tcPr>
          <w:p w14:paraId="2FB379E5">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小微监控站</w:t>
            </w:r>
          </w:p>
        </w:tc>
      </w:tr>
      <w:tr w14:paraId="125ACC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61" w:type="dxa"/>
            <w:vAlign w:val="center"/>
          </w:tcPr>
          <w:p w14:paraId="4090C0D9">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4</w:t>
            </w:r>
          </w:p>
        </w:tc>
        <w:tc>
          <w:tcPr>
            <w:tcW w:w="1987" w:type="dxa"/>
            <w:vAlign w:val="center"/>
          </w:tcPr>
          <w:p w14:paraId="49786BFA">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湖南新向维包装有限公司</w:t>
            </w:r>
          </w:p>
        </w:tc>
        <w:tc>
          <w:tcPr>
            <w:tcW w:w="2126" w:type="dxa"/>
            <w:vAlign w:val="center"/>
          </w:tcPr>
          <w:p w14:paraId="205040FF">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10</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2.5</w:t>
            </w:r>
          </w:p>
        </w:tc>
        <w:tc>
          <w:tcPr>
            <w:tcW w:w="1701" w:type="dxa"/>
            <w:vAlign w:val="center"/>
          </w:tcPr>
          <w:p w14:paraId="6EC803A2">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1次/天（日均值）</w:t>
            </w:r>
          </w:p>
        </w:tc>
        <w:tc>
          <w:tcPr>
            <w:tcW w:w="1053" w:type="dxa"/>
            <w:vAlign w:val="center"/>
          </w:tcPr>
          <w:p w14:paraId="6C1835D9">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100%</w:t>
            </w:r>
          </w:p>
        </w:tc>
        <w:tc>
          <w:tcPr>
            <w:tcW w:w="1329" w:type="dxa"/>
            <w:vAlign w:val="center"/>
          </w:tcPr>
          <w:p w14:paraId="577437BA">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小微监控站</w:t>
            </w:r>
          </w:p>
        </w:tc>
      </w:tr>
      <w:tr w14:paraId="373B2A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61" w:type="dxa"/>
            <w:vAlign w:val="center"/>
          </w:tcPr>
          <w:p w14:paraId="3050303C">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5</w:t>
            </w:r>
          </w:p>
        </w:tc>
        <w:tc>
          <w:tcPr>
            <w:tcW w:w="1987" w:type="dxa"/>
            <w:vAlign w:val="center"/>
          </w:tcPr>
          <w:p w14:paraId="4EF864B0">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湖南珠江啤酒有限公司门卫室楼顶（七参数）</w:t>
            </w:r>
          </w:p>
        </w:tc>
        <w:tc>
          <w:tcPr>
            <w:tcW w:w="2126" w:type="dxa"/>
            <w:vAlign w:val="center"/>
          </w:tcPr>
          <w:p w14:paraId="4F7363F5">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SO</w:t>
            </w:r>
            <w:r>
              <w:rPr>
                <w:rFonts w:hint="eastAsia" w:ascii="Times New Roman" w:hAnsi="Times New Roman" w:eastAsia="仿宋" w:cs="Times New Roman"/>
                <w:sz w:val="21"/>
                <w:szCs w:val="21"/>
                <w:vertAlign w:val="subscript"/>
              </w:rPr>
              <w:t>2</w:t>
            </w:r>
            <w:r>
              <w:rPr>
                <w:rFonts w:hint="eastAsia" w:ascii="Times New Roman" w:hAnsi="Times New Roman" w:eastAsia="仿宋" w:cs="Times New Roman"/>
                <w:sz w:val="21"/>
                <w:szCs w:val="21"/>
              </w:rPr>
              <w:t>、NO</w:t>
            </w:r>
            <w:r>
              <w:rPr>
                <w:rFonts w:hint="eastAsia" w:ascii="Times New Roman" w:hAnsi="Times New Roman" w:eastAsia="仿宋" w:cs="Times New Roman"/>
                <w:sz w:val="21"/>
                <w:szCs w:val="21"/>
                <w:vertAlign w:val="subscript"/>
              </w:rPr>
              <w:t>2</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10</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2.5</w:t>
            </w:r>
            <w:r>
              <w:rPr>
                <w:rFonts w:hint="eastAsia" w:ascii="Times New Roman" w:hAnsi="Times New Roman" w:eastAsia="仿宋" w:cs="Times New Roman"/>
                <w:sz w:val="21"/>
                <w:szCs w:val="21"/>
              </w:rPr>
              <w:t>、</w:t>
            </w:r>
            <w:r>
              <w:rPr>
                <w:rFonts w:ascii="Times New Roman" w:hAnsi="Times New Roman" w:eastAsia="仿宋" w:cs="Times New Roman"/>
                <w:sz w:val="21"/>
                <w:szCs w:val="21"/>
              </w:rPr>
              <w:t>CO、O</w:t>
            </w:r>
            <w:r>
              <w:rPr>
                <w:rFonts w:ascii="Times New Roman" w:hAnsi="Times New Roman" w:eastAsia="仿宋" w:cs="Times New Roman"/>
                <w:sz w:val="21"/>
                <w:szCs w:val="21"/>
                <w:vertAlign w:val="subscript"/>
              </w:rPr>
              <w:t>3</w:t>
            </w:r>
            <w:r>
              <w:rPr>
                <w:rFonts w:ascii="Times New Roman" w:hAnsi="Times New Roman" w:eastAsia="仿宋" w:cs="Times New Roman"/>
                <w:sz w:val="21"/>
                <w:szCs w:val="21"/>
              </w:rPr>
              <w:t>、TVOC</w:t>
            </w:r>
          </w:p>
        </w:tc>
        <w:tc>
          <w:tcPr>
            <w:tcW w:w="1701" w:type="dxa"/>
            <w:vAlign w:val="center"/>
          </w:tcPr>
          <w:p w14:paraId="44941630">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1次/天（日均值）</w:t>
            </w:r>
          </w:p>
        </w:tc>
        <w:tc>
          <w:tcPr>
            <w:tcW w:w="1053" w:type="dxa"/>
            <w:vAlign w:val="center"/>
          </w:tcPr>
          <w:p w14:paraId="314B36C6">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100%</w:t>
            </w:r>
          </w:p>
        </w:tc>
        <w:tc>
          <w:tcPr>
            <w:tcW w:w="1329" w:type="dxa"/>
            <w:vAlign w:val="center"/>
          </w:tcPr>
          <w:p w14:paraId="238FBE4D">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小微监控站</w:t>
            </w:r>
          </w:p>
        </w:tc>
      </w:tr>
      <w:tr w14:paraId="0CFCF3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61" w:type="dxa"/>
            <w:vAlign w:val="center"/>
          </w:tcPr>
          <w:p w14:paraId="7168B412">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6</w:t>
            </w:r>
          </w:p>
        </w:tc>
        <w:tc>
          <w:tcPr>
            <w:tcW w:w="1987" w:type="dxa"/>
            <w:vAlign w:val="center"/>
          </w:tcPr>
          <w:p w14:paraId="4DBDBD35">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湘潭市彩达彩印包装有限公司</w:t>
            </w:r>
          </w:p>
        </w:tc>
        <w:tc>
          <w:tcPr>
            <w:tcW w:w="2126" w:type="dxa"/>
            <w:vAlign w:val="center"/>
          </w:tcPr>
          <w:p w14:paraId="59434B16">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10</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2.5</w:t>
            </w:r>
          </w:p>
        </w:tc>
        <w:tc>
          <w:tcPr>
            <w:tcW w:w="1701" w:type="dxa"/>
            <w:vAlign w:val="center"/>
          </w:tcPr>
          <w:p w14:paraId="76B9B696">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1次/天（日均值）</w:t>
            </w:r>
          </w:p>
        </w:tc>
        <w:tc>
          <w:tcPr>
            <w:tcW w:w="1053" w:type="dxa"/>
            <w:vAlign w:val="center"/>
          </w:tcPr>
          <w:p w14:paraId="33C9258C">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100%</w:t>
            </w:r>
          </w:p>
        </w:tc>
        <w:tc>
          <w:tcPr>
            <w:tcW w:w="1329" w:type="dxa"/>
            <w:vAlign w:val="center"/>
          </w:tcPr>
          <w:p w14:paraId="6D325484">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小微监控站</w:t>
            </w:r>
          </w:p>
        </w:tc>
      </w:tr>
      <w:tr w14:paraId="164632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61" w:type="dxa"/>
            <w:vAlign w:val="center"/>
          </w:tcPr>
          <w:p w14:paraId="0FC28A7C">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7</w:t>
            </w:r>
          </w:p>
        </w:tc>
        <w:tc>
          <w:tcPr>
            <w:tcW w:w="1987" w:type="dxa"/>
            <w:vAlign w:val="center"/>
          </w:tcPr>
          <w:p w14:paraId="7165C6C4">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湘潭县艾力特电化有限公司</w:t>
            </w:r>
          </w:p>
        </w:tc>
        <w:tc>
          <w:tcPr>
            <w:tcW w:w="2126" w:type="dxa"/>
            <w:vAlign w:val="center"/>
          </w:tcPr>
          <w:p w14:paraId="56869062">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10</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2.5</w:t>
            </w:r>
          </w:p>
        </w:tc>
        <w:tc>
          <w:tcPr>
            <w:tcW w:w="1701" w:type="dxa"/>
            <w:vAlign w:val="center"/>
          </w:tcPr>
          <w:p w14:paraId="74944D3A">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1次/天（日均值）</w:t>
            </w:r>
          </w:p>
        </w:tc>
        <w:tc>
          <w:tcPr>
            <w:tcW w:w="1053" w:type="dxa"/>
            <w:vAlign w:val="center"/>
          </w:tcPr>
          <w:p w14:paraId="323E4331">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100%</w:t>
            </w:r>
          </w:p>
        </w:tc>
        <w:tc>
          <w:tcPr>
            <w:tcW w:w="1329" w:type="dxa"/>
            <w:vAlign w:val="center"/>
          </w:tcPr>
          <w:p w14:paraId="00A63EFF">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小微监控站</w:t>
            </w:r>
          </w:p>
        </w:tc>
      </w:tr>
      <w:tr w14:paraId="6F9A07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61" w:type="dxa"/>
            <w:vAlign w:val="center"/>
          </w:tcPr>
          <w:p w14:paraId="2E28B734">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8</w:t>
            </w:r>
          </w:p>
        </w:tc>
        <w:tc>
          <w:tcPr>
            <w:tcW w:w="1987" w:type="dxa"/>
            <w:vAlign w:val="center"/>
          </w:tcPr>
          <w:p w14:paraId="6F6057CA">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湘潭县国雅彩印有限责任公司</w:t>
            </w:r>
          </w:p>
        </w:tc>
        <w:tc>
          <w:tcPr>
            <w:tcW w:w="2126" w:type="dxa"/>
            <w:vAlign w:val="center"/>
          </w:tcPr>
          <w:p w14:paraId="324C0807">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10</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2.5</w:t>
            </w:r>
          </w:p>
        </w:tc>
        <w:tc>
          <w:tcPr>
            <w:tcW w:w="1701" w:type="dxa"/>
            <w:vAlign w:val="center"/>
          </w:tcPr>
          <w:p w14:paraId="069D5ED3">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1次/天（日均值）</w:t>
            </w:r>
          </w:p>
        </w:tc>
        <w:tc>
          <w:tcPr>
            <w:tcW w:w="1053" w:type="dxa"/>
            <w:vAlign w:val="center"/>
          </w:tcPr>
          <w:p w14:paraId="77B6BC87">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100%</w:t>
            </w:r>
          </w:p>
        </w:tc>
        <w:tc>
          <w:tcPr>
            <w:tcW w:w="1329" w:type="dxa"/>
            <w:vAlign w:val="center"/>
          </w:tcPr>
          <w:p w14:paraId="3E1711B9">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小微监控站</w:t>
            </w:r>
          </w:p>
        </w:tc>
      </w:tr>
      <w:tr w14:paraId="7ECE39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661" w:type="dxa"/>
            <w:vAlign w:val="center"/>
          </w:tcPr>
          <w:p w14:paraId="6A059358">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9</w:t>
            </w:r>
          </w:p>
        </w:tc>
        <w:tc>
          <w:tcPr>
            <w:tcW w:w="1987" w:type="dxa"/>
            <w:vAlign w:val="center"/>
          </w:tcPr>
          <w:p w14:paraId="72FAB8B6">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湘潭县康大工贸有限责任公司</w:t>
            </w:r>
          </w:p>
        </w:tc>
        <w:tc>
          <w:tcPr>
            <w:tcW w:w="2126" w:type="dxa"/>
            <w:vAlign w:val="center"/>
          </w:tcPr>
          <w:p w14:paraId="303AC1A0">
            <w:pPr>
              <w:snapToGrid w:val="0"/>
              <w:spacing w:line="276" w:lineRule="auto"/>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10</w:t>
            </w:r>
            <w:r>
              <w:rPr>
                <w:rFonts w:hint="eastAsia" w:ascii="Times New Roman" w:hAnsi="Times New Roman" w:eastAsia="仿宋" w:cs="Times New Roman"/>
                <w:sz w:val="21"/>
                <w:szCs w:val="21"/>
              </w:rPr>
              <w:t>、PM</w:t>
            </w:r>
            <w:r>
              <w:rPr>
                <w:rFonts w:hint="eastAsia" w:ascii="Times New Roman" w:hAnsi="Times New Roman" w:eastAsia="仿宋" w:cs="Times New Roman"/>
                <w:sz w:val="21"/>
                <w:szCs w:val="21"/>
                <w:vertAlign w:val="subscript"/>
              </w:rPr>
              <w:t>2.5</w:t>
            </w:r>
          </w:p>
        </w:tc>
        <w:tc>
          <w:tcPr>
            <w:tcW w:w="1701" w:type="dxa"/>
            <w:vAlign w:val="center"/>
          </w:tcPr>
          <w:p w14:paraId="08406568">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1次/天（日均值）</w:t>
            </w:r>
          </w:p>
        </w:tc>
        <w:tc>
          <w:tcPr>
            <w:tcW w:w="1053" w:type="dxa"/>
            <w:vAlign w:val="center"/>
          </w:tcPr>
          <w:p w14:paraId="07A58183">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100%</w:t>
            </w:r>
          </w:p>
        </w:tc>
        <w:tc>
          <w:tcPr>
            <w:tcW w:w="1329" w:type="dxa"/>
            <w:vAlign w:val="center"/>
          </w:tcPr>
          <w:p w14:paraId="646100C3">
            <w:pPr>
              <w:snapToGrid w:val="0"/>
              <w:spacing w:line="276" w:lineRule="auto"/>
              <w:jc w:val="center"/>
              <w:rPr>
                <w:rFonts w:ascii="Times New Roman" w:hAnsi="Times New Roman" w:eastAsia="仿宋" w:cs="Times New Roman"/>
                <w:sz w:val="21"/>
                <w:szCs w:val="21"/>
              </w:rPr>
            </w:pPr>
            <w:r>
              <w:rPr>
                <w:rFonts w:ascii="Times New Roman" w:hAnsi="Times New Roman" w:eastAsia="仿宋" w:cs="Times New Roman"/>
                <w:sz w:val="21"/>
                <w:szCs w:val="21"/>
              </w:rPr>
              <w:t>小微监控站</w:t>
            </w:r>
          </w:p>
        </w:tc>
      </w:tr>
    </w:tbl>
    <w:p w14:paraId="67EFD5ED">
      <w:pPr>
        <w:ind w:firstLine="640" w:firstLineChars="200"/>
        <w:rPr>
          <w:rFonts w:ascii="Times New Roman" w:hAnsi="Times New Roman" w:eastAsia="仿宋" w:cs="Times New Roman"/>
          <w:sz w:val="32"/>
          <w:szCs w:val="32"/>
        </w:rPr>
      </w:pPr>
      <w:bookmarkStart w:id="34" w:name="_Toc2756"/>
      <w:r>
        <w:rPr>
          <w:rFonts w:ascii="Times New Roman" w:hAnsi="Times New Roman" w:eastAsia="仿宋" w:cs="Times New Roman"/>
          <w:sz w:val="32"/>
          <w:szCs w:val="32"/>
        </w:rPr>
        <w:t>由环境空气自动监测站（省控站）</w:t>
      </w:r>
      <w:r>
        <w:rPr>
          <w:rFonts w:hint="eastAsia" w:ascii="Times New Roman" w:hAnsi="Times New Roman" w:eastAsia="仿宋" w:cs="Times New Roman"/>
          <w:sz w:val="32"/>
          <w:szCs w:val="32"/>
        </w:rPr>
        <w:t>监测数据</w:t>
      </w:r>
      <w:r>
        <w:rPr>
          <w:rFonts w:ascii="Times New Roman" w:hAnsi="Times New Roman" w:eastAsia="仿宋" w:cs="Times New Roman"/>
          <w:sz w:val="32"/>
          <w:szCs w:val="32"/>
        </w:rPr>
        <w:t>可知，天易经开区202</w:t>
      </w:r>
      <w:r>
        <w:rPr>
          <w:rFonts w:hint="eastAsia" w:ascii="Times New Roman" w:hAnsi="Times New Roman" w:eastAsia="仿宋" w:cs="Times New Roman"/>
          <w:sz w:val="32"/>
          <w:szCs w:val="32"/>
        </w:rPr>
        <w:t>4</w:t>
      </w:r>
      <w:r>
        <w:rPr>
          <w:rFonts w:ascii="Times New Roman" w:hAnsi="Times New Roman" w:eastAsia="仿宋" w:cs="Times New Roman"/>
          <w:sz w:val="32"/>
          <w:szCs w:val="32"/>
        </w:rPr>
        <w:t>年环境空气质量</w:t>
      </w:r>
      <w:r>
        <w:rPr>
          <w:rFonts w:hint="eastAsia" w:ascii="Times New Roman" w:hAnsi="Times New Roman" w:eastAsia="仿宋" w:cs="Times New Roman"/>
          <w:sz w:val="32"/>
          <w:szCs w:val="32"/>
        </w:rPr>
        <w:t>各监测因子可以</w:t>
      </w:r>
      <w:r>
        <w:rPr>
          <w:rFonts w:ascii="Times New Roman" w:hAnsi="Times New Roman" w:eastAsia="仿宋" w:cs="Times New Roman"/>
          <w:sz w:val="32"/>
          <w:szCs w:val="32"/>
        </w:rPr>
        <w:t>达到《环境空气质量标准》(GB3095-2012)中二级标准限值要求。</w:t>
      </w:r>
    </w:p>
    <w:p w14:paraId="36CB3C03"/>
    <w:p w14:paraId="79DDDAB8">
      <w:pPr>
        <w:pStyle w:val="21"/>
        <w:spacing w:line="360" w:lineRule="auto"/>
        <w:ind w:left="0" w:leftChars="0" w:firstLine="643"/>
        <w:outlineLvl w:val="1"/>
        <w:rPr>
          <w:rFonts w:ascii="Times New Roman" w:hAnsi="Times New Roman" w:eastAsia="仿宋"/>
          <w:b/>
          <w:bCs/>
          <w:szCs w:val="32"/>
        </w:rPr>
      </w:pPr>
      <w:bookmarkStart w:id="35" w:name="_Toc7664"/>
      <w:r>
        <w:rPr>
          <w:rFonts w:ascii="Times New Roman" w:hAnsi="Times New Roman" w:eastAsia="仿宋"/>
          <w:b/>
          <w:bCs/>
          <w:szCs w:val="32"/>
        </w:rPr>
        <w:t>（五）土壤环境管理</w:t>
      </w:r>
      <w:bookmarkEnd w:id="34"/>
      <w:bookmarkEnd w:id="35"/>
    </w:p>
    <w:p w14:paraId="1F3BA88A">
      <w:pPr>
        <w:pStyle w:val="21"/>
        <w:spacing w:after="0" w:line="360" w:lineRule="auto"/>
        <w:ind w:left="0" w:leftChars="0" w:firstLine="643"/>
        <w:rPr>
          <w:rFonts w:ascii="Times New Roman" w:hAnsi="Times New Roman" w:eastAsia="仿宋"/>
          <w:b/>
          <w:bCs/>
          <w:szCs w:val="32"/>
        </w:rPr>
      </w:pPr>
      <w:r>
        <w:rPr>
          <w:rFonts w:ascii="Times New Roman" w:hAnsi="Times New Roman" w:eastAsia="仿宋"/>
          <w:b/>
          <w:bCs/>
          <w:szCs w:val="32"/>
        </w:rPr>
        <w:t>1、土壤环境监测</w:t>
      </w:r>
    </w:p>
    <w:p w14:paraId="7135F6E1">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园区于202</w:t>
      </w:r>
      <w:r>
        <w:rPr>
          <w:rFonts w:hint="eastAsia" w:ascii="Times New Roman" w:hAnsi="Times New Roman" w:eastAsia="仿宋" w:cs="Times New Roman"/>
          <w:sz w:val="32"/>
          <w:szCs w:val="32"/>
        </w:rPr>
        <w:t>4</w:t>
      </w:r>
      <w:r>
        <w:rPr>
          <w:rFonts w:ascii="Times New Roman" w:hAnsi="Times New Roman" w:eastAsia="仿宋" w:cs="Times New Roman"/>
          <w:sz w:val="32"/>
          <w:szCs w:val="32"/>
        </w:rPr>
        <w:t>年委托</w:t>
      </w:r>
      <w:r>
        <w:rPr>
          <w:rFonts w:hint="eastAsia" w:ascii="Times New Roman" w:hAnsi="Times New Roman" w:eastAsia="仿宋" w:cs="Times New Roman"/>
          <w:bCs/>
          <w:sz w:val="32"/>
          <w:szCs w:val="32"/>
        </w:rPr>
        <w:t>湖南至正环境检测有限公司</w:t>
      </w:r>
      <w:r>
        <w:rPr>
          <w:rFonts w:ascii="Times New Roman" w:hAnsi="Times New Roman" w:eastAsia="仿宋" w:cs="Times New Roman"/>
          <w:sz w:val="32"/>
          <w:szCs w:val="32"/>
        </w:rPr>
        <w:t>对赋江村（旱地）、山塘湾（旱地）</w:t>
      </w:r>
      <w:r>
        <w:rPr>
          <w:rFonts w:hint="eastAsia" w:ascii="Times New Roman" w:hAnsi="Times New Roman" w:eastAsia="仿宋" w:cs="Times New Roman"/>
          <w:sz w:val="32"/>
          <w:szCs w:val="32"/>
        </w:rPr>
        <w:t>、</w:t>
      </w:r>
      <w:r>
        <w:rPr>
          <w:rFonts w:ascii="Times New Roman" w:hAnsi="Times New Roman" w:eastAsia="仿宋" w:cs="Times New Roman"/>
          <w:sz w:val="32"/>
          <w:szCs w:val="32"/>
        </w:rPr>
        <w:t>青光村（旱地）和</w:t>
      </w:r>
      <w:r>
        <w:rPr>
          <w:rFonts w:hint="eastAsia" w:ascii="Times New Roman" w:hAnsi="Times New Roman" w:eastAsia="仿宋" w:cs="Times New Roman"/>
          <w:sz w:val="32"/>
          <w:szCs w:val="32"/>
        </w:rPr>
        <w:t>康大工贸附近绿地四</w:t>
      </w:r>
      <w:r>
        <w:rPr>
          <w:rFonts w:ascii="Times New Roman" w:hAnsi="Times New Roman" w:eastAsia="仿宋" w:cs="Times New Roman"/>
          <w:sz w:val="32"/>
          <w:szCs w:val="32"/>
        </w:rPr>
        <w:t>个点位进行了土壤环境质量监测。</w:t>
      </w:r>
    </w:p>
    <w:p w14:paraId="7CDEA74F">
      <w:pPr>
        <w:pStyle w:val="21"/>
        <w:spacing w:after="0" w:line="360" w:lineRule="auto"/>
        <w:ind w:left="0" w:leftChars="0" w:firstLine="640"/>
        <w:rPr>
          <w:rFonts w:ascii="Times New Roman" w:hAnsi="Times New Roman" w:eastAsia="仿宋"/>
          <w:szCs w:val="32"/>
        </w:rPr>
      </w:pPr>
      <w:r>
        <w:rPr>
          <w:rFonts w:ascii="Times New Roman" w:hAnsi="Times New Roman" w:eastAsia="仿宋"/>
          <w:szCs w:val="32"/>
        </w:rPr>
        <w:t>根据检测报告，赋江村（旱地）</w:t>
      </w:r>
      <w:r>
        <w:rPr>
          <w:rFonts w:hint="eastAsia" w:ascii="Times New Roman" w:hAnsi="Times New Roman" w:eastAsia="仿宋"/>
          <w:szCs w:val="32"/>
        </w:rPr>
        <w:t>、山塘湾（旱地）、</w:t>
      </w:r>
      <w:r>
        <w:rPr>
          <w:rFonts w:ascii="Times New Roman" w:hAnsi="Times New Roman" w:eastAsia="仿宋"/>
          <w:szCs w:val="32"/>
        </w:rPr>
        <w:t>青光村（旱地）</w:t>
      </w:r>
      <w:r>
        <w:rPr>
          <w:rFonts w:hint="eastAsia" w:ascii="Times New Roman" w:hAnsi="Times New Roman" w:eastAsia="仿宋"/>
          <w:szCs w:val="32"/>
        </w:rPr>
        <w:t>三个监测点位的监测因子</w:t>
      </w:r>
      <w:r>
        <w:rPr>
          <w:rFonts w:ascii="Times New Roman" w:hAnsi="Times New Roman" w:eastAsia="仿宋"/>
          <w:szCs w:val="32"/>
        </w:rPr>
        <w:t>均达到《土壤环境质量 农用地土壤污染风险管控标准（试行）》（GB15618-2018）其他标准限值，达标率100%</w:t>
      </w:r>
      <w:r>
        <w:rPr>
          <w:rFonts w:hint="eastAsia" w:ascii="Times New Roman" w:hAnsi="Times New Roman" w:eastAsia="仿宋"/>
          <w:szCs w:val="32"/>
        </w:rPr>
        <w:t>；</w:t>
      </w:r>
      <w:r>
        <w:rPr>
          <w:rFonts w:ascii="Times New Roman" w:hAnsi="Times New Roman" w:eastAsia="仿宋"/>
          <w:szCs w:val="32"/>
        </w:rPr>
        <w:t>康大工贸附近绿地</w:t>
      </w:r>
      <w:r>
        <w:rPr>
          <w:rFonts w:hint="eastAsia" w:ascii="Times New Roman" w:hAnsi="Times New Roman" w:eastAsia="仿宋"/>
          <w:szCs w:val="32"/>
        </w:rPr>
        <w:t>的监测因子《土壤环境质量 建设用地土壤污染风险管控标准》（试行）（GB36600-2018）风险筛选值中的第二类用地的标准限值，达标率100%。</w:t>
      </w:r>
    </w:p>
    <w:p w14:paraId="07AD0A83">
      <w:pPr>
        <w:pStyle w:val="8"/>
        <w:spacing w:after="0" w:line="360" w:lineRule="auto"/>
        <w:ind w:firstLine="479"/>
        <w:rPr>
          <w:rFonts w:ascii="Times New Roman" w:hAnsi="Times New Roman" w:eastAsia="仿宋" w:cs="Times New Roman"/>
          <w:b/>
          <w:bCs/>
          <w:sz w:val="32"/>
          <w:szCs w:val="32"/>
        </w:rPr>
      </w:pPr>
      <w:r>
        <w:rPr>
          <w:rFonts w:ascii="Times New Roman" w:hAnsi="Times New Roman" w:eastAsia="仿宋" w:cs="Times New Roman"/>
          <w:b/>
          <w:bCs/>
          <w:sz w:val="32"/>
          <w:szCs w:val="32"/>
        </w:rPr>
        <w:t>2、污染地块情况</w:t>
      </w:r>
    </w:p>
    <w:p w14:paraId="3072A185">
      <w:pPr>
        <w:pStyle w:val="8"/>
        <w:spacing w:after="0" w:line="360" w:lineRule="auto"/>
        <w:ind w:firstLine="640" w:firstLineChars="200"/>
        <w:rPr>
          <w:rFonts w:ascii="Times New Roman" w:hAnsi="Times New Roman" w:eastAsia="仿宋" w:cs="Times New Roman"/>
          <w:sz w:val="32"/>
          <w:szCs w:val="32"/>
        </w:rPr>
      </w:pPr>
      <w:bookmarkStart w:id="36" w:name="_Toc17499"/>
      <w:r>
        <w:rPr>
          <w:rFonts w:ascii="Times New Roman" w:hAnsi="Times New Roman" w:eastAsia="仿宋" w:cs="Times New Roman"/>
          <w:sz w:val="32"/>
          <w:szCs w:val="32"/>
        </w:rPr>
        <w:t>园区内涉及污染地块数量</w:t>
      </w:r>
      <w:r>
        <w:rPr>
          <w:rFonts w:hint="eastAsia" w:ascii="Times New Roman" w:hAnsi="Times New Roman" w:eastAsia="仿宋" w:cs="Times New Roman"/>
          <w:sz w:val="32"/>
          <w:szCs w:val="32"/>
          <w:u w:val="single"/>
        </w:rPr>
        <w:t>0</w:t>
      </w:r>
      <w:r>
        <w:rPr>
          <w:rFonts w:ascii="Times New Roman" w:hAnsi="Times New Roman" w:eastAsia="仿宋" w:cs="Times New Roman"/>
          <w:sz w:val="32"/>
          <w:szCs w:val="32"/>
        </w:rPr>
        <w:t xml:space="preserve"> 个。</w:t>
      </w:r>
    </w:p>
    <w:p w14:paraId="7E5B1FC7">
      <w:pPr>
        <w:ind w:firstLine="640" w:firstLineChars="200"/>
        <w:rPr>
          <w:rFonts w:ascii="Times New Roman" w:hAnsi="Times New Roman" w:eastAsia="仿宋" w:cs="Times New Roman"/>
          <w:sz w:val="32"/>
          <w:szCs w:val="32"/>
        </w:rPr>
      </w:pPr>
    </w:p>
    <w:p w14:paraId="62EE4375">
      <w:pPr>
        <w:snapToGrid w:val="0"/>
        <w:spacing w:line="600" w:lineRule="exact"/>
        <w:ind w:firstLine="643" w:firstLineChars="200"/>
        <w:outlineLvl w:val="1"/>
        <w:rPr>
          <w:rFonts w:ascii="Times New Roman" w:hAnsi="Times New Roman" w:eastAsia="仿宋" w:cs="Times New Roman"/>
          <w:b/>
          <w:bCs/>
          <w:sz w:val="32"/>
          <w:szCs w:val="32"/>
        </w:rPr>
      </w:pPr>
      <w:bookmarkStart w:id="37" w:name="_Toc20247"/>
      <w:r>
        <w:rPr>
          <w:rFonts w:ascii="Times New Roman" w:hAnsi="Times New Roman" w:eastAsia="仿宋" w:cs="Times New Roman"/>
          <w:b/>
          <w:bCs/>
          <w:sz w:val="32"/>
          <w:szCs w:val="32"/>
        </w:rPr>
        <w:t>（六）固体废物管理</w:t>
      </w:r>
      <w:bookmarkEnd w:id="36"/>
      <w:bookmarkEnd w:id="37"/>
    </w:p>
    <w:p w14:paraId="7A2D4BE0">
      <w:pPr>
        <w:pStyle w:val="21"/>
        <w:snapToGrid w:val="0"/>
        <w:spacing w:after="0" w:line="600" w:lineRule="exact"/>
        <w:ind w:left="0" w:leftChars="0" w:firstLine="640"/>
        <w:rPr>
          <w:rFonts w:ascii="Times New Roman" w:hAnsi="Times New Roman" w:eastAsia="仿宋"/>
          <w:szCs w:val="32"/>
        </w:rPr>
      </w:pPr>
      <w:r>
        <w:rPr>
          <w:rFonts w:ascii="Times New Roman" w:hAnsi="Times New Roman" w:eastAsia="仿宋"/>
          <w:szCs w:val="32"/>
        </w:rPr>
        <w:t>园区一般工业固体废物产生企业数量</w:t>
      </w:r>
      <w:r>
        <w:rPr>
          <w:rFonts w:hint="eastAsia" w:ascii="Times New Roman" w:hAnsi="Times New Roman" w:eastAsia="仿宋"/>
          <w:szCs w:val="32"/>
          <w:u w:val="single"/>
        </w:rPr>
        <w:t>130</w:t>
      </w:r>
      <w:r>
        <w:rPr>
          <w:rFonts w:ascii="Times New Roman" w:hAnsi="Times New Roman" w:eastAsia="仿宋"/>
          <w:szCs w:val="32"/>
        </w:rPr>
        <w:t>个，产生量</w:t>
      </w:r>
      <w:r>
        <w:rPr>
          <w:rFonts w:hint="eastAsia" w:ascii="Times New Roman" w:hAnsi="Times New Roman" w:eastAsia="仿宋"/>
          <w:szCs w:val="32"/>
          <w:u w:val="single"/>
        </w:rPr>
        <w:t>73421.8723</w:t>
      </w:r>
      <w:r>
        <w:rPr>
          <w:rFonts w:ascii="Times New Roman" w:hAnsi="Times New Roman" w:eastAsia="仿宋"/>
          <w:szCs w:val="32"/>
        </w:rPr>
        <w:t>t/a，其中，自行综合利用</w:t>
      </w:r>
      <w:r>
        <w:rPr>
          <w:rFonts w:hint="eastAsia" w:ascii="Times New Roman" w:hAnsi="Times New Roman" w:eastAsia="仿宋"/>
          <w:szCs w:val="32"/>
          <w:u w:val="single"/>
        </w:rPr>
        <w:t>0</w:t>
      </w:r>
      <w:r>
        <w:rPr>
          <w:rFonts w:ascii="Times New Roman" w:hAnsi="Times New Roman" w:eastAsia="仿宋"/>
          <w:szCs w:val="32"/>
        </w:rPr>
        <w:t>t/a，自行处置</w:t>
      </w:r>
      <w:r>
        <w:rPr>
          <w:rFonts w:hint="eastAsia" w:ascii="Times New Roman" w:hAnsi="Times New Roman" w:eastAsia="仿宋"/>
          <w:szCs w:val="32"/>
          <w:u w:val="single"/>
        </w:rPr>
        <w:t>0</w:t>
      </w:r>
      <w:r>
        <w:rPr>
          <w:rFonts w:ascii="Times New Roman" w:hAnsi="Times New Roman" w:eastAsia="仿宋"/>
          <w:szCs w:val="32"/>
        </w:rPr>
        <w:t>t/a，外委处置</w:t>
      </w:r>
      <w:r>
        <w:rPr>
          <w:rFonts w:hint="eastAsia" w:ascii="Times New Roman" w:hAnsi="Times New Roman" w:eastAsia="仿宋"/>
          <w:szCs w:val="32"/>
          <w:u w:val="single"/>
        </w:rPr>
        <w:t>73421.8723</w:t>
      </w:r>
      <w:r>
        <w:rPr>
          <w:rFonts w:ascii="Times New Roman" w:hAnsi="Times New Roman" w:eastAsia="仿宋"/>
          <w:szCs w:val="32"/>
        </w:rPr>
        <w:t>t/a。危险废物产生企业数量</w:t>
      </w:r>
      <w:r>
        <w:rPr>
          <w:rFonts w:hint="eastAsia" w:ascii="Times New Roman" w:hAnsi="Times New Roman" w:eastAsia="仿宋"/>
          <w:szCs w:val="32"/>
          <w:u w:val="single"/>
        </w:rPr>
        <w:t>97</w:t>
      </w:r>
      <w:r>
        <w:rPr>
          <w:rFonts w:ascii="Times New Roman" w:hAnsi="Times New Roman" w:eastAsia="仿宋"/>
          <w:szCs w:val="32"/>
        </w:rPr>
        <w:t>个，产生量</w:t>
      </w:r>
      <w:r>
        <w:rPr>
          <w:rFonts w:hint="eastAsia" w:ascii="Times New Roman" w:hAnsi="Times New Roman" w:eastAsia="仿宋"/>
          <w:szCs w:val="32"/>
          <w:u w:val="single"/>
        </w:rPr>
        <w:t>2174.1523</w:t>
      </w:r>
      <w:r>
        <w:rPr>
          <w:rFonts w:ascii="Times New Roman" w:hAnsi="Times New Roman" w:eastAsia="仿宋"/>
          <w:szCs w:val="32"/>
        </w:rPr>
        <w:t>t/a，其中，自行综合利用</w:t>
      </w:r>
      <w:r>
        <w:rPr>
          <w:rFonts w:hint="eastAsia" w:ascii="Times New Roman" w:hAnsi="Times New Roman" w:eastAsia="仿宋"/>
          <w:szCs w:val="32"/>
          <w:u w:val="single"/>
        </w:rPr>
        <w:t>0</w:t>
      </w:r>
      <w:r>
        <w:rPr>
          <w:rFonts w:ascii="Times New Roman" w:hAnsi="Times New Roman" w:eastAsia="仿宋"/>
          <w:szCs w:val="32"/>
        </w:rPr>
        <w:t>t/a，自行处置</w:t>
      </w:r>
      <w:r>
        <w:rPr>
          <w:rFonts w:ascii="Times New Roman" w:hAnsi="Times New Roman" w:eastAsia="仿宋"/>
          <w:szCs w:val="32"/>
          <w:u w:val="single"/>
        </w:rPr>
        <w:t>0</w:t>
      </w:r>
      <w:r>
        <w:rPr>
          <w:rFonts w:ascii="Times New Roman" w:hAnsi="Times New Roman" w:eastAsia="仿宋"/>
          <w:szCs w:val="32"/>
        </w:rPr>
        <w:t xml:space="preserve"> t/a，外委处置</w:t>
      </w:r>
      <w:r>
        <w:rPr>
          <w:rFonts w:hint="eastAsia" w:ascii="Times New Roman" w:hAnsi="Times New Roman" w:eastAsia="仿宋"/>
          <w:szCs w:val="32"/>
          <w:u w:val="single"/>
        </w:rPr>
        <w:t>2174.1523</w:t>
      </w:r>
      <w:r>
        <w:rPr>
          <w:rFonts w:ascii="Times New Roman" w:hAnsi="Times New Roman" w:eastAsia="仿宋"/>
          <w:szCs w:val="32"/>
        </w:rPr>
        <w:t>t/a。</w:t>
      </w:r>
    </w:p>
    <w:p w14:paraId="27031BD4">
      <w:pPr>
        <w:pStyle w:val="21"/>
        <w:snapToGrid w:val="0"/>
        <w:spacing w:after="0" w:line="600" w:lineRule="exact"/>
        <w:ind w:left="0" w:leftChars="0" w:firstLine="640"/>
        <w:rPr>
          <w:rFonts w:ascii="Times New Roman" w:hAnsi="Times New Roman" w:eastAsia="仿宋"/>
          <w:szCs w:val="32"/>
        </w:rPr>
      </w:pPr>
      <w:r>
        <w:rPr>
          <w:rFonts w:ascii="Times New Roman" w:hAnsi="Times New Roman" w:eastAsia="仿宋"/>
          <w:szCs w:val="32"/>
        </w:rPr>
        <w:t>园区集中的工业固废处理设施情况：处理能力</w:t>
      </w:r>
      <w:r>
        <w:rPr>
          <w:rFonts w:ascii="Times New Roman" w:hAnsi="Times New Roman" w:eastAsia="仿宋"/>
          <w:szCs w:val="32"/>
          <w:u w:val="single"/>
        </w:rPr>
        <w:t>/</w:t>
      </w:r>
      <w:r>
        <w:rPr>
          <w:rFonts w:ascii="Times New Roman" w:hAnsi="Times New Roman" w:eastAsia="仿宋"/>
          <w:szCs w:val="32"/>
        </w:rPr>
        <w:t>t/a，处理工业固体废物种类</w:t>
      </w:r>
      <w:r>
        <w:rPr>
          <w:rFonts w:ascii="Times New Roman" w:hAnsi="Times New Roman" w:eastAsia="仿宋"/>
          <w:szCs w:val="32"/>
          <w:u w:val="single"/>
        </w:rPr>
        <w:t>/</w:t>
      </w:r>
      <w:r>
        <w:rPr>
          <w:rFonts w:ascii="Times New Roman" w:hAnsi="Times New Roman" w:eastAsia="仿宋"/>
          <w:szCs w:val="32"/>
        </w:rPr>
        <w:t>，处理工艺</w:t>
      </w:r>
      <w:r>
        <w:rPr>
          <w:rFonts w:ascii="Times New Roman" w:hAnsi="Times New Roman" w:eastAsia="仿宋"/>
          <w:szCs w:val="32"/>
          <w:u w:val="single"/>
        </w:rPr>
        <w:t>/</w:t>
      </w:r>
      <w:r>
        <w:rPr>
          <w:rFonts w:ascii="Times New Roman" w:hAnsi="Times New Roman" w:eastAsia="仿宋"/>
          <w:szCs w:val="32"/>
        </w:rPr>
        <w:t>。（园区无集中的工业固废处理设施）</w:t>
      </w:r>
    </w:p>
    <w:p w14:paraId="345254A8">
      <w:pPr>
        <w:pStyle w:val="21"/>
        <w:snapToGrid w:val="0"/>
        <w:spacing w:after="0" w:line="600" w:lineRule="exact"/>
        <w:ind w:left="0" w:leftChars="0" w:firstLine="640"/>
        <w:rPr>
          <w:rFonts w:ascii="Times New Roman" w:hAnsi="Times New Roman" w:eastAsia="仿宋"/>
          <w:szCs w:val="32"/>
        </w:rPr>
      </w:pPr>
    </w:p>
    <w:p w14:paraId="21613C89">
      <w:pPr>
        <w:pStyle w:val="21"/>
        <w:snapToGrid w:val="0"/>
        <w:spacing w:after="0" w:line="600" w:lineRule="exact"/>
        <w:ind w:left="0" w:leftChars="0" w:firstLine="643"/>
        <w:outlineLvl w:val="1"/>
        <w:rPr>
          <w:rFonts w:ascii="Times New Roman" w:hAnsi="Times New Roman" w:eastAsia="仿宋"/>
          <w:b/>
          <w:bCs/>
          <w:szCs w:val="32"/>
        </w:rPr>
      </w:pPr>
      <w:bookmarkStart w:id="38" w:name="_Toc80"/>
      <w:bookmarkStart w:id="39" w:name="_Toc29343"/>
      <w:r>
        <w:rPr>
          <w:rFonts w:ascii="Times New Roman" w:hAnsi="Times New Roman" w:eastAsia="仿宋"/>
          <w:b/>
          <w:bCs/>
          <w:szCs w:val="32"/>
        </w:rPr>
        <w:t>（七）投诉管理</w:t>
      </w:r>
      <w:bookmarkEnd w:id="38"/>
      <w:bookmarkEnd w:id="39"/>
    </w:p>
    <w:p w14:paraId="47428162">
      <w:pPr>
        <w:ind w:firstLine="640" w:firstLineChars="200"/>
        <w:rPr>
          <w:rFonts w:ascii="Times New Roman" w:hAnsi="Times New Roman" w:eastAsia="仿宋" w:cs="Times New Roman"/>
        </w:rPr>
      </w:pPr>
      <w:r>
        <w:rPr>
          <w:rFonts w:ascii="Times New Roman" w:hAnsi="Times New Roman" w:eastAsia="仿宋" w:cs="Times New Roman"/>
          <w:sz w:val="32"/>
          <w:szCs w:val="32"/>
        </w:rPr>
        <w:t>本年度园区共受理各类（含各级督查、各级环保投诉等）投诉</w:t>
      </w:r>
      <w:r>
        <w:rPr>
          <w:rFonts w:hint="eastAsia" w:ascii="Times New Roman" w:hAnsi="Times New Roman" w:eastAsia="仿宋" w:cs="Times New Roman"/>
          <w:sz w:val="32"/>
          <w:szCs w:val="32"/>
          <w:u w:val="single"/>
        </w:rPr>
        <w:t>69</w:t>
      </w:r>
      <w:r>
        <w:rPr>
          <w:rFonts w:ascii="Times New Roman" w:hAnsi="Times New Roman" w:eastAsia="仿宋" w:cs="Times New Roman"/>
          <w:sz w:val="32"/>
          <w:szCs w:val="32"/>
        </w:rPr>
        <w:t>件，已完成整改</w:t>
      </w:r>
      <w:r>
        <w:rPr>
          <w:rFonts w:hint="eastAsia" w:ascii="Times New Roman" w:hAnsi="Times New Roman" w:eastAsia="仿宋" w:cs="Times New Roman"/>
          <w:sz w:val="32"/>
          <w:szCs w:val="32"/>
          <w:u w:val="single"/>
        </w:rPr>
        <w:t>69</w:t>
      </w:r>
      <w:r>
        <w:rPr>
          <w:rFonts w:ascii="Times New Roman" w:hAnsi="Times New Roman" w:eastAsia="仿宋" w:cs="Times New Roman"/>
          <w:sz w:val="32"/>
          <w:szCs w:val="32"/>
        </w:rPr>
        <w:t>件，完成率</w:t>
      </w:r>
      <w:r>
        <w:rPr>
          <w:rFonts w:ascii="Times New Roman" w:hAnsi="Times New Roman" w:eastAsia="仿宋" w:cs="Times New Roman"/>
          <w:sz w:val="32"/>
          <w:szCs w:val="32"/>
          <w:u w:val="single"/>
        </w:rPr>
        <w:t>100</w:t>
      </w:r>
      <w:r>
        <w:rPr>
          <w:rFonts w:ascii="Times New Roman" w:hAnsi="Times New Roman" w:eastAsia="仿宋" w:cs="Times New Roman"/>
          <w:sz w:val="32"/>
          <w:szCs w:val="32"/>
        </w:rPr>
        <w:t>%。环保督察交办问题</w:t>
      </w:r>
      <w:r>
        <w:rPr>
          <w:rFonts w:hint="eastAsia" w:ascii="Times New Roman" w:hAnsi="Times New Roman" w:eastAsia="仿宋" w:cs="Times New Roman"/>
          <w:sz w:val="32"/>
          <w:szCs w:val="32"/>
          <w:u w:val="single"/>
        </w:rPr>
        <w:t>7</w:t>
      </w:r>
      <w:r>
        <w:rPr>
          <w:rFonts w:ascii="Times New Roman" w:hAnsi="Times New Roman" w:eastAsia="仿宋" w:cs="Times New Roman"/>
          <w:sz w:val="32"/>
          <w:szCs w:val="32"/>
        </w:rPr>
        <w:t>件，已完成整改</w:t>
      </w:r>
      <w:r>
        <w:rPr>
          <w:rFonts w:hint="eastAsia" w:ascii="Times New Roman" w:hAnsi="Times New Roman" w:eastAsia="仿宋" w:cs="Times New Roman"/>
          <w:sz w:val="32"/>
          <w:szCs w:val="32"/>
          <w:u w:val="single"/>
        </w:rPr>
        <w:t>7</w:t>
      </w:r>
      <w:r>
        <w:rPr>
          <w:rFonts w:ascii="Times New Roman" w:hAnsi="Times New Roman" w:eastAsia="仿宋" w:cs="Times New Roman"/>
          <w:sz w:val="32"/>
          <w:szCs w:val="32"/>
        </w:rPr>
        <w:t>件，完成率</w:t>
      </w:r>
      <w:r>
        <w:rPr>
          <w:rFonts w:hint="eastAsia" w:ascii="Times New Roman" w:hAnsi="Times New Roman" w:eastAsia="仿宋" w:cs="Times New Roman"/>
          <w:sz w:val="32"/>
          <w:szCs w:val="32"/>
          <w:u w:val="single"/>
        </w:rPr>
        <w:t>100</w:t>
      </w:r>
      <w:r>
        <w:rPr>
          <w:rFonts w:ascii="Times New Roman" w:hAnsi="Times New Roman" w:eastAsia="仿宋" w:cs="Times New Roman"/>
          <w:sz w:val="32"/>
          <w:szCs w:val="32"/>
        </w:rPr>
        <w:t>%。</w:t>
      </w:r>
      <w:bookmarkStart w:id="40" w:name="_Toc1644"/>
      <w:r>
        <w:rPr>
          <w:rFonts w:ascii="Times New Roman" w:hAnsi="Times New Roman" w:eastAsia="仿宋" w:cs="Times New Roman"/>
          <w:sz w:val="32"/>
          <w:szCs w:val="32"/>
        </w:rPr>
        <w:t>说明材料详见附表。</w:t>
      </w:r>
    </w:p>
    <w:p w14:paraId="7DCA6C59"/>
    <w:p w14:paraId="730CC748">
      <w:pPr>
        <w:pStyle w:val="21"/>
        <w:snapToGrid w:val="0"/>
        <w:spacing w:after="0" w:line="360" w:lineRule="auto"/>
        <w:ind w:left="0" w:leftChars="0" w:firstLine="643"/>
        <w:outlineLvl w:val="1"/>
        <w:rPr>
          <w:rFonts w:ascii="Times New Roman" w:hAnsi="Times New Roman" w:eastAsia="仿宋"/>
          <w:b/>
          <w:bCs/>
          <w:szCs w:val="32"/>
        </w:rPr>
      </w:pPr>
      <w:bookmarkStart w:id="41" w:name="_Toc25542"/>
      <w:r>
        <w:rPr>
          <w:rFonts w:ascii="Times New Roman" w:hAnsi="Times New Roman" w:eastAsia="仿宋"/>
          <w:b/>
          <w:bCs/>
          <w:szCs w:val="32"/>
        </w:rPr>
        <w:t>（八）园区信用评价</w:t>
      </w:r>
      <w:bookmarkEnd w:id="40"/>
      <w:bookmarkEnd w:id="41"/>
    </w:p>
    <w:p w14:paraId="4101617C">
      <w:pPr>
        <w:pStyle w:val="21"/>
        <w:snapToGrid w:val="0"/>
        <w:spacing w:after="0" w:line="360" w:lineRule="auto"/>
        <w:ind w:left="0" w:leftChars="0" w:firstLine="640"/>
        <w:rPr>
          <w:rFonts w:ascii="Times New Roman" w:hAnsi="Times New Roman" w:eastAsia="仿宋"/>
          <w:szCs w:val="32"/>
        </w:rPr>
      </w:pPr>
      <w:r>
        <w:rPr>
          <w:rFonts w:hint="eastAsia" w:ascii="Times New Roman" w:hAnsi="Times New Roman" w:eastAsia="仿宋"/>
          <w:szCs w:val="32"/>
        </w:rPr>
        <w:t>2024年度</w:t>
      </w:r>
      <w:r>
        <w:rPr>
          <w:rFonts w:ascii="Times New Roman" w:hAnsi="Times New Roman" w:eastAsia="仿宋"/>
          <w:szCs w:val="32"/>
        </w:rPr>
        <w:t>湘潭天易经开区园区环保信用自评工作</w:t>
      </w:r>
      <w:r>
        <w:rPr>
          <w:rFonts w:hint="eastAsia" w:ascii="Times New Roman" w:hAnsi="Times New Roman" w:eastAsia="仿宋"/>
          <w:szCs w:val="32"/>
        </w:rPr>
        <w:t>已</w:t>
      </w:r>
      <w:r>
        <w:rPr>
          <w:rFonts w:ascii="Times New Roman" w:hAnsi="Times New Roman" w:eastAsia="仿宋"/>
          <w:szCs w:val="32"/>
        </w:rPr>
        <w:t>开展。对照《湖南省产业园区环保信用评价管理办法（试行）》中评价标准，产业园区环保信用等级根据环保信用分值高低分为环保诚信园区（10分及以上）、环保合格园区（</w:t>
      </w:r>
      <w:r>
        <w:rPr>
          <w:rFonts w:hint="eastAsia" w:ascii="Times New Roman" w:hAnsi="Times New Roman" w:eastAsia="仿宋"/>
          <w:szCs w:val="32"/>
        </w:rPr>
        <w:t>5</w:t>
      </w:r>
      <w:r>
        <w:rPr>
          <w:rFonts w:ascii="Times New Roman" w:hAnsi="Times New Roman" w:eastAsia="仿宋"/>
          <w:szCs w:val="32"/>
        </w:rPr>
        <w:t>~</w:t>
      </w:r>
      <w:r>
        <w:rPr>
          <w:rFonts w:hint="eastAsia" w:ascii="Times New Roman" w:hAnsi="Times New Roman" w:eastAsia="仿宋"/>
          <w:szCs w:val="32"/>
        </w:rPr>
        <w:t>10</w:t>
      </w:r>
      <w:r>
        <w:rPr>
          <w:rFonts w:ascii="Times New Roman" w:hAnsi="Times New Roman" w:eastAsia="仿宋"/>
          <w:szCs w:val="32"/>
        </w:rPr>
        <w:t>分）、环保风险园区（5分及以下）三个等级。</w:t>
      </w:r>
    </w:p>
    <w:p w14:paraId="7EFBE161">
      <w:pPr>
        <w:pStyle w:val="21"/>
        <w:snapToGrid w:val="0"/>
        <w:spacing w:after="0" w:line="360" w:lineRule="auto"/>
        <w:ind w:left="0" w:leftChars="0" w:firstLine="640"/>
        <w:rPr>
          <w:rFonts w:ascii="Times New Roman" w:hAnsi="Times New Roman" w:eastAsia="仿宋"/>
          <w:szCs w:val="32"/>
        </w:rPr>
      </w:pPr>
      <w:r>
        <w:rPr>
          <w:rFonts w:hint="eastAsia" w:ascii="Times New Roman" w:hAnsi="Times New Roman" w:eastAsia="仿宋"/>
          <w:szCs w:val="32"/>
        </w:rPr>
        <w:t>2024年度</w:t>
      </w:r>
      <w:r>
        <w:rPr>
          <w:rFonts w:ascii="Times New Roman" w:hAnsi="Times New Roman" w:eastAsia="仿宋"/>
          <w:szCs w:val="32"/>
        </w:rPr>
        <w:t>湘潭天易经开区进行园区环保信用自评分值为</w:t>
      </w:r>
      <w:r>
        <w:rPr>
          <w:rFonts w:hint="eastAsia" w:ascii="Times New Roman" w:hAnsi="Times New Roman" w:eastAsia="仿宋"/>
          <w:szCs w:val="32"/>
        </w:rPr>
        <w:t>9.5</w:t>
      </w:r>
      <w:r>
        <w:rPr>
          <w:rFonts w:ascii="Times New Roman" w:hAnsi="Times New Roman" w:eastAsia="仿宋"/>
          <w:szCs w:val="32"/>
        </w:rPr>
        <w:t>分（详见表7），属于环保</w:t>
      </w:r>
      <w:r>
        <w:rPr>
          <w:rFonts w:hint="eastAsia" w:ascii="Times New Roman" w:hAnsi="Times New Roman" w:eastAsia="仿宋"/>
          <w:szCs w:val="32"/>
        </w:rPr>
        <w:t>合格</w:t>
      </w:r>
      <w:r>
        <w:rPr>
          <w:rFonts w:ascii="Times New Roman" w:hAnsi="Times New Roman" w:eastAsia="仿宋"/>
          <w:szCs w:val="32"/>
        </w:rPr>
        <w:t>园区等级。</w:t>
      </w:r>
    </w:p>
    <w:p w14:paraId="0EEBB923">
      <w:pPr>
        <w:pStyle w:val="33"/>
        <w:rPr>
          <w:rFonts w:eastAsia="仿宋" w:cs="Times New Roman"/>
          <w:bCs/>
          <w:sz w:val="28"/>
          <w:szCs w:val="28"/>
        </w:rPr>
      </w:pPr>
      <w:r>
        <w:rPr>
          <w:rFonts w:eastAsia="仿宋" w:cs="Times New Roman"/>
          <w:bCs/>
          <w:sz w:val="28"/>
          <w:szCs w:val="28"/>
        </w:rPr>
        <w:t>表7  湘潭天易经开区环保信用自评情况一览表</w:t>
      </w:r>
    </w:p>
    <w:tbl>
      <w:tblPr>
        <w:tblStyle w:val="22"/>
        <w:tblW w:w="915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750"/>
        <w:gridCol w:w="1111"/>
        <w:gridCol w:w="1838"/>
        <w:gridCol w:w="4537"/>
        <w:gridCol w:w="914"/>
      </w:tblGrid>
      <w:tr w14:paraId="69C6E92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750" w:type="dxa"/>
            <w:vAlign w:val="center"/>
          </w:tcPr>
          <w:p w14:paraId="7DEB95DB">
            <w:pPr>
              <w:pStyle w:val="50"/>
              <w:jc w:val="center"/>
              <w:rPr>
                <w:rFonts w:eastAsia="仿宋" w:cs="Times New Roman"/>
                <w:b/>
                <w:bCs/>
              </w:rPr>
            </w:pPr>
            <w:bookmarkStart w:id="42" w:name="_Toc9618"/>
            <w:r>
              <w:rPr>
                <w:rFonts w:eastAsia="仿宋" w:cs="Times New Roman"/>
                <w:b/>
                <w:bCs/>
              </w:rPr>
              <w:t>序号</w:t>
            </w:r>
          </w:p>
        </w:tc>
        <w:tc>
          <w:tcPr>
            <w:tcW w:w="1111" w:type="dxa"/>
            <w:noWrap/>
            <w:vAlign w:val="center"/>
          </w:tcPr>
          <w:p w14:paraId="05CADD14">
            <w:pPr>
              <w:pStyle w:val="50"/>
              <w:jc w:val="center"/>
              <w:rPr>
                <w:rFonts w:eastAsia="仿宋" w:cs="Times New Roman"/>
                <w:b/>
                <w:bCs/>
              </w:rPr>
            </w:pPr>
            <w:r>
              <w:rPr>
                <w:rFonts w:eastAsia="仿宋" w:cs="Times New Roman"/>
                <w:b/>
                <w:bCs/>
              </w:rPr>
              <w:t>一级指标</w:t>
            </w:r>
          </w:p>
        </w:tc>
        <w:tc>
          <w:tcPr>
            <w:tcW w:w="1838" w:type="dxa"/>
            <w:vAlign w:val="center"/>
          </w:tcPr>
          <w:p w14:paraId="09F9DCCB">
            <w:pPr>
              <w:pStyle w:val="50"/>
              <w:jc w:val="center"/>
              <w:rPr>
                <w:rFonts w:eastAsia="仿宋" w:cs="Times New Roman"/>
                <w:b/>
                <w:bCs/>
              </w:rPr>
            </w:pPr>
            <w:r>
              <w:rPr>
                <w:rFonts w:eastAsia="仿宋" w:cs="Times New Roman"/>
                <w:b/>
                <w:bCs/>
              </w:rPr>
              <w:t>二级评价指标</w:t>
            </w:r>
          </w:p>
        </w:tc>
        <w:tc>
          <w:tcPr>
            <w:tcW w:w="4537" w:type="dxa"/>
            <w:vAlign w:val="center"/>
          </w:tcPr>
          <w:p w14:paraId="465C89B2">
            <w:pPr>
              <w:pStyle w:val="50"/>
              <w:jc w:val="center"/>
              <w:rPr>
                <w:rFonts w:eastAsia="仿宋" w:cs="Times New Roman"/>
                <w:b/>
                <w:bCs/>
              </w:rPr>
            </w:pPr>
            <w:r>
              <w:rPr>
                <w:rFonts w:eastAsia="仿宋" w:cs="Times New Roman"/>
                <w:b/>
                <w:bCs/>
              </w:rPr>
              <w:t>评价标准</w:t>
            </w:r>
          </w:p>
        </w:tc>
        <w:tc>
          <w:tcPr>
            <w:tcW w:w="914" w:type="dxa"/>
            <w:vAlign w:val="center"/>
          </w:tcPr>
          <w:p w14:paraId="0408F016">
            <w:pPr>
              <w:pStyle w:val="50"/>
              <w:jc w:val="center"/>
              <w:rPr>
                <w:rFonts w:eastAsia="仿宋" w:cs="Times New Roman"/>
                <w:b/>
                <w:bCs/>
              </w:rPr>
            </w:pPr>
            <w:r>
              <w:rPr>
                <w:rFonts w:eastAsia="仿宋" w:cs="Times New Roman"/>
                <w:b/>
                <w:bCs/>
              </w:rPr>
              <w:t>得分</w:t>
            </w:r>
          </w:p>
        </w:tc>
      </w:tr>
      <w:tr w14:paraId="1FCB82B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750" w:type="dxa"/>
            <w:vMerge w:val="restart"/>
            <w:noWrap/>
            <w:vAlign w:val="center"/>
          </w:tcPr>
          <w:p w14:paraId="6FAC4661">
            <w:pPr>
              <w:pStyle w:val="50"/>
              <w:jc w:val="center"/>
              <w:rPr>
                <w:rFonts w:eastAsia="仿宋" w:cs="Times New Roman"/>
              </w:rPr>
            </w:pPr>
            <w:r>
              <w:rPr>
                <w:rFonts w:eastAsia="仿宋" w:cs="Times New Roman"/>
              </w:rPr>
              <w:t>1</w:t>
            </w:r>
          </w:p>
        </w:tc>
        <w:tc>
          <w:tcPr>
            <w:tcW w:w="1111" w:type="dxa"/>
            <w:vMerge w:val="restart"/>
            <w:vAlign w:val="center"/>
          </w:tcPr>
          <w:p w14:paraId="4B8EC6F4">
            <w:pPr>
              <w:pStyle w:val="50"/>
              <w:jc w:val="center"/>
              <w:rPr>
                <w:rFonts w:eastAsia="仿宋" w:cs="Times New Roman"/>
              </w:rPr>
            </w:pPr>
            <w:r>
              <w:rPr>
                <w:rFonts w:eastAsia="仿宋" w:cs="Times New Roman"/>
              </w:rPr>
              <w:t>环境准入</w:t>
            </w:r>
          </w:p>
        </w:tc>
        <w:tc>
          <w:tcPr>
            <w:tcW w:w="1838" w:type="dxa"/>
            <w:vMerge w:val="restart"/>
            <w:vAlign w:val="center"/>
          </w:tcPr>
          <w:p w14:paraId="49A9A493">
            <w:pPr>
              <w:pStyle w:val="50"/>
              <w:jc w:val="center"/>
              <w:rPr>
                <w:rFonts w:eastAsia="仿宋" w:cs="Times New Roman"/>
              </w:rPr>
            </w:pPr>
            <w:r>
              <w:rPr>
                <w:rFonts w:eastAsia="仿宋" w:cs="Times New Roman"/>
              </w:rPr>
              <w:t>规划环评</w:t>
            </w:r>
          </w:p>
        </w:tc>
        <w:tc>
          <w:tcPr>
            <w:tcW w:w="4537" w:type="dxa"/>
            <w:vMerge w:val="restart"/>
            <w:vAlign w:val="center"/>
          </w:tcPr>
          <w:p w14:paraId="4D96CB80">
            <w:pPr>
              <w:pStyle w:val="50"/>
              <w:jc w:val="left"/>
              <w:rPr>
                <w:rFonts w:eastAsia="仿宋" w:cs="Times New Roman"/>
              </w:rPr>
            </w:pPr>
            <w:r>
              <w:rPr>
                <w:rFonts w:eastAsia="仿宋" w:cs="Times New Roman"/>
              </w:rPr>
              <w:t>产业园区未按要求开展规划环评或环境影响跟踪评价。</w:t>
            </w:r>
          </w:p>
        </w:tc>
        <w:tc>
          <w:tcPr>
            <w:tcW w:w="914" w:type="dxa"/>
            <w:vMerge w:val="restart"/>
            <w:vAlign w:val="center"/>
          </w:tcPr>
          <w:p w14:paraId="7BDCE301">
            <w:pPr>
              <w:pStyle w:val="50"/>
              <w:jc w:val="center"/>
              <w:rPr>
                <w:rFonts w:eastAsia="仿宋" w:cs="Times New Roman"/>
              </w:rPr>
            </w:pPr>
            <w:r>
              <w:rPr>
                <w:rFonts w:eastAsia="仿宋" w:cs="Times New Roman"/>
              </w:rPr>
              <w:t>0</w:t>
            </w:r>
          </w:p>
        </w:tc>
      </w:tr>
      <w:tr w14:paraId="1708BC5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750" w:type="dxa"/>
            <w:vMerge w:val="continue"/>
            <w:noWrap/>
            <w:vAlign w:val="center"/>
          </w:tcPr>
          <w:p w14:paraId="08B5EAD9">
            <w:pPr>
              <w:pStyle w:val="50"/>
              <w:jc w:val="center"/>
              <w:rPr>
                <w:rFonts w:eastAsia="仿宋" w:cs="Times New Roman"/>
              </w:rPr>
            </w:pPr>
          </w:p>
        </w:tc>
        <w:tc>
          <w:tcPr>
            <w:tcW w:w="1111" w:type="dxa"/>
            <w:vMerge w:val="continue"/>
            <w:vAlign w:val="center"/>
          </w:tcPr>
          <w:p w14:paraId="5C15DED0">
            <w:pPr>
              <w:pStyle w:val="50"/>
              <w:jc w:val="center"/>
              <w:rPr>
                <w:rFonts w:eastAsia="仿宋" w:cs="Times New Roman"/>
              </w:rPr>
            </w:pPr>
          </w:p>
        </w:tc>
        <w:tc>
          <w:tcPr>
            <w:tcW w:w="1838" w:type="dxa"/>
            <w:vMerge w:val="continue"/>
            <w:vAlign w:val="center"/>
          </w:tcPr>
          <w:p w14:paraId="0CB45D96">
            <w:pPr>
              <w:pStyle w:val="50"/>
              <w:jc w:val="center"/>
              <w:rPr>
                <w:rFonts w:eastAsia="仿宋" w:cs="Times New Roman"/>
              </w:rPr>
            </w:pPr>
          </w:p>
        </w:tc>
        <w:tc>
          <w:tcPr>
            <w:tcW w:w="4537" w:type="dxa"/>
            <w:vMerge w:val="continue"/>
            <w:vAlign w:val="center"/>
          </w:tcPr>
          <w:p w14:paraId="38B77C35">
            <w:pPr>
              <w:pStyle w:val="50"/>
              <w:jc w:val="left"/>
              <w:rPr>
                <w:rFonts w:eastAsia="仿宋" w:cs="Times New Roman"/>
              </w:rPr>
            </w:pPr>
          </w:p>
        </w:tc>
        <w:tc>
          <w:tcPr>
            <w:tcW w:w="914" w:type="dxa"/>
            <w:vMerge w:val="continue"/>
            <w:vAlign w:val="center"/>
          </w:tcPr>
          <w:p w14:paraId="5AB3BEEA">
            <w:pPr>
              <w:pStyle w:val="50"/>
              <w:jc w:val="center"/>
              <w:rPr>
                <w:rFonts w:eastAsia="仿宋" w:cs="Times New Roman"/>
              </w:rPr>
            </w:pPr>
          </w:p>
        </w:tc>
      </w:tr>
      <w:tr w14:paraId="616C7A2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365D6AA2">
            <w:pPr>
              <w:pStyle w:val="50"/>
              <w:jc w:val="center"/>
              <w:rPr>
                <w:rFonts w:eastAsia="仿宋" w:cs="Times New Roman"/>
              </w:rPr>
            </w:pPr>
            <w:r>
              <w:rPr>
                <w:rFonts w:eastAsia="仿宋" w:cs="Times New Roman"/>
              </w:rPr>
              <w:t>2</w:t>
            </w:r>
          </w:p>
        </w:tc>
        <w:tc>
          <w:tcPr>
            <w:tcW w:w="1111" w:type="dxa"/>
            <w:vMerge w:val="continue"/>
            <w:vAlign w:val="center"/>
          </w:tcPr>
          <w:p w14:paraId="6967B3FD">
            <w:pPr>
              <w:pStyle w:val="50"/>
              <w:jc w:val="center"/>
              <w:rPr>
                <w:rFonts w:eastAsia="仿宋" w:cs="Times New Roman"/>
              </w:rPr>
            </w:pPr>
          </w:p>
        </w:tc>
        <w:tc>
          <w:tcPr>
            <w:tcW w:w="1838" w:type="dxa"/>
            <w:vMerge w:val="continue"/>
            <w:vAlign w:val="center"/>
          </w:tcPr>
          <w:p w14:paraId="02E50056">
            <w:pPr>
              <w:pStyle w:val="50"/>
              <w:jc w:val="center"/>
              <w:rPr>
                <w:rFonts w:eastAsia="仿宋" w:cs="Times New Roman"/>
              </w:rPr>
            </w:pPr>
          </w:p>
        </w:tc>
        <w:tc>
          <w:tcPr>
            <w:tcW w:w="4537" w:type="dxa"/>
            <w:vAlign w:val="center"/>
          </w:tcPr>
          <w:p w14:paraId="72F67137">
            <w:pPr>
              <w:pStyle w:val="50"/>
              <w:jc w:val="left"/>
              <w:rPr>
                <w:rFonts w:eastAsia="仿宋" w:cs="Times New Roman"/>
              </w:rPr>
            </w:pPr>
            <w:r>
              <w:rPr>
                <w:rFonts w:eastAsia="仿宋" w:cs="Times New Roman"/>
              </w:rPr>
              <w:t>产业园区未落实“三线一单”生态环境分区管控等要求。</w:t>
            </w:r>
          </w:p>
        </w:tc>
        <w:tc>
          <w:tcPr>
            <w:tcW w:w="914" w:type="dxa"/>
            <w:vAlign w:val="center"/>
          </w:tcPr>
          <w:p w14:paraId="54BB299A">
            <w:pPr>
              <w:pStyle w:val="50"/>
              <w:jc w:val="center"/>
              <w:rPr>
                <w:rFonts w:eastAsia="仿宋" w:cs="Times New Roman"/>
              </w:rPr>
            </w:pPr>
            <w:r>
              <w:rPr>
                <w:rFonts w:eastAsia="仿宋" w:cs="Times New Roman"/>
              </w:rPr>
              <w:t>0</w:t>
            </w:r>
          </w:p>
        </w:tc>
      </w:tr>
      <w:tr w14:paraId="61AC070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71AA7C79">
            <w:pPr>
              <w:pStyle w:val="50"/>
              <w:jc w:val="center"/>
              <w:rPr>
                <w:rFonts w:eastAsia="仿宋" w:cs="Times New Roman"/>
              </w:rPr>
            </w:pPr>
            <w:r>
              <w:rPr>
                <w:rFonts w:eastAsia="仿宋" w:cs="Times New Roman"/>
              </w:rPr>
              <w:t>3</w:t>
            </w:r>
          </w:p>
        </w:tc>
        <w:tc>
          <w:tcPr>
            <w:tcW w:w="1111" w:type="dxa"/>
            <w:vMerge w:val="continue"/>
            <w:vAlign w:val="center"/>
          </w:tcPr>
          <w:p w14:paraId="322F2FAC">
            <w:pPr>
              <w:pStyle w:val="50"/>
              <w:jc w:val="center"/>
              <w:rPr>
                <w:rFonts w:eastAsia="仿宋" w:cs="Times New Roman"/>
              </w:rPr>
            </w:pPr>
          </w:p>
        </w:tc>
        <w:tc>
          <w:tcPr>
            <w:tcW w:w="1838" w:type="dxa"/>
            <w:vMerge w:val="continue"/>
            <w:vAlign w:val="center"/>
          </w:tcPr>
          <w:p w14:paraId="42A10AF2">
            <w:pPr>
              <w:pStyle w:val="50"/>
              <w:jc w:val="center"/>
              <w:rPr>
                <w:rFonts w:eastAsia="仿宋" w:cs="Times New Roman"/>
              </w:rPr>
            </w:pPr>
          </w:p>
        </w:tc>
        <w:tc>
          <w:tcPr>
            <w:tcW w:w="4537" w:type="dxa"/>
            <w:vAlign w:val="center"/>
          </w:tcPr>
          <w:p w14:paraId="098C2A0C">
            <w:pPr>
              <w:pStyle w:val="50"/>
              <w:jc w:val="left"/>
              <w:rPr>
                <w:rFonts w:eastAsia="仿宋" w:cs="Times New Roman"/>
              </w:rPr>
            </w:pPr>
            <w:r>
              <w:rPr>
                <w:rFonts w:eastAsia="仿宋" w:cs="Times New Roman"/>
              </w:rPr>
              <w:t>化工园区认定后因生态环境保护工作不达标导致复核不合格或被摘牌。</w:t>
            </w:r>
          </w:p>
        </w:tc>
        <w:tc>
          <w:tcPr>
            <w:tcW w:w="914" w:type="dxa"/>
            <w:vAlign w:val="center"/>
          </w:tcPr>
          <w:p w14:paraId="6CB8AC8A">
            <w:pPr>
              <w:pStyle w:val="50"/>
              <w:jc w:val="center"/>
              <w:rPr>
                <w:rFonts w:eastAsia="仿宋" w:cs="Times New Roman"/>
              </w:rPr>
            </w:pPr>
            <w:r>
              <w:rPr>
                <w:rFonts w:eastAsia="仿宋" w:cs="Times New Roman"/>
              </w:rPr>
              <w:t>0</w:t>
            </w:r>
          </w:p>
        </w:tc>
      </w:tr>
      <w:tr w14:paraId="5DE99C7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43E60238">
            <w:pPr>
              <w:pStyle w:val="50"/>
              <w:jc w:val="center"/>
              <w:rPr>
                <w:rFonts w:eastAsia="仿宋" w:cs="Times New Roman"/>
              </w:rPr>
            </w:pPr>
            <w:r>
              <w:rPr>
                <w:rFonts w:eastAsia="仿宋" w:cs="Times New Roman"/>
              </w:rPr>
              <w:t>4</w:t>
            </w:r>
          </w:p>
        </w:tc>
        <w:tc>
          <w:tcPr>
            <w:tcW w:w="1111" w:type="dxa"/>
            <w:vMerge w:val="restart"/>
            <w:vAlign w:val="center"/>
          </w:tcPr>
          <w:p w14:paraId="59D03719">
            <w:pPr>
              <w:pStyle w:val="50"/>
              <w:jc w:val="center"/>
              <w:rPr>
                <w:rFonts w:eastAsia="仿宋" w:cs="Times New Roman"/>
              </w:rPr>
            </w:pPr>
            <w:r>
              <w:rPr>
                <w:rFonts w:eastAsia="仿宋" w:cs="Times New Roman"/>
              </w:rPr>
              <w:t>环境监管</w:t>
            </w:r>
          </w:p>
        </w:tc>
        <w:tc>
          <w:tcPr>
            <w:tcW w:w="1838" w:type="dxa"/>
            <w:vAlign w:val="center"/>
          </w:tcPr>
          <w:p w14:paraId="360EAB1B">
            <w:pPr>
              <w:pStyle w:val="50"/>
              <w:jc w:val="center"/>
              <w:rPr>
                <w:rFonts w:eastAsia="仿宋" w:cs="Times New Roman"/>
              </w:rPr>
            </w:pPr>
            <w:r>
              <w:rPr>
                <w:rFonts w:eastAsia="仿宋" w:cs="Times New Roman"/>
              </w:rPr>
              <w:t>环保手续落实情况</w:t>
            </w:r>
          </w:p>
        </w:tc>
        <w:tc>
          <w:tcPr>
            <w:tcW w:w="4537" w:type="dxa"/>
            <w:vAlign w:val="center"/>
          </w:tcPr>
          <w:p w14:paraId="1C041CFB">
            <w:pPr>
              <w:pStyle w:val="50"/>
              <w:jc w:val="left"/>
              <w:rPr>
                <w:rFonts w:eastAsia="仿宋" w:cs="Times New Roman"/>
              </w:rPr>
            </w:pPr>
            <w:r>
              <w:rPr>
                <w:rFonts w:eastAsia="仿宋" w:cs="Times New Roman"/>
              </w:rPr>
              <w:t>产业园区内存在企事业单位未依法开展环境影响评价或未按要求申领排污许可证和辐射安全许可证。</w:t>
            </w:r>
          </w:p>
        </w:tc>
        <w:tc>
          <w:tcPr>
            <w:tcW w:w="914" w:type="dxa"/>
            <w:vAlign w:val="center"/>
          </w:tcPr>
          <w:p w14:paraId="40B1C10B">
            <w:pPr>
              <w:pStyle w:val="50"/>
              <w:jc w:val="center"/>
              <w:rPr>
                <w:rFonts w:eastAsia="仿宋" w:cs="Times New Roman"/>
              </w:rPr>
            </w:pPr>
            <w:r>
              <w:rPr>
                <w:rFonts w:eastAsia="仿宋" w:cs="Times New Roman"/>
              </w:rPr>
              <w:t>0</w:t>
            </w:r>
          </w:p>
        </w:tc>
      </w:tr>
      <w:tr w14:paraId="1DEB58E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750" w:type="dxa"/>
            <w:vMerge w:val="restart"/>
            <w:noWrap/>
            <w:vAlign w:val="center"/>
          </w:tcPr>
          <w:p w14:paraId="516AF0BC">
            <w:pPr>
              <w:pStyle w:val="50"/>
              <w:jc w:val="center"/>
              <w:rPr>
                <w:rFonts w:eastAsia="仿宋" w:cs="Times New Roman"/>
              </w:rPr>
            </w:pPr>
            <w:r>
              <w:rPr>
                <w:rFonts w:eastAsia="仿宋" w:cs="Times New Roman"/>
              </w:rPr>
              <w:t>5</w:t>
            </w:r>
          </w:p>
        </w:tc>
        <w:tc>
          <w:tcPr>
            <w:tcW w:w="1111" w:type="dxa"/>
            <w:vMerge w:val="continue"/>
            <w:vAlign w:val="center"/>
          </w:tcPr>
          <w:p w14:paraId="7BEACF83">
            <w:pPr>
              <w:pStyle w:val="50"/>
              <w:jc w:val="center"/>
              <w:rPr>
                <w:rFonts w:eastAsia="仿宋" w:cs="Times New Roman"/>
              </w:rPr>
            </w:pPr>
          </w:p>
        </w:tc>
        <w:tc>
          <w:tcPr>
            <w:tcW w:w="1838" w:type="dxa"/>
            <w:vMerge w:val="restart"/>
            <w:vAlign w:val="center"/>
          </w:tcPr>
          <w:p w14:paraId="2C428C5A">
            <w:pPr>
              <w:pStyle w:val="50"/>
              <w:jc w:val="center"/>
              <w:rPr>
                <w:rFonts w:eastAsia="仿宋" w:cs="Times New Roman"/>
              </w:rPr>
            </w:pPr>
            <w:r>
              <w:rPr>
                <w:rFonts w:eastAsia="仿宋" w:cs="Times New Roman"/>
              </w:rPr>
              <w:t>水环境管理</w:t>
            </w:r>
          </w:p>
        </w:tc>
        <w:tc>
          <w:tcPr>
            <w:tcW w:w="4537" w:type="dxa"/>
            <w:vMerge w:val="restart"/>
            <w:vAlign w:val="center"/>
          </w:tcPr>
          <w:p w14:paraId="5E445452">
            <w:pPr>
              <w:pStyle w:val="50"/>
              <w:jc w:val="left"/>
              <w:rPr>
                <w:rFonts w:eastAsia="仿宋" w:cs="Times New Roman"/>
              </w:rPr>
            </w:pPr>
            <w:r>
              <w:rPr>
                <w:rFonts w:eastAsia="仿宋" w:cs="Times New Roman"/>
              </w:rPr>
              <w:t>产业园区未按要求进行废水收集处理或未达标排放的。</w:t>
            </w:r>
          </w:p>
        </w:tc>
        <w:tc>
          <w:tcPr>
            <w:tcW w:w="914" w:type="dxa"/>
            <w:vMerge w:val="restart"/>
            <w:vAlign w:val="center"/>
          </w:tcPr>
          <w:p w14:paraId="1D274C00">
            <w:pPr>
              <w:pStyle w:val="50"/>
              <w:jc w:val="center"/>
              <w:rPr>
                <w:rFonts w:eastAsia="仿宋" w:cs="Times New Roman"/>
              </w:rPr>
            </w:pPr>
            <w:r>
              <w:rPr>
                <w:rFonts w:eastAsia="仿宋" w:cs="Times New Roman"/>
              </w:rPr>
              <w:t>0</w:t>
            </w:r>
          </w:p>
        </w:tc>
      </w:tr>
      <w:tr w14:paraId="0AE7783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750" w:type="dxa"/>
            <w:vMerge w:val="continue"/>
            <w:noWrap/>
            <w:vAlign w:val="center"/>
          </w:tcPr>
          <w:p w14:paraId="729803FB">
            <w:pPr>
              <w:pStyle w:val="50"/>
              <w:jc w:val="center"/>
              <w:rPr>
                <w:rFonts w:eastAsia="仿宋" w:cs="Times New Roman"/>
              </w:rPr>
            </w:pPr>
          </w:p>
        </w:tc>
        <w:tc>
          <w:tcPr>
            <w:tcW w:w="1111" w:type="dxa"/>
            <w:vMerge w:val="continue"/>
            <w:vAlign w:val="center"/>
          </w:tcPr>
          <w:p w14:paraId="3E76E17B">
            <w:pPr>
              <w:pStyle w:val="50"/>
              <w:jc w:val="center"/>
              <w:rPr>
                <w:rFonts w:eastAsia="仿宋" w:cs="Times New Roman"/>
              </w:rPr>
            </w:pPr>
          </w:p>
        </w:tc>
        <w:tc>
          <w:tcPr>
            <w:tcW w:w="1838" w:type="dxa"/>
            <w:vMerge w:val="continue"/>
            <w:vAlign w:val="center"/>
          </w:tcPr>
          <w:p w14:paraId="4E5F34F7">
            <w:pPr>
              <w:pStyle w:val="50"/>
              <w:jc w:val="center"/>
              <w:rPr>
                <w:rFonts w:eastAsia="仿宋" w:cs="Times New Roman"/>
              </w:rPr>
            </w:pPr>
          </w:p>
        </w:tc>
        <w:tc>
          <w:tcPr>
            <w:tcW w:w="4537" w:type="dxa"/>
            <w:vMerge w:val="continue"/>
            <w:vAlign w:val="center"/>
          </w:tcPr>
          <w:p w14:paraId="2E0E6475">
            <w:pPr>
              <w:pStyle w:val="50"/>
              <w:jc w:val="left"/>
              <w:rPr>
                <w:rFonts w:eastAsia="仿宋" w:cs="Times New Roman"/>
              </w:rPr>
            </w:pPr>
          </w:p>
        </w:tc>
        <w:tc>
          <w:tcPr>
            <w:tcW w:w="914" w:type="dxa"/>
            <w:vMerge w:val="continue"/>
            <w:vAlign w:val="center"/>
          </w:tcPr>
          <w:p w14:paraId="2D5FD0ED">
            <w:pPr>
              <w:pStyle w:val="50"/>
              <w:jc w:val="center"/>
              <w:rPr>
                <w:rFonts w:eastAsia="仿宋" w:cs="Times New Roman"/>
              </w:rPr>
            </w:pPr>
          </w:p>
        </w:tc>
      </w:tr>
      <w:tr w14:paraId="64CFF84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4ECE5C06">
            <w:pPr>
              <w:pStyle w:val="50"/>
              <w:jc w:val="center"/>
              <w:rPr>
                <w:rFonts w:eastAsia="仿宋" w:cs="Times New Roman"/>
              </w:rPr>
            </w:pPr>
            <w:r>
              <w:rPr>
                <w:rFonts w:eastAsia="仿宋" w:cs="Times New Roman"/>
              </w:rPr>
              <w:t>6</w:t>
            </w:r>
          </w:p>
        </w:tc>
        <w:tc>
          <w:tcPr>
            <w:tcW w:w="1111" w:type="dxa"/>
            <w:vMerge w:val="continue"/>
            <w:vAlign w:val="center"/>
          </w:tcPr>
          <w:p w14:paraId="721018E2">
            <w:pPr>
              <w:pStyle w:val="50"/>
              <w:jc w:val="center"/>
              <w:rPr>
                <w:rFonts w:eastAsia="仿宋" w:cs="Times New Roman"/>
              </w:rPr>
            </w:pPr>
          </w:p>
        </w:tc>
        <w:tc>
          <w:tcPr>
            <w:tcW w:w="1838" w:type="dxa"/>
            <w:vAlign w:val="center"/>
          </w:tcPr>
          <w:p w14:paraId="50CB4794">
            <w:pPr>
              <w:pStyle w:val="50"/>
              <w:jc w:val="center"/>
              <w:rPr>
                <w:rFonts w:eastAsia="仿宋" w:cs="Times New Roman"/>
              </w:rPr>
            </w:pPr>
            <w:r>
              <w:rPr>
                <w:rFonts w:eastAsia="仿宋" w:cs="Times New Roman"/>
              </w:rPr>
              <w:t>气环境管理</w:t>
            </w:r>
          </w:p>
        </w:tc>
        <w:tc>
          <w:tcPr>
            <w:tcW w:w="4537" w:type="dxa"/>
            <w:vAlign w:val="center"/>
          </w:tcPr>
          <w:p w14:paraId="07D7D856">
            <w:pPr>
              <w:pStyle w:val="50"/>
              <w:jc w:val="left"/>
              <w:rPr>
                <w:rFonts w:eastAsia="仿宋" w:cs="Times New Roman"/>
              </w:rPr>
            </w:pPr>
            <w:r>
              <w:rPr>
                <w:rFonts w:eastAsia="仿宋" w:cs="Times New Roman"/>
              </w:rPr>
              <w:t>产业园区未建立工业炉窑、锅炉清单和涉VOCs重点行业企事业单位管理台账，园区内存在工业炉窑、锅炉或涉VOCs重点行业企事业单位未按规定建设、运行有效收集处理设施并达标排放。</w:t>
            </w:r>
          </w:p>
        </w:tc>
        <w:tc>
          <w:tcPr>
            <w:tcW w:w="914" w:type="dxa"/>
            <w:vAlign w:val="center"/>
          </w:tcPr>
          <w:p w14:paraId="19898C63">
            <w:pPr>
              <w:pStyle w:val="50"/>
              <w:jc w:val="center"/>
              <w:rPr>
                <w:rFonts w:eastAsia="仿宋" w:cs="Times New Roman"/>
              </w:rPr>
            </w:pPr>
            <w:r>
              <w:rPr>
                <w:rFonts w:eastAsia="仿宋" w:cs="Times New Roman"/>
              </w:rPr>
              <w:t>0</w:t>
            </w:r>
          </w:p>
        </w:tc>
      </w:tr>
      <w:tr w14:paraId="7D0177F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6B8671B1">
            <w:pPr>
              <w:pStyle w:val="50"/>
              <w:jc w:val="center"/>
              <w:rPr>
                <w:rFonts w:eastAsia="仿宋" w:cs="Times New Roman"/>
              </w:rPr>
            </w:pPr>
            <w:r>
              <w:rPr>
                <w:rFonts w:eastAsia="仿宋" w:cs="Times New Roman"/>
              </w:rPr>
              <w:t>7</w:t>
            </w:r>
          </w:p>
        </w:tc>
        <w:tc>
          <w:tcPr>
            <w:tcW w:w="1111" w:type="dxa"/>
            <w:vMerge w:val="continue"/>
            <w:vAlign w:val="center"/>
          </w:tcPr>
          <w:p w14:paraId="6ADD3C92">
            <w:pPr>
              <w:pStyle w:val="50"/>
              <w:jc w:val="center"/>
              <w:rPr>
                <w:rFonts w:eastAsia="仿宋" w:cs="Times New Roman"/>
              </w:rPr>
            </w:pPr>
          </w:p>
        </w:tc>
        <w:tc>
          <w:tcPr>
            <w:tcW w:w="1838" w:type="dxa"/>
            <w:vAlign w:val="center"/>
          </w:tcPr>
          <w:p w14:paraId="2F2517E1">
            <w:pPr>
              <w:pStyle w:val="50"/>
              <w:jc w:val="center"/>
              <w:rPr>
                <w:rFonts w:eastAsia="仿宋" w:cs="Times New Roman"/>
              </w:rPr>
            </w:pPr>
            <w:r>
              <w:rPr>
                <w:rFonts w:eastAsia="仿宋" w:cs="Times New Roman"/>
              </w:rPr>
              <w:t>固废管理</w:t>
            </w:r>
          </w:p>
        </w:tc>
        <w:tc>
          <w:tcPr>
            <w:tcW w:w="4537" w:type="dxa"/>
            <w:vAlign w:val="center"/>
          </w:tcPr>
          <w:p w14:paraId="67B378ED">
            <w:pPr>
              <w:pStyle w:val="50"/>
              <w:jc w:val="left"/>
              <w:rPr>
                <w:rFonts w:eastAsia="仿宋" w:cs="Times New Roman"/>
              </w:rPr>
            </w:pPr>
            <w:r>
              <w:rPr>
                <w:rFonts w:eastAsia="仿宋" w:cs="Times New Roman"/>
              </w:rPr>
              <w:t>产业园区内存在涉危险废物环境违法行为或连续2年规范化管理评估不达标企事业单位。</w:t>
            </w:r>
          </w:p>
        </w:tc>
        <w:tc>
          <w:tcPr>
            <w:tcW w:w="914" w:type="dxa"/>
            <w:vAlign w:val="center"/>
          </w:tcPr>
          <w:p w14:paraId="7FB96649">
            <w:pPr>
              <w:pStyle w:val="50"/>
              <w:jc w:val="center"/>
              <w:rPr>
                <w:rFonts w:eastAsia="仿宋" w:cs="Times New Roman"/>
              </w:rPr>
            </w:pPr>
            <w:r>
              <w:rPr>
                <w:rFonts w:eastAsia="仿宋" w:cs="Times New Roman"/>
              </w:rPr>
              <w:t>0</w:t>
            </w:r>
          </w:p>
        </w:tc>
      </w:tr>
      <w:tr w14:paraId="42B01E3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0A991294">
            <w:pPr>
              <w:pStyle w:val="50"/>
              <w:jc w:val="center"/>
              <w:rPr>
                <w:rFonts w:eastAsia="仿宋" w:cs="Times New Roman"/>
              </w:rPr>
            </w:pPr>
            <w:r>
              <w:rPr>
                <w:rFonts w:eastAsia="仿宋" w:cs="Times New Roman"/>
              </w:rPr>
              <w:t>8</w:t>
            </w:r>
          </w:p>
        </w:tc>
        <w:tc>
          <w:tcPr>
            <w:tcW w:w="1111" w:type="dxa"/>
            <w:vMerge w:val="continue"/>
            <w:vAlign w:val="center"/>
          </w:tcPr>
          <w:p w14:paraId="5A2E08D1">
            <w:pPr>
              <w:pStyle w:val="50"/>
              <w:jc w:val="center"/>
              <w:rPr>
                <w:rFonts w:eastAsia="仿宋" w:cs="Times New Roman"/>
              </w:rPr>
            </w:pPr>
          </w:p>
        </w:tc>
        <w:tc>
          <w:tcPr>
            <w:tcW w:w="1838" w:type="dxa"/>
            <w:vAlign w:val="center"/>
          </w:tcPr>
          <w:p w14:paraId="6A0EF57A">
            <w:pPr>
              <w:pStyle w:val="50"/>
              <w:jc w:val="center"/>
              <w:rPr>
                <w:rFonts w:eastAsia="仿宋" w:cs="Times New Roman"/>
              </w:rPr>
            </w:pPr>
            <w:r>
              <w:rPr>
                <w:rFonts w:eastAsia="仿宋" w:cs="Times New Roman"/>
              </w:rPr>
              <w:t>土壤环境管理</w:t>
            </w:r>
          </w:p>
        </w:tc>
        <w:tc>
          <w:tcPr>
            <w:tcW w:w="4537" w:type="dxa"/>
            <w:vAlign w:val="center"/>
          </w:tcPr>
          <w:p w14:paraId="48F6A477">
            <w:pPr>
              <w:pStyle w:val="50"/>
              <w:jc w:val="left"/>
              <w:rPr>
                <w:rFonts w:eastAsia="仿宋" w:cs="Times New Roman"/>
              </w:rPr>
            </w:pPr>
            <w:r>
              <w:rPr>
                <w:rFonts w:eastAsia="仿宋" w:cs="Times New Roman"/>
              </w:rPr>
              <w:t>产业园区内存在土壤污染重点监管单位未按要求开展自行监测和隐患排查。</w:t>
            </w:r>
          </w:p>
        </w:tc>
        <w:tc>
          <w:tcPr>
            <w:tcW w:w="914" w:type="dxa"/>
            <w:vAlign w:val="center"/>
          </w:tcPr>
          <w:p w14:paraId="33A438C2">
            <w:pPr>
              <w:pStyle w:val="50"/>
              <w:jc w:val="center"/>
              <w:rPr>
                <w:rFonts w:eastAsia="仿宋" w:cs="Times New Roman"/>
              </w:rPr>
            </w:pPr>
            <w:r>
              <w:rPr>
                <w:rFonts w:eastAsia="仿宋" w:cs="Times New Roman"/>
              </w:rPr>
              <w:t>0</w:t>
            </w:r>
          </w:p>
        </w:tc>
      </w:tr>
      <w:tr w14:paraId="04D783C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750" w:type="dxa"/>
            <w:vMerge w:val="restart"/>
            <w:noWrap/>
            <w:vAlign w:val="center"/>
          </w:tcPr>
          <w:p w14:paraId="4FBE247C">
            <w:pPr>
              <w:pStyle w:val="50"/>
              <w:jc w:val="center"/>
              <w:rPr>
                <w:rFonts w:eastAsia="仿宋" w:cs="Times New Roman"/>
              </w:rPr>
            </w:pPr>
            <w:r>
              <w:rPr>
                <w:rFonts w:eastAsia="仿宋" w:cs="Times New Roman"/>
              </w:rPr>
              <w:t>9</w:t>
            </w:r>
          </w:p>
        </w:tc>
        <w:tc>
          <w:tcPr>
            <w:tcW w:w="1111" w:type="dxa"/>
            <w:vMerge w:val="continue"/>
            <w:vAlign w:val="center"/>
          </w:tcPr>
          <w:p w14:paraId="3D3455F6">
            <w:pPr>
              <w:pStyle w:val="50"/>
              <w:jc w:val="center"/>
              <w:rPr>
                <w:rFonts w:eastAsia="仿宋" w:cs="Times New Roman"/>
              </w:rPr>
            </w:pPr>
          </w:p>
        </w:tc>
        <w:tc>
          <w:tcPr>
            <w:tcW w:w="1838" w:type="dxa"/>
            <w:vMerge w:val="restart"/>
            <w:vAlign w:val="center"/>
          </w:tcPr>
          <w:p w14:paraId="105FB7B7">
            <w:pPr>
              <w:pStyle w:val="50"/>
              <w:jc w:val="center"/>
              <w:rPr>
                <w:rFonts w:eastAsia="仿宋" w:cs="Times New Roman"/>
              </w:rPr>
            </w:pPr>
            <w:r>
              <w:rPr>
                <w:rFonts w:eastAsia="仿宋" w:cs="Times New Roman"/>
              </w:rPr>
              <w:t>环境监测</w:t>
            </w:r>
          </w:p>
        </w:tc>
        <w:tc>
          <w:tcPr>
            <w:tcW w:w="4537" w:type="dxa"/>
            <w:vMerge w:val="restart"/>
            <w:vAlign w:val="center"/>
          </w:tcPr>
          <w:p w14:paraId="254DC55A">
            <w:pPr>
              <w:pStyle w:val="50"/>
              <w:jc w:val="left"/>
              <w:rPr>
                <w:rFonts w:eastAsia="仿宋" w:cs="Times New Roman"/>
              </w:rPr>
            </w:pPr>
            <w:r>
              <w:rPr>
                <w:rFonts w:eastAsia="仿宋" w:cs="Times New Roman"/>
              </w:rPr>
              <w:t>产业园区未按规定开展自行监测或自行监测数据弄虚作假。</w:t>
            </w:r>
          </w:p>
        </w:tc>
        <w:tc>
          <w:tcPr>
            <w:tcW w:w="914" w:type="dxa"/>
            <w:vMerge w:val="restart"/>
            <w:vAlign w:val="center"/>
          </w:tcPr>
          <w:p w14:paraId="1251C1D7">
            <w:pPr>
              <w:pStyle w:val="50"/>
              <w:jc w:val="center"/>
              <w:rPr>
                <w:rFonts w:eastAsia="仿宋" w:cs="Times New Roman"/>
              </w:rPr>
            </w:pPr>
            <w:r>
              <w:rPr>
                <w:rFonts w:eastAsia="仿宋" w:cs="Times New Roman"/>
              </w:rPr>
              <w:t>0</w:t>
            </w:r>
          </w:p>
        </w:tc>
      </w:tr>
      <w:tr w14:paraId="762772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750" w:type="dxa"/>
            <w:vMerge w:val="continue"/>
            <w:noWrap/>
            <w:vAlign w:val="center"/>
          </w:tcPr>
          <w:p w14:paraId="724C1ADB">
            <w:pPr>
              <w:pStyle w:val="50"/>
              <w:jc w:val="center"/>
              <w:rPr>
                <w:rFonts w:eastAsia="仿宋" w:cs="Times New Roman"/>
              </w:rPr>
            </w:pPr>
          </w:p>
        </w:tc>
        <w:tc>
          <w:tcPr>
            <w:tcW w:w="1111" w:type="dxa"/>
            <w:vMerge w:val="continue"/>
            <w:vAlign w:val="center"/>
          </w:tcPr>
          <w:p w14:paraId="6CA67CF2">
            <w:pPr>
              <w:pStyle w:val="50"/>
              <w:jc w:val="center"/>
              <w:rPr>
                <w:rFonts w:eastAsia="仿宋" w:cs="Times New Roman"/>
              </w:rPr>
            </w:pPr>
          </w:p>
        </w:tc>
        <w:tc>
          <w:tcPr>
            <w:tcW w:w="1838" w:type="dxa"/>
            <w:vMerge w:val="continue"/>
            <w:tcBorders>
              <w:bottom w:val="single" w:color="000000" w:sz="4" w:space="0"/>
            </w:tcBorders>
            <w:vAlign w:val="center"/>
          </w:tcPr>
          <w:p w14:paraId="109BBE3F">
            <w:pPr>
              <w:pStyle w:val="50"/>
              <w:jc w:val="center"/>
              <w:rPr>
                <w:rFonts w:eastAsia="仿宋" w:cs="Times New Roman"/>
              </w:rPr>
            </w:pPr>
          </w:p>
        </w:tc>
        <w:tc>
          <w:tcPr>
            <w:tcW w:w="4537" w:type="dxa"/>
            <w:vMerge w:val="continue"/>
            <w:vAlign w:val="center"/>
          </w:tcPr>
          <w:p w14:paraId="4659A10F">
            <w:pPr>
              <w:pStyle w:val="50"/>
              <w:jc w:val="left"/>
              <w:rPr>
                <w:rFonts w:eastAsia="仿宋" w:cs="Times New Roman"/>
              </w:rPr>
            </w:pPr>
          </w:p>
        </w:tc>
        <w:tc>
          <w:tcPr>
            <w:tcW w:w="914" w:type="dxa"/>
            <w:vMerge w:val="continue"/>
            <w:vAlign w:val="center"/>
          </w:tcPr>
          <w:p w14:paraId="6B5C04A2">
            <w:pPr>
              <w:pStyle w:val="50"/>
              <w:jc w:val="center"/>
              <w:rPr>
                <w:rFonts w:eastAsia="仿宋" w:cs="Times New Roman"/>
              </w:rPr>
            </w:pPr>
          </w:p>
        </w:tc>
      </w:tr>
      <w:tr w14:paraId="653C32D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44" w:hRule="atLeast"/>
          <w:jc w:val="center"/>
        </w:trPr>
        <w:tc>
          <w:tcPr>
            <w:tcW w:w="750" w:type="dxa"/>
            <w:tcBorders>
              <w:bottom w:val="single" w:color="000000" w:sz="4" w:space="0"/>
            </w:tcBorders>
            <w:noWrap/>
            <w:vAlign w:val="center"/>
          </w:tcPr>
          <w:p w14:paraId="484C5A24">
            <w:pPr>
              <w:pStyle w:val="50"/>
              <w:jc w:val="center"/>
              <w:rPr>
                <w:rFonts w:eastAsia="仿宋" w:cs="Times New Roman"/>
              </w:rPr>
            </w:pPr>
            <w:r>
              <w:rPr>
                <w:rFonts w:eastAsia="仿宋" w:cs="Times New Roman"/>
              </w:rPr>
              <w:t>10</w:t>
            </w:r>
          </w:p>
        </w:tc>
        <w:tc>
          <w:tcPr>
            <w:tcW w:w="1111" w:type="dxa"/>
            <w:vMerge w:val="continue"/>
            <w:tcBorders>
              <w:bottom w:val="single" w:color="000000" w:sz="4" w:space="0"/>
            </w:tcBorders>
            <w:vAlign w:val="center"/>
          </w:tcPr>
          <w:p w14:paraId="17932EBD">
            <w:pPr>
              <w:pStyle w:val="50"/>
              <w:jc w:val="center"/>
              <w:rPr>
                <w:rFonts w:eastAsia="仿宋" w:cs="Times New Roman"/>
              </w:rPr>
            </w:pPr>
          </w:p>
        </w:tc>
        <w:tc>
          <w:tcPr>
            <w:tcW w:w="1838" w:type="dxa"/>
            <w:vMerge w:val="restart"/>
            <w:tcBorders>
              <w:top w:val="single" w:color="000000" w:sz="4" w:space="0"/>
              <w:bottom w:val="single" w:color="000000" w:sz="4" w:space="0"/>
            </w:tcBorders>
            <w:vAlign w:val="center"/>
          </w:tcPr>
          <w:p w14:paraId="093891C3">
            <w:pPr>
              <w:pStyle w:val="50"/>
              <w:jc w:val="center"/>
              <w:rPr>
                <w:rFonts w:eastAsia="仿宋" w:cs="Times New Roman"/>
              </w:rPr>
            </w:pPr>
            <w:r>
              <w:rPr>
                <w:rFonts w:eastAsia="仿宋" w:cs="Times New Roman"/>
              </w:rPr>
              <w:t>监管能力</w:t>
            </w:r>
          </w:p>
        </w:tc>
        <w:tc>
          <w:tcPr>
            <w:tcW w:w="4537" w:type="dxa"/>
            <w:tcBorders>
              <w:bottom w:val="single" w:color="000000" w:sz="4" w:space="0"/>
            </w:tcBorders>
            <w:vAlign w:val="center"/>
          </w:tcPr>
          <w:p w14:paraId="58D20DC8">
            <w:pPr>
              <w:pStyle w:val="50"/>
              <w:jc w:val="left"/>
              <w:rPr>
                <w:rFonts w:eastAsia="仿宋" w:cs="Times New Roman"/>
              </w:rPr>
            </w:pPr>
            <w:r>
              <w:rPr>
                <w:rFonts w:eastAsia="仿宋" w:cs="Times New Roman"/>
              </w:rPr>
              <w:t>产业园区未按要求开展环境污染第三方治理。</w:t>
            </w:r>
          </w:p>
        </w:tc>
        <w:tc>
          <w:tcPr>
            <w:tcW w:w="914" w:type="dxa"/>
            <w:tcBorders>
              <w:bottom w:val="single" w:color="000000" w:sz="4" w:space="0"/>
            </w:tcBorders>
            <w:vAlign w:val="center"/>
          </w:tcPr>
          <w:p w14:paraId="02B44473">
            <w:pPr>
              <w:pStyle w:val="50"/>
              <w:jc w:val="center"/>
              <w:rPr>
                <w:rFonts w:eastAsia="仿宋" w:cs="Times New Roman"/>
              </w:rPr>
            </w:pPr>
            <w:r>
              <w:rPr>
                <w:rFonts w:eastAsia="仿宋" w:cs="Times New Roman"/>
              </w:rPr>
              <w:t>0</w:t>
            </w:r>
          </w:p>
        </w:tc>
      </w:tr>
      <w:tr w14:paraId="3D89FFE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39E1C728">
            <w:pPr>
              <w:pStyle w:val="50"/>
              <w:jc w:val="center"/>
              <w:rPr>
                <w:rFonts w:eastAsia="仿宋" w:cs="Times New Roman"/>
              </w:rPr>
            </w:pPr>
            <w:r>
              <w:rPr>
                <w:rFonts w:eastAsia="仿宋" w:cs="Times New Roman"/>
              </w:rPr>
              <w:t>11</w:t>
            </w:r>
          </w:p>
        </w:tc>
        <w:tc>
          <w:tcPr>
            <w:tcW w:w="1111" w:type="dxa"/>
            <w:vMerge w:val="continue"/>
            <w:vAlign w:val="center"/>
          </w:tcPr>
          <w:p w14:paraId="29BD47B6">
            <w:pPr>
              <w:pStyle w:val="50"/>
              <w:jc w:val="center"/>
              <w:rPr>
                <w:rFonts w:eastAsia="仿宋" w:cs="Times New Roman"/>
              </w:rPr>
            </w:pPr>
          </w:p>
        </w:tc>
        <w:tc>
          <w:tcPr>
            <w:tcW w:w="1838" w:type="dxa"/>
            <w:vMerge w:val="continue"/>
            <w:vAlign w:val="center"/>
          </w:tcPr>
          <w:p w14:paraId="34B109B6">
            <w:pPr>
              <w:pStyle w:val="50"/>
              <w:rPr>
                <w:rFonts w:eastAsia="仿宋" w:cs="Times New Roman"/>
              </w:rPr>
            </w:pPr>
          </w:p>
        </w:tc>
        <w:tc>
          <w:tcPr>
            <w:tcW w:w="4537" w:type="dxa"/>
            <w:vAlign w:val="center"/>
          </w:tcPr>
          <w:p w14:paraId="3945AE8B">
            <w:pPr>
              <w:pStyle w:val="50"/>
              <w:jc w:val="left"/>
              <w:rPr>
                <w:rFonts w:eastAsia="仿宋" w:cs="Times New Roman"/>
              </w:rPr>
            </w:pPr>
            <w:r>
              <w:rPr>
                <w:rFonts w:eastAsia="仿宋" w:cs="Times New Roman"/>
              </w:rPr>
              <w:t>产业园区污染物排放超过总量控制要求或由于产业园区原因造成环境质量超标、环境质量恶化的情况。</w:t>
            </w:r>
          </w:p>
        </w:tc>
        <w:tc>
          <w:tcPr>
            <w:tcW w:w="914" w:type="dxa"/>
            <w:vAlign w:val="center"/>
          </w:tcPr>
          <w:p w14:paraId="579086E6">
            <w:pPr>
              <w:pStyle w:val="50"/>
              <w:jc w:val="center"/>
              <w:rPr>
                <w:rFonts w:eastAsia="仿宋" w:cs="Times New Roman"/>
              </w:rPr>
            </w:pPr>
            <w:r>
              <w:rPr>
                <w:rFonts w:eastAsia="仿宋" w:cs="Times New Roman"/>
              </w:rPr>
              <w:t>-</w:t>
            </w:r>
            <w:r>
              <w:rPr>
                <w:rFonts w:hint="eastAsia" w:eastAsia="仿宋" w:cs="Times New Roman"/>
              </w:rPr>
              <w:t>0.5</w:t>
            </w:r>
          </w:p>
        </w:tc>
      </w:tr>
      <w:tr w14:paraId="3CEC397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722C1E8F">
            <w:pPr>
              <w:pStyle w:val="50"/>
              <w:jc w:val="center"/>
              <w:rPr>
                <w:rFonts w:eastAsia="仿宋" w:cs="Times New Roman"/>
              </w:rPr>
            </w:pPr>
            <w:r>
              <w:rPr>
                <w:rFonts w:eastAsia="仿宋" w:cs="Times New Roman"/>
              </w:rPr>
              <w:t>12</w:t>
            </w:r>
          </w:p>
        </w:tc>
        <w:tc>
          <w:tcPr>
            <w:tcW w:w="1111" w:type="dxa"/>
            <w:vMerge w:val="continue"/>
            <w:vAlign w:val="center"/>
          </w:tcPr>
          <w:p w14:paraId="03CB4022">
            <w:pPr>
              <w:pStyle w:val="50"/>
              <w:jc w:val="center"/>
              <w:rPr>
                <w:rFonts w:eastAsia="仿宋" w:cs="Times New Roman"/>
              </w:rPr>
            </w:pPr>
          </w:p>
        </w:tc>
        <w:tc>
          <w:tcPr>
            <w:tcW w:w="1838" w:type="dxa"/>
            <w:vMerge w:val="continue"/>
            <w:vAlign w:val="center"/>
          </w:tcPr>
          <w:p w14:paraId="22F02A6B">
            <w:pPr>
              <w:pStyle w:val="50"/>
              <w:rPr>
                <w:rFonts w:eastAsia="仿宋" w:cs="Times New Roman"/>
              </w:rPr>
            </w:pPr>
          </w:p>
        </w:tc>
        <w:tc>
          <w:tcPr>
            <w:tcW w:w="4537" w:type="dxa"/>
            <w:vAlign w:val="center"/>
          </w:tcPr>
          <w:p w14:paraId="10D65462">
            <w:pPr>
              <w:pStyle w:val="50"/>
              <w:jc w:val="left"/>
              <w:rPr>
                <w:rFonts w:eastAsia="仿宋" w:cs="Times New Roman"/>
              </w:rPr>
            </w:pPr>
            <w:r>
              <w:rPr>
                <w:rFonts w:eastAsia="仿宋" w:cs="Times New Roman"/>
              </w:rPr>
              <w:t>产业园区建成较完善环境监测体系，并按要求将数据与省监管平台联网。</w:t>
            </w:r>
          </w:p>
        </w:tc>
        <w:tc>
          <w:tcPr>
            <w:tcW w:w="914" w:type="dxa"/>
            <w:vAlign w:val="center"/>
          </w:tcPr>
          <w:p w14:paraId="40104F7F">
            <w:pPr>
              <w:pStyle w:val="50"/>
              <w:jc w:val="center"/>
              <w:rPr>
                <w:rFonts w:eastAsia="仿宋" w:cs="Times New Roman"/>
              </w:rPr>
            </w:pPr>
            <w:r>
              <w:rPr>
                <w:rFonts w:hint="eastAsia" w:eastAsia="仿宋" w:cs="Times New Roman"/>
              </w:rPr>
              <w:t>0</w:t>
            </w:r>
          </w:p>
        </w:tc>
      </w:tr>
      <w:tr w14:paraId="231FDA7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1E2F06BD">
            <w:pPr>
              <w:pStyle w:val="50"/>
              <w:jc w:val="center"/>
              <w:rPr>
                <w:rFonts w:eastAsia="仿宋" w:cs="Times New Roman"/>
              </w:rPr>
            </w:pPr>
            <w:r>
              <w:rPr>
                <w:rFonts w:eastAsia="仿宋" w:cs="Times New Roman"/>
              </w:rPr>
              <w:t>13</w:t>
            </w:r>
          </w:p>
        </w:tc>
        <w:tc>
          <w:tcPr>
            <w:tcW w:w="1111" w:type="dxa"/>
            <w:vMerge w:val="continue"/>
            <w:vAlign w:val="center"/>
          </w:tcPr>
          <w:p w14:paraId="0246B4F7">
            <w:pPr>
              <w:pStyle w:val="50"/>
              <w:jc w:val="center"/>
              <w:rPr>
                <w:rFonts w:eastAsia="仿宋" w:cs="Times New Roman"/>
              </w:rPr>
            </w:pPr>
          </w:p>
        </w:tc>
        <w:tc>
          <w:tcPr>
            <w:tcW w:w="1838" w:type="dxa"/>
            <w:vMerge w:val="continue"/>
            <w:tcBorders>
              <w:bottom w:val="single" w:color="auto" w:sz="4" w:space="0"/>
            </w:tcBorders>
            <w:vAlign w:val="center"/>
          </w:tcPr>
          <w:p w14:paraId="3820B467">
            <w:pPr>
              <w:pStyle w:val="50"/>
              <w:rPr>
                <w:rFonts w:eastAsia="仿宋" w:cs="Times New Roman"/>
              </w:rPr>
            </w:pPr>
          </w:p>
        </w:tc>
        <w:tc>
          <w:tcPr>
            <w:tcW w:w="4537" w:type="dxa"/>
            <w:vAlign w:val="center"/>
          </w:tcPr>
          <w:p w14:paraId="75CD2540">
            <w:pPr>
              <w:pStyle w:val="50"/>
              <w:jc w:val="left"/>
              <w:rPr>
                <w:rFonts w:eastAsia="仿宋" w:cs="Times New Roman"/>
              </w:rPr>
            </w:pPr>
            <w:r>
              <w:rPr>
                <w:rFonts w:eastAsia="仿宋" w:cs="Times New Roman"/>
              </w:rPr>
              <w:t>产业园区内存在被评为环保黑名单的企事业单位。</w:t>
            </w:r>
          </w:p>
        </w:tc>
        <w:tc>
          <w:tcPr>
            <w:tcW w:w="914" w:type="dxa"/>
            <w:vAlign w:val="center"/>
          </w:tcPr>
          <w:p w14:paraId="13CC697A">
            <w:pPr>
              <w:pStyle w:val="50"/>
              <w:jc w:val="center"/>
              <w:rPr>
                <w:rFonts w:eastAsia="仿宋" w:cs="Times New Roman"/>
              </w:rPr>
            </w:pPr>
            <w:r>
              <w:rPr>
                <w:rFonts w:hint="eastAsia" w:eastAsia="仿宋" w:cs="Times New Roman"/>
              </w:rPr>
              <w:t>0</w:t>
            </w:r>
          </w:p>
        </w:tc>
      </w:tr>
      <w:tr w14:paraId="7F96588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792" w:hRule="atLeast"/>
          <w:jc w:val="center"/>
        </w:trPr>
        <w:tc>
          <w:tcPr>
            <w:tcW w:w="750" w:type="dxa"/>
            <w:noWrap/>
            <w:vAlign w:val="center"/>
          </w:tcPr>
          <w:p w14:paraId="787AC57A">
            <w:pPr>
              <w:pStyle w:val="50"/>
              <w:jc w:val="center"/>
              <w:rPr>
                <w:rFonts w:eastAsia="仿宋" w:cs="Times New Roman"/>
              </w:rPr>
            </w:pPr>
            <w:r>
              <w:rPr>
                <w:rFonts w:eastAsia="仿宋" w:cs="Times New Roman"/>
              </w:rPr>
              <w:t>14</w:t>
            </w:r>
          </w:p>
        </w:tc>
        <w:tc>
          <w:tcPr>
            <w:tcW w:w="1111" w:type="dxa"/>
            <w:vMerge w:val="restart"/>
            <w:tcBorders>
              <w:top w:val="single" w:color="auto" w:sz="4" w:space="0"/>
            </w:tcBorders>
            <w:vAlign w:val="center"/>
          </w:tcPr>
          <w:p w14:paraId="2209A119">
            <w:pPr>
              <w:pStyle w:val="50"/>
              <w:jc w:val="center"/>
              <w:rPr>
                <w:rFonts w:eastAsia="仿宋" w:cs="Times New Roman"/>
              </w:rPr>
            </w:pPr>
            <w:r>
              <w:rPr>
                <w:rFonts w:eastAsia="仿宋" w:cs="Times New Roman"/>
              </w:rPr>
              <w:t>风险防控</w:t>
            </w:r>
          </w:p>
        </w:tc>
        <w:tc>
          <w:tcPr>
            <w:tcW w:w="1838" w:type="dxa"/>
            <w:vAlign w:val="center"/>
          </w:tcPr>
          <w:p w14:paraId="0E25BDC3">
            <w:pPr>
              <w:pStyle w:val="50"/>
              <w:jc w:val="center"/>
              <w:rPr>
                <w:rFonts w:eastAsia="仿宋" w:cs="Times New Roman"/>
              </w:rPr>
            </w:pPr>
            <w:r>
              <w:rPr>
                <w:rFonts w:eastAsia="仿宋" w:cs="Times New Roman"/>
              </w:rPr>
              <w:t>环境应急保障能力建设</w:t>
            </w:r>
          </w:p>
        </w:tc>
        <w:tc>
          <w:tcPr>
            <w:tcW w:w="4537" w:type="dxa"/>
            <w:vAlign w:val="center"/>
          </w:tcPr>
          <w:p w14:paraId="2362EA49">
            <w:pPr>
              <w:pStyle w:val="50"/>
              <w:jc w:val="left"/>
              <w:rPr>
                <w:rFonts w:eastAsia="仿宋" w:cs="Times New Roman"/>
              </w:rPr>
            </w:pPr>
            <w:r>
              <w:rPr>
                <w:rFonts w:eastAsia="仿宋" w:cs="Times New Roman"/>
              </w:rPr>
              <w:t>产业园区未按要求制定或修编园区突发环境事件应急预案、未定期组织开展应急演练、环境应急设施和救援物资配备不符合规定、环境风险防范措施不到位、未建设应急指挥平台。</w:t>
            </w:r>
          </w:p>
        </w:tc>
        <w:tc>
          <w:tcPr>
            <w:tcW w:w="914" w:type="dxa"/>
            <w:vAlign w:val="center"/>
          </w:tcPr>
          <w:p w14:paraId="422E8F03">
            <w:pPr>
              <w:pStyle w:val="50"/>
              <w:jc w:val="center"/>
              <w:rPr>
                <w:rFonts w:eastAsia="仿宋" w:cs="Times New Roman"/>
              </w:rPr>
            </w:pPr>
            <w:r>
              <w:rPr>
                <w:rFonts w:eastAsia="仿宋" w:cs="Times New Roman"/>
              </w:rPr>
              <w:t>0</w:t>
            </w:r>
          </w:p>
        </w:tc>
      </w:tr>
      <w:tr w14:paraId="424EE32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822" w:hRule="atLeast"/>
          <w:jc w:val="center"/>
        </w:trPr>
        <w:tc>
          <w:tcPr>
            <w:tcW w:w="750" w:type="dxa"/>
            <w:noWrap/>
            <w:vAlign w:val="center"/>
          </w:tcPr>
          <w:p w14:paraId="75B3F65A">
            <w:pPr>
              <w:pStyle w:val="50"/>
              <w:jc w:val="center"/>
              <w:rPr>
                <w:rFonts w:eastAsia="仿宋" w:cs="Times New Roman"/>
              </w:rPr>
            </w:pPr>
            <w:r>
              <w:rPr>
                <w:rFonts w:eastAsia="仿宋" w:cs="Times New Roman"/>
              </w:rPr>
              <w:t>15</w:t>
            </w:r>
          </w:p>
        </w:tc>
        <w:tc>
          <w:tcPr>
            <w:tcW w:w="1111" w:type="dxa"/>
            <w:vMerge w:val="continue"/>
            <w:vAlign w:val="center"/>
          </w:tcPr>
          <w:p w14:paraId="758F85DE">
            <w:pPr>
              <w:pStyle w:val="50"/>
              <w:jc w:val="center"/>
              <w:rPr>
                <w:rFonts w:eastAsia="仿宋" w:cs="Times New Roman"/>
              </w:rPr>
            </w:pPr>
          </w:p>
        </w:tc>
        <w:tc>
          <w:tcPr>
            <w:tcW w:w="1838" w:type="dxa"/>
            <w:vMerge w:val="restart"/>
            <w:vAlign w:val="center"/>
          </w:tcPr>
          <w:p w14:paraId="758C9C4F">
            <w:pPr>
              <w:pStyle w:val="50"/>
              <w:jc w:val="center"/>
              <w:rPr>
                <w:rFonts w:eastAsia="仿宋" w:cs="Times New Roman"/>
              </w:rPr>
            </w:pPr>
            <w:r>
              <w:rPr>
                <w:rFonts w:eastAsia="仿宋" w:cs="Times New Roman"/>
              </w:rPr>
              <w:t>环境风险</w:t>
            </w:r>
          </w:p>
        </w:tc>
        <w:tc>
          <w:tcPr>
            <w:tcW w:w="4537" w:type="dxa"/>
            <w:vAlign w:val="center"/>
          </w:tcPr>
          <w:p w14:paraId="60660956">
            <w:pPr>
              <w:pStyle w:val="50"/>
              <w:jc w:val="left"/>
              <w:rPr>
                <w:rFonts w:eastAsia="仿宋" w:cs="Times New Roman"/>
              </w:rPr>
            </w:pPr>
            <w:r>
              <w:rPr>
                <w:rFonts w:eastAsia="仿宋" w:cs="Times New Roman"/>
              </w:rPr>
              <w:t>产业园区发生一般、较大突发环境事件或生态破坏事件。</w:t>
            </w:r>
          </w:p>
        </w:tc>
        <w:tc>
          <w:tcPr>
            <w:tcW w:w="914" w:type="dxa"/>
            <w:vAlign w:val="center"/>
          </w:tcPr>
          <w:p w14:paraId="47FC67FE">
            <w:pPr>
              <w:pStyle w:val="50"/>
              <w:jc w:val="center"/>
              <w:rPr>
                <w:rFonts w:eastAsia="仿宋" w:cs="Times New Roman"/>
              </w:rPr>
            </w:pPr>
            <w:r>
              <w:rPr>
                <w:rFonts w:eastAsia="仿宋" w:cs="Times New Roman"/>
              </w:rPr>
              <w:t>0</w:t>
            </w:r>
          </w:p>
        </w:tc>
      </w:tr>
      <w:tr w14:paraId="5E484A4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750" w:type="dxa"/>
            <w:vMerge w:val="restart"/>
            <w:noWrap/>
            <w:vAlign w:val="center"/>
          </w:tcPr>
          <w:p w14:paraId="5249C0DC">
            <w:pPr>
              <w:pStyle w:val="50"/>
              <w:jc w:val="center"/>
              <w:rPr>
                <w:rFonts w:eastAsia="仿宋" w:cs="Times New Roman"/>
              </w:rPr>
            </w:pPr>
            <w:r>
              <w:rPr>
                <w:rFonts w:eastAsia="仿宋" w:cs="Times New Roman"/>
              </w:rPr>
              <w:t>16</w:t>
            </w:r>
          </w:p>
        </w:tc>
        <w:tc>
          <w:tcPr>
            <w:tcW w:w="1111" w:type="dxa"/>
            <w:vMerge w:val="continue"/>
            <w:vAlign w:val="center"/>
          </w:tcPr>
          <w:p w14:paraId="0ED5AD07">
            <w:pPr>
              <w:pStyle w:val="50"/>
              <w:jc w:val="center"/>
              <w:rPr>
                <w:rFonts w:eastAsia="仿宋" w:cs="Times New Roman"/>
              </w:rPr>
            </w:pPr>
          </w:p>
        </w:tc>
        <w:tc>
          <w:tcPr>
            <w:tcW w:w="1838" w:type="dxa"/>
            <w:vMerge w:val="continue"/>
            <w:vAlign w:val="center"/>
          </w:tcPr>
          <w:p w14:paraId="740E6EE4">
            <w:pPr>
              <w:pStyle w:val="50"/>
              <w:jc w:val="center"/>
              <w:rPr>
                <w:rFonts w:eastAsia="仿宋" w:cs="Times New Roman"/>
              </w:rPr>
            </w:pPr>
          </w:p>
        </w:tc>
        <w:tc>
          <w:tcPr>
            <w:tcW w:w="4537" w:type="dxa"/>
            <w:vMerge w:val="restart"/>
            <w:vAlign w:val="center"/>
          </w:tcPr>
          <w:p w14:paraId="0F0C48D8">
            <w:pPr>
              <w:pStyle w:val="50"/>
              <w:jc w:val="left"/>
              <w:rPr>
                <w:rFonts w:eastAsia="仿宋" w:cs="Times New Roman"/>
              </w:rPr>
            </w:pPr>
            <w:r>
              <w:rPr>
                <w:rFonts w:eastAsia="仿宋" w:cs="Times New Roman"/>
              </w:rPr>
              <w:t>产业园区存在被中央或省级环保督察、生态环境警示片等反馈问题，或出现被省级及以上主管部门挂牌督办或被省级主管部门约谈、典型案例曝光、区域限批、移交问责等情况。</w:t>
            </w:r>
          </w:p>
        </w:tc>
        <w:tc>
          <w:tcPr>
            <w:tcW w:w="914" w:type="dxa"/>
            <w:vMerge w:val="restart"/>
            <w:vAlign w:val="center"/>
          </w:tcPr>
          <w:p w14:paraId="7013C993">
            <w:pPr>
              <w:pStyle w:val="50"/>
              <w:jc w:val="center"/>
              <w:rPr>
                <w:rFonts w:eastAsia="仿宋" w:cs="Times New Roman"/>
              </w:rPr>
            </w:pPr>
            <w:r>
              <w:rPr>
                <w:rFonts w:eastAsia="仿宋" w:cs="Times New Roman"/>
              </w:rPr>
              <w:t>0</w:t>
            </w:r>
          </w:p>
        </w:tc>
      </w:tr>
      <w:tr w14:paraId="12F3275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559" w:hRule="atLeast"/>
          <w:jc w:val="center"/>
        </w:trPr>
        <w:tc>
          <w:tcPr>
            <w:tcW w:w="750" w:type="dxa"/>
            <w:vMerge w:val="continue"/>
            <w:noWrap/>
            <w:vAlign w:val="center"/>
          </w:tcPr>
          <w:p w14:paraId="788C71AF">
            <w:pPr>
              <w:pStyle w:val="50"/>
              <w:jc w:val="center"/>
              <w:rPr>
                <w:rFonts w:eastAsia="仿宋" w:cs="Times New Roman"/>
              </w:rPr>
            </w:pPr>
          </w:p>
        </w:tc>
        <w:tc>
          <w:tcPr>
            <w:tcW w:w="1111" w:type="dxa"/>
            <w:vMerge w:val="continue"/>
            <w:vAlign w:val="center"/>
          </w:tcPr>
          <w:p w14:paraId="0903DBEC">
            <w:pPr>
              <w:pStyle w:val="50"/>
              <w:jc w:val="center"/>
              <w:rPr>
                <w:rFonts w:eastAsia="仿宋" w:cs="Times New Roman"/>
              </w:rPr>
            </w:pPr>
          </w:p>
        </w:tc>
        <w:tc>
          <w:tcPr>
            <w:tcW w:w="1838" w:type="dxa"/>
            <w:vMerge w:val="continue"/>
            <w:vAlign w:val="center"/>
          </w:tcPr>
          <w:p w14:paraId="1D51BE1A">
            <w:pPr>
              <w:pStyle w:val="50"/>
              <w:jc w:val="center"/>
              <w:rPr>
                <w:rFonts w:eastAsia="仿宋" w:cs="Times New Roman"/>
              </w:rPr>
            </w:pPr>
          </w:p>
        </w:tc>
        <w:tc>
          <w:tcPr>
            <w:tcW w:w="4537" w:type="dxa"/>
            <w:vMerge w:val="continue"/>
            <w:vAlign w:val="center"/>
          </w:tcPr>
          <w:p w14:paraId="6F434559">
            <w:pPr>
              <w:pStyle w:val="50"/>
              <w:jc w:val="left"/>
              <w:rPr>
                <w:rFonts w:eastAsia="仿宋" w:cs="Times New Roman"/>
              </w:rPr>
            </w:pPr>
          </w:p>
        </w:tc>
        <w:tc>
          <w:tcPr>
            <w:tcW w:w="914" w:type="dxa"/>
            <w:vMerge w:val="continue"/>
            <w:vAlign w:val="center"/>
          </w:tcPr>
          <w:p w14:paraId="0A0D3816">
            <w:pPr>
              <w:pStyle w:val="50"/>
              <w:jc w:val="center"/>
              <w:rPr>
                <w:rFonts w:eastAsia="仿宋" w:cs="Times New Roman"/>
              </w:rPr>
            </w:pPr>
          </w:p>
        </w:tc>
      </w:tr>
      <w:tr w14:paraId="7054AE0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54E7EFE1">
            <w:pPr>
              <w:pStyle w:val="50"/>
              <w:jc w:val="center"/>
              <w:rPr>
                <w:rFonts w:eastAsia="仿宋" w:cs="Times New Roman"/>
              </w:rPr>
            </w:pPr>
            <w:r>
              <w:rPr>
                <w:rFonts w:eastAsia="仿宋" w:cs="Times New Roman"/>
              </w:rPr>
              <w:t>17</w:t>
            </w:r>
          </w:p>
        </w:tc>
        <w:tc>
          <w:tcPr>
            <w:tcW w:w="1111" w:type="dxa"/>
            <w:vMerge w:val="continue"/>
            <w:vAlign w:val="center"/>
          </w:tcPr>
          <w:p w14:paraId="0ECDC647">
            <w:pPr>
              <w:pStyle w:val="50"/>
              <w:jc w:val="center"/>
              <w:rPr>
                <w:rFonts w:eastAsia="仿宋" w:cs="Times New Roman"/>
              </w:rPr>
            </w:pPr>
          </w:p>
        </w:tc>
        <w:tc>
          <w:tcPr>
            <w:tcW w:w="1838" w:type="dxa"/>
            <w:vMerge w:val="continue"/>
            <w:vAlign w:val="center"/>
          </w:tcPr>
          <w:p w14:paraId="1E5F765B">
            <w:pPr>
              <w:pStyle w:val="50"/>
              <w:jc w:val="center"/>
              <w:rPr>
                <w:rFonts w:eastAsia="仿宋" w:cs="Times New Roman"/>
              </w:rPr>
            </w:pPr>
          </w:p>
        </w:tc>
        <w:tc>
          <w:tcPr>
            <w:tcW w:w="4537" w:type="dxa"/>
            <w:vAlign w:val="center"/>
          </w:tcPr>
          <w:p w14:paraId="67F7D6DD">
            <w:pPr>
              <w:pStyle w:val="50"/>
              <w:jc w:val="left"/>
              <w:rPr>
                <w:rFonts w:eastAsia="仿宋" w:cs="Times New Roman"/>
              </w:rPr>
            </w:pPr>
            <w:r>
              <w:rPr>
                <w:rFonts w:eastAsia="仿宋" w:cs="Times New Roman"/>
              </w:rPr>
              <w:t>产业园区因发生突出生态环境问题被中央层面约谈、典型案例曝光、区域限批、移交问责等情况或发生重、特大突发环境事件或生态破坏事件。产业园区存在出台“土政策”或以其他方式干扰执法，妨碍生态环境部门依法查处环境违法问题的行为，情节严重或者造成严重后果的。</w:t>
            </w:r>
          </w:p>
        </w:tc>
        <w:tc>
          <w:tcPr>
            <w:tcW w:w="914" w:type="dxa"/>
            <w:vAlign w:val="center"/>
          </w:tcPr>
          <w:p w14:paraId="6AC1999E">
            <w:pPr>
              <w:pStyle w:val="50"/>
              <w:jc w:val="center"/>
              <w:rPr>
                <w:rFonts w:eastAsia="仿宋" w:cs="Times New Roman"/>
              </w:rPr>
            </w:pPr>
            <w:r>
              <w:rPr>
                <w:rFonts w:eastAsia="仿宋" w:cs="Times New Roman"/>
              </w:rPr>
              <w:t>0</w:t>
            </w:r>
          </w:p>
        </w:tc>
      </w:tr>
      <w:tr w14:paraId="6163FA0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76E21551">
            <w:pPr>
              <w:pStyle w:val="50"/>
              <w:jc w:val="center"/>
              <w:rPr>
                <w:rFonts w:eastAsia="仿宋" w:cs="Times New Roman"/>
              </w:rPr>
            </w:pPr>
            <w:r>
              <w:rPr>
                <w:rFonts w:eastAsia="仿宋" w:cs="Times New Roman"/>
              </w:rPr>
              <w:t>18</w:t>
            </w:r>
          </w:p>
        </w:tc>
        <w:tc>
          <w:tcPr>
            <w:tcW w:w="1111" w:type="dxa"/>
            <w:vMerge w:val="restart"/>
            <w:vAlign w:val="center"/>
          </w:tcPr>
          <w:p w14:paraId="2365869F">
            <w:pPr>
              <w:pStyle w:val="50"/>
              <w:jc w:val="center"/>
              <w:rPr>
                <w:rFonts w:eastAsia="仿宋" w:cs="Times New Roman"/>
              </w:rPr>
            </w:pPr>
            <w:r>
              <w:rPr>
                <w:rFonts w:eastAsia="仿宋" w:cs="Times New Roman"/>
              </w:rPr>
              <w:t>绿色发展</w:t>
            </w:r>
          </w:p>
        </w:tc>
        <w:tc>
          <w:tcPr>
            <w:tcW w:w="1838" w:type="dxa"/>
            <w:vAlign w:val="center"/>
          </w:tcPr>
          <w:p w14:paraId="3394DB7A">
            <w:pPr>
              <w:pStyle w:val="50"/>
              <w:jc w:val="center"/>
              <w:rPr>
                <w:rFonts w:eastAsia="仿宋" w:cs="Times New Roman"/>
              </w:rPr>
            </w:pPr>
            <w:r>
              <w:rPr>
                <w:rFonts w:eastAsia="仿宋" w:cs="Times New Roman"/>
              </w:rPr>
              <w:t>污染物减排</w:t>
            </w:r>
          </w:p>
        </w:tc>
        <w:tc>
          <w:tcPr>
            <w:tcW w:w="4537" w:type="dxa"/>
            <w:vAlign w:val="center"/>
          </w:tcPr>
          <w:p w14:paraId="5F6FCF3C">
            <w:pPr>
              <w:pStyle w:val="50"/>
              <w:jc w:val="left"/>
              <w:rPr>
                <w:rFonts w:eastAsia="仿宋" w:cs="Times New Roman"/>
              </w:rPr>
            </w:pPr>
            <w:r>
              <w:rPr>
                <w:rFonts w:eastAsia="仿宋" w:cs="Times New Roman"/>
              </w:rPr>
              <w:t>产业园区主要污染物削减率排名前10%。</w:t>
            </w:r>
          </w:p>
        </w:tc>
        <w:tc>
          <w:tcPr>
            <w:tcW w:w="914" w:type="dxa"/>
            <w:vAlign w:val="center"/>
          </w:tcPr>
          <w:p w14:paraId="1ED86661">
            <w:pPr>
              <w:pStyle w:val="50"/>
              <w:jc w:val="center"/>
              <w:rPr>
                <w:rFonts w:eastAsia="仿宋" w:cs="Times New Roman"/>
              </w:rPr>
            </w:pPr>
            <w:r>
              <w:rPr>
                <w:rFonts w:eastAsia="仿宋" w:cs="Times New Roman"/>
              </w:rPr>
              <w:t>0</w:t>
            </w:r>
          </w:p>
        </w:tc>
      </w:tr>
      <w:tr w14:paraId="103A225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478662FC">
            <w:pPr>
              <w:pStyle w:val="50"/>
              <w:jc w:val="center"/>
              <w:rPr>
                <w:rFonts w:eastAsia="仿宋" w:cs="Times New Roman"/>
              </w:rPr>
            </w:pPr>
            <w:r>
              <w:rPr>
                <w:rFonts w:eastAsia="仿宋" w:cs="Times New Roman"/>
              </w:rPr>
              <w:t>19</w:t>
            </w:r>
          </w:p>
        </w:tc>
        <w:tc>
          <w:tcPr>
            <w:tcW w:w="1111" w:type="dxa"/>
            <w:vMerge w:val="continue"/>
            <w:vAlign w:val="center"/>
          </w:tcPr>
          <w:p w14:paraId="4A93BDE4">
            <w:pPr>
              <w:pStyle w:val="50"/>
              <w:jc w:val="center"/>
              <w:rPr>
                <w:rFonts w:eastAsia="仿宋" w:cs="Times New Roman"/>
              </w:rPr>
            </w:pPr>
          </w:p>
        </w:tc>
        <w:tc>
          <w:tcPr>
            <w:tcW w:w="1838" w:type="dxa"/>
            <w:vAlign w:val="center"/>
          </w:tcPr>
          <w:p w14:paraId="6AE4B5ED">
            <w:pPr>
              <w:pStyle w:val="50"/>
              <w:jc w:val="center"/>
              <w:rPr>
                <w:rFonts w:eastAsia="仿宋" w:cs="Times New Roman"/>
              </w:rPr>
            </w:pPr>
            <w:r>
              <w:rPr>
                <w:rFonts w:eastAsia="仿宋" w:cs="Times New Roman"/>
              </w:rPr>
              <w:t>创新与示范</w:t>
            </w:r>
          </w:p>
        </w:tc>
        <w:tc>
          <w:tcPr>
            <w:tcW w:w="4537" w:type="dxa"/>
            <w:vAlign w:val="center"/>
          </w:tcPr>
          <w:p w14:paraId="5C7DAE1E">
            <w:pPr>
              <w:pStyle w:val="50"/>
              <w:jc w:val="left"/>
              <w:rPr>
                <w:rFonts w:eastAsia="仿宋" w:cs="Times New Roman"/>
              </w:rPr>
            </w:pPr>
            <w:r>
              <w:rPr>
                <w:rFonts w:eastAsia="仿宋" w:cs="Times New Roman"/>
              </w:rPr>
              <w:t>产业园区在生态环境保护和绿色发展领域获得省部级及以上表彰、推荐推广。</w:t>
            </w:r>
          </w:p>
        </w:tc>
        <w:tc>
          <w:tcPr>
            <w:tcW w:w="914" w:type="dxa"/>
            <w:vAlign w:val="center"/>
          </w:tcPr>
          <w:p w14:paraId="22AABE0A">
            <w:pPr>
              <w:pStyle w:val="50"/>
              <w:jc w:val="center"/>
              <w:rPr>
                <w:rFonts w:eastAsia="仿宋" w:cs="Times New Roman"/>
              </w:rPr>
            </w:pPr>
            <w:r>
              <w:rPr>
                <w:rFonts w:eastAsia="仿宋" w:cs="Times New Roman"/>
              </w:rPr>
              <w:t>+0.5</w:t>
            </w:r>
          </w:p>
        </w:tc>
      </w:tr>
      <w:tr w14:paraId="3BDA8A2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58A3B746">
            <w:pPr>
              <w:pStyle w:val="50"/>
              <w:jc w:val="center"/>
              <w:rPr>
                <w:rFonts w:eastAsia="仿宋" w:cs="Times New Roman"/>
              </w:rPr>
            </w:pPr>
            <w:r>
              <w:rPr>
                <w:rFonts w:eastAsia="仿宋" w:cs="Times New Roman"/>
              </w:rPr>
              <w:t>20</w:t>
            </w:r>
          </w:p>
        </w:tc>
        <w:tc>
          <w:tcPr>
            <w:tcW w:w="1111" w:type="dxa"/>
            <w:vAlign w:val="center"/>
          </w:tcPr>
          <w:p w14:paraId="0F84A6F6">
            <w:pPr>
              <w:pStyle w:val="50"/>
              <w:jc w:val="center"/>
              <w:rPr>
                <w:rFonts w:eastAsia="仿宋" w:cs="Times New Roman"/>
              </w:rPr>
            </w:pPr>
            <w:r>
              <w:rPr>
                <w:rFonts w:eastAsia="仿宋" w:cs="Times New Roman"/>
              </w:rPr>
              <w:t>公众参与</w:t>
            </w:r>
          </w:p>
        </w:tc>
        <w:tc>
          <w:tcPr>
            <w:tcW w:w="1838" w:type="dxa"/>
            <w:vAlign w:val="center"/>
          </w:tcPr>
          <w:p w14:paraId="7CCCDE95">
            <w:pPr>
              <w:pStyle w:val="50"/>
              <w:jc w:val="center"/>
              <w:rPr>
                <w:rFonts w:eastAsia="仿宋" w:cs="Times New Roman"/>
              </w:rPr>
            </w:pPr>
            <w:r>
              <w:rPr>
                <w:rFonts w:eastAsia="仿宋" w:cs="Times New Roman"/>
              </w:rPr>
              <w:t>舆情与投诉</w:t>
            </w:r>
          </w:p>
        </w:tc>
        <w:tc>
          <w:tcPr>
            <w:tcW w:w="4537" w:type="dxa"/>
            <w:vAlign w:val="center"/>
          </w:tcPr>
          <w:p w14:paraId="535EAD23">
            <w:pPr>
              <w:pStyle w:val="50"/>
              <w:jc w:val="left"/>
              <w:rPr>
                <w:rFonts w:eastAsia="仿宋" w:cs="Times New Roman"/>
              </w:rPr>
            </w:pPr>
            <w:r>
              <w:rPr>
                <w:rFonts w:eastAsia="仿宋" w:cs="Times New Roman"/>
              </w:rPr>
              <w:t>产业园区因环境问题引发集中或长时间信访、投诉、上访，引发负面舆情。</w:t>
            </w:r>
          </w:p>
        </w:tc>
        <w:tc>
          <w:tcPr>
            <w:tcW w:w="914" w:type="dxa"/>
            <w:vAlign w:val="center"/>
          </w:tcPr>
          <w:p w14:paraId="79285B8B">
            <w:pPr>
              <w:pStyle w:val="50"/>
              <w:jc w:val="center"/>
              <w:rPr>
                <w:rFonts w:eastAsia="仿宋" w:cs="Times New Roman"/>
              </w:rPr>
            </w:pPr>
            <w:r>
              <w:rPr>
                <w:rFonts w:eastAsia="仿宋" w:cs="Times New Roman"/>
              </w:rPr>
              <w:t>0</w:t>
            </w:r>
          </w:p>
        </w:tc>
      </w:tr>
      <w:tr w14:paraId="6BA4D39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506A84F1">
            <w:pPr>
              <w:pStyle w:val="50"/>
              <w:jc w:val="center"/>
              <w:rPr>
                <w:rFonts w:eastAsia="仿宋" w:cs="Times New Roman"/>
              </w:rPr>
            </w:pPr>
            <w:r>
              <w:rPr>
                <w:rFonts w:eastAsia="仿宋" w:cs="Times New Roman"/>
              </w:rPr>
              <w:t>21</w:t>
            </w:r>
          </w:p>
        </w:tc>
        <w:tc>
          <w:tcPr>
            <w:tcW w:w="1111" w:type="dxa"/>
            <w:vMerge w:val="restart"/>
            <w:vAlign w:val="center"/>
          </w:tcPr>
          <w:p w14:paraId="7067F32C">
            <w:pPr>
              <w:pStyle w:val="50"/>
              <w:jc w:val="center"/>
              <w:rPr>
                <w:rFonts w:eastAsia="仿宋" w:cs="Times New Roman"/>
              </w:rPr>
            </w:pPr>
            <w:r>
              <w:rPr>
                <w:rFonts w:eastAsia="仿宋" w:cs="Times New Roman"/>
              </w:rPr>
              <w:t>其他</w:t>
            </w:r>
          </w:p>
        </w:tc>
        <w:tc>
          <w:tcPr>
            <w:tcW w:w="1838" w:type="dxa"/>
            <w:vMerge w:val="restart"/>
            <w:vAlign w:val="center"/>
          </w:tcPr>
          <w:p w14:paraId="60CCBC96">
            <w:pPr>
              <w:pStyle w:val="50"/>
              <w:jc w:val="center"/>
              <w:rPr>
                <w:rFonts w:eastAsia="仿宋" w:cs="Times New Roman"/>
              </w:rPr>
            </w:pPr>
            <w:r>
              <w:rPr>
                <w:rFonts w:eastAsia="仿宋" w:cs="Times New Roman"/>
              </w:rPr>
              <w:t>/</w:t>
            </w:r>
          </w:p>
        </w:tc>
        <w:tc>
          <w:tcPr>
            <w:tcW w:w="4537" w:type="dxa"/>
            <w:vAlign w:val="center"/>
          </w:tcPr>
          <w:p w14:paraId="074C3889">
            <w:pPr>
              <w:pStyle w:val="50"/>
              <w:jc w:val="left"/>
              <w:rPr>
                <w:rFonts w:eastAsia="仿宋" w:cs="Times New Roman"/>
              </w:rPr>
            </w:pPr>
            <w:r>
              <w:rPr>
                <w:rFonts w:eastAsia="仿宋" w:cs="Times New Roman"/>
              </w:rPr>
              <w:t>产业园区未按要求完成省生态环境厅其他年度任务。</w:t>
            </w:r>
          </w:p>
        </w:tc>
        <w:tc>
          <w:tcPr>
            <w:tcW w:w="914" w:type="dxa"/>
            <w:vAlign w:val="center"/>
          </w:tcPr>
          <w:p w14:paraId="2A2D8406">
            <w:pPr>
              <w:pStyle w:val="50"/>
              <w:jc w:val="center"/>
              <w:rPr>
                <w:rFonts w:eastAsia="仿宋" w:cs="Times New Roman"/>
              </w:rPr>
            </w:pPr>
            <w:r>
              <w:rPr>
                <w:rFonts w:hint="eastAsia" w:eastAsia="仿宋" w:cs="Times New Roman"/>
              </w:rPr>
              <w:t>0</w:t>
            </w:r>
          </w:p>
        </w:tc>
      </w:tr>
      <w:tr w14:paraId="038D086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60CF5DE9">
            <w:pPr>
              <w:pStyle w:val="50"/>
              <w:jc w:val="center"/>
              <w:rPr>
                <w:rFonts w:eastAsia="仿宋" w:cs="Times New Roman"/>
              </w:rPr>
            </w:pPr>
            <w:r>
              <w:rPr>
                <w:rFonts w:eastAsia="仿宋" w:cs="Times New Roman"/>
              </w:rPr>
              <w:t>22</w:t>
            </w:r>
          </w:p>
        </w:tc>
        <w:tc>
          <w:tcPr>
            <w:tcW w:w="1111" w:type="dxa"/>
            <w:vMerge w:val="continue"/>
            <w:vAlign w:val="center"/>
          </w:tcPr>
          <w:p w14:paraId="3BFEC5FF">
            <w:pPr>
              <w:pStyle w:val="50"/>
              <w:jc w:val="center"/>
              <w:rPr>
                <w:rFonts w:eastAsia="仿宋" w:cs="Times New Roman"/>
              </w:rPr>
            </w:pPr>
          </w:p>
        </w:tc>
        <w:tc>
          <w:tcPr>
            <w:tcW w:w="1838" w:type="dxa"/>
            <w:vMerge w:val="continue"/>
            <w:vAlign w:val="center"/>
          </w:tcPr>
          <w:p w14:paraId="6E8896FF">
            <w:pPr>
              <w:pStyle w:val="50"/>
              <w:jc w:val="center"/>
              <w:rPr>
                <w:rFonts w:eastAsia="仿宋" w:cs="Times New Roman"/>
              </w:rPr>
            </w:pPr>
          </w:p>
        </w:tc>
        <w:tc>
          <w:tcPr>
            <w:tcW w:w="4537" w:type="dxa"/>
            <w:vAlign w:val="center"/>
          </w:tcPr>
          <w:p w14:paraId="04CC16CD">
            <w:pPr>
              <w:pStyle w:val="50"/>
              <w:jc w:val="left"/>
              <w:rPr>
                <w:rFonts w:eastAsia="仿宋" w:cs="Times New Roman"/>
              </w:rPr>
            </w:pPr>
            <w:r>
              <w:rPr>
                <w:rFonts w:eastAsia="仿宋" w:cs="Times New Roman"/>
              </w:rPr>
              <w:t>产业园区存在出台“土政策”或以其他方</w:t>
            </w:r>
          </w:p>
          <w:p w14:paraId="52C4F97C">
            <w:pPr>
              <w:pStyle w:val="50"/>
              <w:jc w:val="left"/>
              <w:rPr>
                <w:rFonts w:eastAsia="仿宋" w:cs="Times New Roman"/>
              </w:rPr>
            </w:pPr>
            <w:r>
              <w:rPr>
                <w:rFonts w:eastAsia="仿宋" w:cs="Times New Roman"/>
              </w:rPr>
              <w:t>式干扰执法，妨碍生态环境部门依法查处</w:t>
            </w:r>
          </w:p>
          <w:p w14:paraId="4339E772">
            <w:pPr>
              <w:pStyle w:val="50"/>
              <w:jc w:val="left"/>
              <w:rPr>
                <w:rFonts w:eastAsia="仿宋" w:cs="Times New Roman"/>
              </w:rPr>
            </w:pPr>
            <w:r>
              <w:rPr>
                <w:rFonts w:eastAsia="仿宋" w:cs="Times New Roman"/>
              </w:rPr>
              <w:t>环境违法问题的行为。</w:t>
            </w:r>
          </w:p>
        </w:tc>
        <w:tc>
          <w:tcPr>
            <w:tcW w:w="914" w:type="dxa"/>
            <w:vAlign w:val="center"/>
          </w:tcPr>
          <w:p w14:paraId="359FBE78">
            <w:pPr>
              <w:pStyle w:val="50"/>
              <w:jc w:val="center"/>
              <w:rPr>
                <w:rFonts w:eastAsia="仿宋" w:cs="Times New Roman"/>
              </w:rPr>
            </w:pPr>
            <w:r>
              <w:rPr>
                <w:rFonts w:eastAsia="仿宋" w:cs="Times New Roman"/>
              </w:rPr>
              <w:t>0</w:t>
            </w:r>
          </w:p>
        </w:tc>
      </w:tr>
      <w:tr w14:paraId="42E23C6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750" w:type="dxa"/>
            <w:noWrap/>
            <w:vAlign w:val="center"/>
          </w:tcPr>
          <w:p w14:paraId="44D6A3EB">
            <w:pPr>
              <w:pStyle w:val="50"/>
              <w:jc w:val="center"/>
              <w:rPr>
                <w:rFonts w:eastAsia="仿宋" w:cs="Times New Roman"/>
              </w:rPr>
            </w:pPr>
            <w:r>
              <w:rPr>
                <w:rFonts w:eastAsia="仿宋" w:cs="Times New Roman"/>
              </w:rPr>
              <w:t>23</w:t>
            </w:r>
          </w:p>
        </w:tc>
        <w:tc>
          <w:tcPr>
            <w:tcW w:w="1111" w:type="dxa"/>
            <w:vMerge w:val="continue"/>
            <w:vAlign w:val="center"/>
          </w:tcPr>
          <w:p w14:paraId="207349F1">
            <w:pPr>
              <w:pStyle w:val="50"/>
              <w:jc w:val="center"/>
              <w:rPr>
                <w:rFonts w:eastAsia="仿宋" w:cs="Times New Roman"/>
              </w:rPr>
            </w:pPr>
          </w:p>
        </w:tc>
        <w:tc>
          <w:tcPr>
            <w:tcW w:w="1838" w:type="dxa"/>
            <w:vMerge w:val="continue"/>
            <w:vAlign w:val="center"/>
          </w:tcPr>
          <w:p w14:paraId="0FFE7F24">
            <w:pPr>
              <w:pStyle w:val="50"/>
              <w:jc w:val="center"/>
              <w:rPr>
                <w:rFonts w:eastAsia="仿宋" w:cs="Times New Roman"/>
              </w:rPr>
            </w:pPr>
          </w:p>
        </w:tc>
        <w:tc>
          <w:tcPr>
            <w:tcW w:w="4537" w:type="dxa"/>
            <w:vAlign w:val="center"/>
          </w:tcPr>
          <w:p w14:paraId="12D64A07">
            <w:pPr>
              <w:pStyle w:val="50"/>
              <w:jc w:val="left"/>
              <w:rPr>
                <w:rFonts w:eastAsia="仿宋" w:cs="Times New Roman"/>
              </w:rPr>
            </w:pPr>
            <w:r>
              <w:rPr>
                <w:rFonts w:eastAsia="仿宋" w:cs="Times New Roman"/>
              </w:rPr>
              <w:t>产业园区连续两年被评为环保诚信园区。</w:t>
            </w:r>
          </w:p>
        </w:tc>
        <w:tc>
          <w:tcPr>
            <w:tcW w:w="914" w:type="dxa"/>
            <w:vAlign w:val="center"/>
          </w:tcPr>
          <w:p w14:paraId="4BFA78CC">
            <w:pPr>
              <w:pStyle w:val="50"/>
              <w:jc w:val="center"/>
              <w:rPr>
                <w:rFonts w:eastAsia="仿宋" w:cs="Times New Roman"/>
              </w:rPr>
            </w:pPr>
            <w:r>
              <w:rPr>
                <w:rFonts w:eastAsia="仿宋" w:cs="Times New Roman"/>
              </w:rPr>
              <w:t>0</w:t>
            </w:r>
          </w:p>
        </w:tc>
      </w:tr>
      <w:tr w14:paraId="600DD24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9150" w:type="dxa"/>
            <w:gridSpan w:val="5"/>
            <w:noWrap/>
            <w:vAlign w:val="center"/>
          </w:tcPr>
          <w:p w14:paraId="3A075554">
            <w:pPr>
              <w:pStyle w:val="50"/>
              <w:jc w:val="center"/>
              <w:rPr>
                <w:rFonts w:eastAsia="仿宋" w:cs="Times New Roman"/>
              </w:rPr>
            </w:pPr>
            <w:r>
              <w:rPr>
                <w:rFonts w:eastAsia="仿宋" w:cs="Times New Roman"/>
              </w:rPr>
              <w:t>总分：9分    环保合格园区    等级</w:t>
            </w:r>
          </w:p>
        </w:tc>
      </w:tr>
    </w:tbl>
    <w:p w14:paraId="0711D46A"/>
    <w:p w14:paraId="27FE9C52">
      <w:pPr>
        <w:pStyle w:val="3"/>
        <w:ind w:firstLine="640"/>
        <w:rPr>
          <w:rFonts w:ascii="Times New Roman" w:hAnsi="Times New Roman" w:cs="Times New Roman"/>
        </w:rPr>
      </w:pPr>
      <w:bookmarkStart w:id="43" w:name="_Toc17521"/>
      <w:r>
        <w:rPr>
          <w:rFonts w:hint="eastAsia" w:ascii="Times New Roman" w:hAnsi="Times New Roman" w:cs="Times New Roman"/>
        </w:rPr>
        <w:t>三、</w:t>
      </w:r>
      <w:r>
        <w:rPr>
          <w:rFonts w:ascii="Times New Roman" w:hAnsi="Times New Roman" w:cs="Times New Roman"/>
        </w:rPr>
        <w:t>园区环保工作成效、主要措施做法</w:t>
      </w:r>
      <w:bookmarkEnd w:id="43"/>
    </w:p>
    <w:p w14:paraId="518C0983">
      <w:pPr>
        <w:pStyle w:val="21"/>
        <w:snapToGrid w:val="0"/>
        <w:spacing w:after="0" w:line="600" w:lineRule="exact"/>
        <w:ind w:left="0" w:leftChars="0" w:firstLine="640"/>
        <w:rPr>
          <w:rFonts w:ascii="Times New Roman" w:hAnsi="Times New Roman" w:eastAsia="仿宋"/>
          <w:szCs w:val="32"/>
        </w:rPr>
      </w:pPr>
      <w:bookmarkStart w:id="44" w:name="_Toc28668"/>
      <w:r>
        <w:rPr>
          <w:rFonts w:hint="eastAsia" w:ascii="Times New Roman" w:hAnsi="Times New Roman" w:eastAsia="仿宋"/>
          <w:szCs w:val="32"/>
        </w:rPr>
        <w:t>今年以来，在</w:t>
      </w:r>
      <w:r>
        <w:rPr>
          <w:rFonts w:hint="eastAsia" w:ascii="Times New Roman" w:hAnsi="Times New Roman" w:eastAsia="仿宋"/>
          <w:szCs w:val="32"/>
          <w:lang w:val="en-US" w:eastAsia="zh-CN"/>
        </w:rPr>
        <w:t>天易</w:t>
      </w:r>
      <w:r>
        <w:rPr>
          <w:rFonts w:hint="eastAsia" w:ascii="Times New Roman" w:hAnsi="Times New Roman" w:eastAsia="仿宋"/>
          <w:szCs w:val="32"/>
        </w:rPr>
        <w:t>经开区党工委的正确领导下，在市、县生态环境保护部门的具体指导下，天易经开区以污染防治攻坚为抓手，</w:t>
      </w:r>
      <w:r>
        <w:rPr>
          <w:rFonts w:ascii="Times New Roman" w:hAnsi="Times New Roman" w:eastAsia="仿宋"/>
          <w:szCs w:val="32"/>
        </w:rPr>
        <w:t>以</w:t>
      </w:r>
      <w:r>
        <w:rPr>
          <w:rFonts w:hint="eastAsia" w:ascii="Times New Roman" w:hAnsi="Times New Roman" w:eastAsia="仿宋"/>
          <w:szCs w:val="32"/>
        </w:rPr>
        <w:t>落实上级</w:t>
      </w:r>
      <w:r>
        <w:rPr>
          <w:rFonts w:ascii="Times New Roman" w:hAnsi="Times New Roman" w:eastAsia="仿宋"/>
          <w:szCs w:val="32"/>
        </w:rPr>
        <w:t>环保督察</w:t>
      </w:r>
      <w:r>
        <w:rPr>
          <w:rFonts w:hint="eastAsia" w:ascii="Times New Roman" w:hAnsi="Times New Roman" w:eastAsia="仿宋"/>
          <w:szCs w:val="32"/>
        </w:rPr>
        <w:t>问题</w:t>
      </w:r>
      <w:r>
        <w:rPr>
          <w:rFonts w:ascii="Times New Roman" w:hAnsi="Times New Roman" w:eastAsia="仿宋"/>
          <w:szCs w:val="32"/>
        </w:rPr>
        <w:t>整改为契机</w:t>
      </w:r>
      <w:r>
        <w:rPr>
          <w:rFonts w:hint="eastAsia" w:ascii="Times New Roman" w:hAnsi="Times New Roman" w:eastAsia="仿宋"/>
          <w:szCs w:val="32"/>
        </w:rPr>
        <w:t>，</w:t>
      </w:r>
      <w:r>
        <w:rPr>
          <w:rFonts w:ascii="Times New Roman" w:hAnsi="Times New Roman" w:eastAsia="仿宋"/>
          <w:szCs w:val="32"/>
        </w:rPr>
        <w:t>多措并举</w:t>
      </w:r>
      <w:r>
        <w:rPr>
          <w:rFonts w:hint="eastAsia" w:ascii="Times New Roman" w:hAnsi="Times New Roman" w:eastAsia="仿宋"/>
          <w:szCs w:val="32"/>
        </w:rPr>
        <w:t>，</w:t>
      </w:r>
      <w:r>
        <w:rPr>
          <w:rFonts w:ascii="Times New Roman" w:hAnsi="Times New Roman" w:eastAsia="仿宋"/>
          <w:szCs w:val="32"/>
        </w:rPr>
        <w:t>推动</w:t>
      </w:r>
      <w:r>
        <w:rPr>
          <w:rFonts w:hint="eastAsia" w:ascii="Times New Roman" w:hAnsi="Times New Roman" w:eastAsia="仿宋"/>
          <w:szCs w:val="32"/>
        </w:rPr>
        <w:t>园区</w:t>
      </w:r>
      <w:r>
        <w:rPr>
          <w:rFonts w:ascii="Times New Roman" w:hAnsi="Times New Roman" w:eastAsia="仿宋"/>
          <w:szCs w:val="32"/>
        </w:rPr>
        <w:t>生态环境保护工作取得扎实成效</w:t>
      </w:r>
      <w:r>
        <w:rPr>
          <w:rFonts w:hint="eastAsia" w:ascii="Times New Roman" w:hAnsi="Times New Roman" w:eastAsia="仿宋"/>
          <w:szCs w:val="32"/>
        </w:rPr>
        <w:t>。</w:t>
      </w:r>
    </w:p>
    <w:p w14:paraId="0447ED20">
      <w:pPr>
        <w:pStyle w:val="3"/>
        <w:ind w:firstLine="640"/>
        <w:rPr>
          <w:rFonts w:ascii="Times New Roman" w:hAnsi="Times New Roman" w:cs="Times New Roman"/>
        </w:rPr>
      </w:pPr>
      <w:bookmarkStart w:id="45" w:name="_Toc156"/>
      <w:r>
        <w:rPr>
          <w:rFonts w:hint="eastAsia" w:ascii="Times New Roman" w:hAnsi="Times New Roman" w:cs="Times New Roman"/>
        </w:rPr>
        <w:t>1、</w:t>
      </w:r>
      <w:bookmarkEnd w:id="45"/>
      <w:r>
        <w:rPr>
          <w:rFonts w:hint="eastAsia" w:ascii="Times New Roman" w:hAnsi="Times New Roman" w:cs="Times New Roman"/>
        </w:rPr>
        <w:t>落实习近平生态文明思想，推进园区绿色高质量发展</w:t>
      </w:r>
    </w:p>
    <w:p w14:paraId="544A6E31">
      <w:pPr>
        <w:pStyle w:val="21"/>
        <w:snapToGrid w:val="0"/>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（1）环保大格局进一步夯实</w:t>
      </w:r>
    </w:p>
    <w:p w14:paraId="6B62AC52">
      <w:pPr>
        <w:pStyle w:val="21"/>
        <w:snapToGrid w:val="0"/>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推进生环委有效统筹协调区域生态环境保护工作，形成生态环境治理和监管合力,通过“高位推动，务实推进，巡查核查，严厉考核”等一系列强有力的措施，助力辖区内生态环境质量持续改善，进一步提升了人民群众的获得感。将习近平生态文明思想纳入了党工委理论学习中心组内容，多次召开园区生态环境环保工作会议，研究和推动上级有关生态环境保护决策部署的落实。</w:t>
      </w:r>
    </w:p>
    <w:p w14:paraId="2A829A50">
      <w:pPr>
        <w:pStyle w:val="21"/>
        <w:snapToGrid w:val="0"/>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（2）生态发展服务进一步强化</w:t>
      </w:r>
    </w:p>
    <w:p w14:paraId="725F64B9">
      <w:pPr>
        <w:pStyle w:val="21"/>
        <w:snapToGrid w:val="0"/>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强化服务意识，提高服务质量，严把企业准入关。坚持企业入园联合预审及招商引资环保准入制度，坚持生态环境保护优先的原则，对污染大的企业建议一律不予入园。主动深入企业，对企业在生产、治污方面存在的问题提供专业性、针对性的技术指导服务，推进园区经济高质量发展和生态环境高水平保护。</w:t>
      </w:r>
    </w:p>
    <w:p w14:paraId="46BA3CA3">
      <w:pPr>
        <w:pStyle w:val="21"/>
        <w:snapToGrid w:val="0"/>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（3）生态环境管理进一步规范</w:t>
      </w:r>
    </w:p>
    <w:p w14:paraId="24E11407">
      <w:pPr>
        <w:pStyle w:val="21"/>
        <w:snapToGrid w:val="0"/>
        <w:spacing w:after="0" w:line="600" w:lineRule="exact"/>
        <w:ind w:left="0" w:leftChars="0" w:firstLine="640"/>
        <w:rPr>
          <w:rFonts w:ascii="Times New Roman" w:hAnsi="Times New Roman" w:eastAsia="仿宋"/>
          <w:szCs w:val="32"/>
        </w:rPr>
      </w:pPr>
      <w:r>
        <w:rPr>
          <w:rFonts w:ascii="Times New Roman" w:hAnsi="Times New Roman" w:eastAsia="仿宋"/>
          <w:szCs w:val="32"/>
        </w:rPr>
        <w:t>202</w:t>
      </w:r>
      <w:r>
        <w:rPr>
          <w:rFonts w:hint="eastAsia" w:ascii="Times New Roman" w:hAnsi="Times New Roman" w:eastAsia="仿宋"/>
          <w:szCs w:val="32"/>
        </w:rPr>
        <w:t>4</w:t>
      </w:r>
      <w:r>
        <w:rPr>
          <w:rFonts w:ascii="Times New Roman" w:hAnsi="Times New Roman" w:eastAsia="仿宋"/>
          <w:szCs w:val="32"/>
        </w:rPr>
        <w:t>年</w:t>
      </w:r>
      <w:r>
        <w:rPr>
          <w:rFonts w:hint="eastAsia" w:ascii="Times New Roman" w:hAnsi="Times New Roman" w:eastAsia="仿宋"/>
          <w:szCs w:val="32"/>
        </w:rPr>
        <w:t>2</w:t>
      </w:r>
      <w:r>
        <w:rPr>
          <w:rFonts w:ascii="Times New Roman" w:hAnsi="Times New Roman" w:eastAsia="仿宋"/>
          <w:szCs w:val="32"/>
        </w:rPr>
        <w:t>月，完成天易经开区生态环境管理202</w:t>
      </w:r>
      <w:r>
        <w:rPr>
          <w:rFonts w:hint="eastAsia" w:ascii="Times New Roman" w:hAnsi="Times New Roman" w:eastAsia="仿宋"/>
          <w:szCs w:val="32"/>
        </w:rPr>
        <w:t>3</w:t>
      </w:r>
      <w:r>
        <w:rPr>
          <w:rFonts w:ascii="Times New Roman" w:hAnsi="Times New Roman" w:eastAsia="仿宋"/>
          <w:szCs w:val="32"/>
        </w:rPr>
        <w:t>年度自评估报告编写、审查、上报等工作。</w:t>
      </w:r>
    </w:p>
    <w:p w14:paraId="0F8C64A2">
      <w:pPr>
        <w:pStyle w:val="21"/>
        <w:snapToGrid w:val="0"/>
        <w:spacing w:after="0" w:line="600" w:lineRule="exact"/>
        <w:ind w:left="0" w:leftChars="0" w:firstLine="640"/>
        <w:rPr>
          <w:rFonts w:ascii="Times New Roman" w:hAnsi="Times New Roman" w:eastAsia="仿宋"/>
          <w:szCs w:val="32"/>
        </w:rPr>
      </w:pPr>
      <w:r>
        <w:rPr>
          <w:rFonts w:ascii="Times New Roman" w:hAnsi="Times New Roman" w:eastAsia="仿宋"/>
          <w:szCs w:val="32"/>
        </w:rPr>
        <w:t>202</w:t>
      </w:r>
      <w:r>
        <w:rPr>
          <w:rFonts w:hint="eastAsia" w:ascii="Times New Roman" w:hAnsi="Times New Roman" w:eastAsia="仿宋"/>
          <w:szCs w:val="32"/>
        </w:rPr>
        <w:t>4</w:t>
      </w:r>
      <w:r>
        <w:rPr>
          <w:rFonts w:ascii="Times New Roman" w:hAnsi="Times New Roman" w:eastAsia="仿宋"/>
          <w:szCs w:val="32"/>
        </w:rPr>
        <w:t>年</w:t>
      </w:r>
      <w:r>
        <w:rPr>
          <w:rFonts w:hint="eastAsia" w:ascii="Times New Roman" w:hAnsi="Times New Roman" w:eastAsia="仿宋"/>
          <w:szCs w:val="32"/>
        </w:rPr>
        <w:t>3</w:t>
      </w:r>
      <w:r>
        <w:rPr>
          <w:rFonts w:ascii="Times New Roman" w:hAnsi="Times New Roman" w:eastAsia="仿宋"/>
          <w:szCs w:val="32"/>
        </w:rPr>
        <w:t>月</w:t>
      </w:r>
      <w:r>
        <w:rPr>
          <w:rFonts w:hint="eastAsia" w:ascii="Times New Roman" w:hAnsi="Times New Roman" w:eastAsia="仿宋"/>
          <w:szCs w:val="32"/>
        </w:rPr>
        <w:t>，</w:t>
      </w:r>
      <w:r>
        <w:rPr>
          <w:rFonts w:ascii="Times New Roman" w:hAnsi="Times New Roman" w:eastAsia="仿宋"/>
          <w:szCs w:val="32"/>
        </w:rPr>
        <w:t>完成天易经开区202</w:t>
      </w:r>
      <w:r>
        <w:rPr>
          <w:rFonts w:hint="eastAsia" w:ascii="Times New Roman" w:hAnsi="Times New Roman" w:eastAsia="仿宋"/>
          <w:szCs w:val="32"/>
        </w:rPr>
        <w:t>3</w:t>
      </w:r>
      <w:r>
        <w:rPr>
          <w:rFonts w:ascii="Times New Roman" w:hAnsi="Times New Roman" w:eastAsia="仿宋"/>
          <w:szCs w:val="32"/>
        </w:rPr>
        <w:t>年度环保信用评价自查总结报告编制</w:t>
      </w:r>
      <w:r>
        <w:rPr>
          <w:rFonts w:hint="eastAsia" w:ascii="Times New Roman" w:hAnsi="Times New Roman" w:eastAsia="仿宋"/>
          <w:szCs w:val="32"/>
        </w:rPr>
        <w:t>及审查工作</w:t>
      </w:r>
      <w:r>
        <w:rPr>
          <w:rFonts w:ascii="Times New Roman" w:hAnsi="Times New Roman" w:eastAsia="仿宋"/>
          <w:szCs w:val="32"/>
        </w:rPr>
        <w:t>，相关资料信息按时间节点录入湖南省环保信用评价管理系统</w:t>
      </w:r>
      <w:r>
        <w:rPr>
          <w:rFonts w:hint="eastAsia" w:ascii="Times New Roman" w:hAnsi="Times New Roman" w:eastAsia="仿宋"/>
          <w:szCs w:val="32"/>
        </w:rPr>
        <w:t>。</w:t>
      </w:r>
    </w:p>
    <w:p w14:paraId="529F59A6">
      <w:pPr>
        <w:pStyle w:val="21"/>
        <w:snapToGrid w:val="0"/>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2024年11月20日，在湘潭柏屹自主创新园完成2024年辐射暨水突发环境事件综合应急演练活动。</w:t>
      </w:r>
    </w:p>
    <w:p w14:paraId="76213CB9">
      <w:pPr>
        <w:pStyle w:val="21"/>
        <w:snapToGrid w:val="0"/>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（4）宣传氛围日益浓厚</w:t>
      </w:r>
    </w:p>
    <w:p w14:paraId="6EE659CB">
      <w:pPr>
        <w:pStyle w:val="21"/>
        <w:snapToGrid w:val="0"/>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以生态环境保护法律法规宣传为重点，于2024年12月13日，组织召开天易经开区2024年企业生态环境保护管理培训会，进一步增强企业生态环境保护的主体责任意识，提高园区企业环境管理水平。2024年6月5日,举行天易经开区6·5世界环境日“美丽莲乡杯拔河比赛”活动,同时采取设置宣传栏，张贴横幅等多种方式，积极引导企业和园区群众提高生态环境保护意识，全力营造全民参与绿色生态园区建设的良好氛围。</w:t>
      </w:r>
    </w:p>
    <w:p w14:paraId="31C87B33">
      <w:pPr>
        <w:pStyle w:val="3"/>
        <w:ind w:firstLine="640"/>
        <w:rPr>
          <w:rFonts w:ascii="Times New Roman" w:hAnsi="Times New Roman" w:cs="Times New Roman"/>
        </w:rPr>
      </w:pPr>
      <w:r>
        <w:rPr>
          <w:rFonts w:hint="eastAsia" w:ascii="Times New Roman" w:hAnsi="Times New Roman" w:cs="Times New Roman"/>
        </w:rPr>
        <w:t>2、加强生态环境保护，打好污染防治攻坚战</w:t>
      </w:r>
    </w:p>
    <w:p w14:paraId="14141D75">
      <w:pPr>
        <w:pStyle w:val="21"/>
        <w:spacing w:after="0" w:line="360" w:lineRule="auto"/>
        <w:ind w:left="0" w:leftChars="0" w:firstLine="640"/>
        <w:rPr>
          <w:rFonts w:ascii="Times New Roman" w:hAnsi="Times New Roman" w:eastAsia="仿宋"/>
          <w:szCs w:val="32"/>
        </w:rPr>
      </w:pPr>
      <w:r>
        <w:rPr>
          <w:rFonts w:hint="eastAsia" w:ascii="Times New Roman" w:hAnsi="Times New Roman" w:eastAsia="仿宋"/>
          <w:szCs w:val="32"/>
        </w:rPr>
        <w:t>（1）打好蓝天保卫战</w:t>
      </w:r>
    </w:p>
    <w:p w14:paraId="0BAB818C">
      <w:pPr>
        <w:pStyle w:val="21"/>
        <w:spacing w:after="0" w:line="360" w:lineRule="auto"/>
        <w:ind w:left="0" w:leftChars="0" w:firstLine="640"/>
        <w:rPr>
          <w:rFonts w:ascii="Times New Roman" w:hAnsi="Times New Roman" w:eastAsia="仿宋"/>
          <w:szCs w:val="32"/>
        </w:rPr>
      </w:pPr>
      <w:r>
        <w:rPr>
          <w:rFonts w:hint="eastAsia" w:ascii="Times New Roman" w:hAnsi="Times New Roman" w:eastAsia="仿宋"/>
          <w:szCs w:val="32"/>
        </w:rPr>
        <w:t>一是加强园区建筑工地施工扬尘治理及管控，下发《关于进一步落实建筑工地施工扬尘治理“8个百分之百”相关保障措施的通知》至区各建设单位，定期开展工地巡查，对发现的问题，及时交办并督促各项目施工单位进行整改。</w:t>
      </w:r>
    </w:p>
    <w:p w14:paraId="2DBF116E">
      <w:pPr>
        <w:pStyle w:val="21"/>
        <w:spacing w:after="0" w:line="360" w:lineRule="auto"/>
        <w:ind w:left="0" w:leftChars="0" w:firstLine="640"/>
        <w:rPr>
          <w:rFonts w:ascii="Times New Roman" w:hAnsi="Times New Roman" w:eastAsia="仿宋"/>
          <w:szCs w:val="32"/>
        </w:rPr>
      </w:pPr>
      <w:r>
        <w:rPr>
          <w:rFonts w:hint="eastAsia" w:ascii="Times New Roman" w:hAnsi="Times New Roman" w:eastAsia="仿宋"/>
          <w:szCs w:val="32"/>
        </w:rPr>
        <w:t>二是坚持高标准、严要求抓好县城大气精细化管控交办问题整改工作。2024年，共计接到县城区大气精细化管控交办任务22件，均在规定时间内进行整改并上报整改完成情况。</w:t>
      </w:r>
    </w:p>
    <w:p w14:paraId="5687A744">
      <w:pPr>
        <w:pStyle w:val="21"/>
        <w:spacing w:after="0" w:line="360" w:lineRule="auto"/>
        <w:ind w:left="0" w:leftChars="0" w:firstLine="640"/>
        <w:rPr>
          <w:rFonts w:ascii="Times New Roman" w:hAnsi="Times New Roman" w:eastAsia="仿宋"/>
          <w:szCs w:val="32"/>
        </w:rPr>
      </w:pPr>
      <w:r>
        <w:rPr>
          <w:rFonts w:hint="eastAsia" w:ascii="Times New Roman" w:hAnsi="Times New Roman" w:eastAsia="仿宋"/>
          <w:szCs w:val="32"/>
        </w:rPr>
        <w:t>（2）稳步开展碧水保卫战</w:t>
      </w:r>
    </w:p>
    <w:p w14:paraId="457B3351">
      <w:pPr>
        <w:pStyle w:val="21"/>
        <w:spacing w:after="0" w:line="360" w:lineRule="auto"/>
        <w:ind w:left="0" w:leftChars="0" w:firstLine="640"/>
        <w:rPr>
          <w:rFonts w:ascii="Times New Roman" w:hAnsi="Times New Roman" w:eastAsia="仿宋"/>
          <w:szCs w:val="32"/>
        </w:rPr>
      </w:pPr>
      <w:r>
        <w:rPr>
          <w:rFonts w:hint="eastAsia" w:ascii="Times New Roman" w:hAnsi="Times New Roman" w:eastAsia="仿宋"/>
          <w:szCs w:val="32"/>
        </w:rPr>
        <w:t>推进园区水环境综合整治工作。开展园区水环境问题排查工作。委托测绘单位对园区管网进行全面排查，对发现的问题，制定方案进行综合整治。目前，园区内市政管网已移交县城管局维护管理。</w:t>
      </w:r>
    </w:p>
    <w:p w14:paraId="77477A0E">
      <w:pPr>
        <w:pStyle w:val="21"/>
        <w:spacing w:after="0" w:line="360" w:lineRule="auto"/>
        <w:ind w:left="0" w:leftChars="0" w:firstLine="640"/>
        <w:rPr>
          <w:rFonts w:ascii="Times New Roman" w:hAnsi="Times New Roman" w:eastAsia="仿宋"/>
          <w:szCs w:val="32"/>
        </w:rPr>
      </w:pPr>
      <w:r>
        <w:rPr>
          <w:rFonts w:hint="eastAsia" w:ascii="Times New Roman" w:hAnsi="Times New Roman" w:eastAsia="仿宋"/>
          <w:szCs w:val="32"/>
        </w:rPr>
        <w:t>(3)深入打好净土保卫战</w:t>
      </w:r>
    </w:p>
    <w:p w14:paraId="6898B337">
      <w:pPr>
        <w:pStyle w:val="21"/>
        <w:spacing w:after="0" w:line="360" w:lineRule="auto"/>
        <w:ind w:left="0" w:leftChars="0" w:firstLine="640"/>
        <w:rPr>
          <w:rFonts w:ascii="Times New Roman" w:hAnsi="Times New Roman" w:eastAsia="仿宋"/>
          <w:szCs w:val="32"/>
        </w:rPr>
      </w:pPr>
      <w:r>
        <w:rPr>
          <w:rFonts w:hint="eastAsia" w:ascii="Times New Roman" w:hAnsi="Times New Roman" w:eastAsia="仿宋"/>
          <w:szCs w:val="32"/>
        </w:rPr>
        <w:t>完成湘潭县易俗河镇红燕山片区(一期)地块涉铊、涉镉污染调查与风险评估，并在省生态环境厅土壤生态环境处备案。</w:t>
      </w:r>
    </w:p>
    <w:p w14:paraId="0DF6B232">
      <w:pPr>
        <w:pStyle w:val="3"/>
        <w:ind w:firstLine="640"/>
        <w:rPr>
          <w:rFonts w:ascii="仿宋" w:hAnsi="仿宋" w:eastAsia="仿宋" w:cs="Times New Roman"/>
          <w:kern w:val="0"/>
          <w:szCs w:val="32"/>
        </w:rPr>
      </w:pPr>
      <w:r>
        <w:rPr>
          <w:rFonts w:hint="eastAsia" w:ascii="Times New Roman" w:hAnsi="Times New Roman" w:cs="Times New Roman"/>
        </w:rPr>
        <w:t>3、</w:t>
      </w:r>
      <w:bookmarkStart w:id="46" w:name="OLE_LINK1"/>
      <w:r>
        <w:rPr>
          <w:rFonts w:hint="eastAsia" w:ascii="Times New Roman" w:hAnsi="Times New Roman" w:cs="Times New Roman"/>
        </w:rPr>
        <w:t>扎实推进生态环境突出问题整改工作</w:t>
      </w:r>
      <w:bookmarkEnd w:id="46"/>
    </w:p>
    <w:p w14:paraId="0180DD50">
      <w:pPr>
        <w:pStyle w:val="21"/>
        <w:spacing w:after="0" w:line="360" w:lineRule="auto"/>
        <w:ind w:left="0" w:leftChars="0" w:firstLine="640"/>
        <w:rPr>
          <w:rFonts w:ascii="Times New Roman" w:hAnsi="Times New Roman" w:eastAsia="仿宋"/>
          <w:szCs w:val="32"/>
        </w:rPr>
      </w:pPr>
      <w:r>
        <w:rPr>
          <w:rFonts w:hint="eastAsia" w:ascii="Times New Roman" w:hAnsi="Times New Roman" w:eastAsia="仿宋"/>
          <w:szCs w:val="32"/>
        </w:rPr>
        <w:t>坚持问题导向，扎实推进上级各类交办突出生态环境问题整改。对能够立行立改的问题，立即整改到位,对涉及面广、比较复杂、需要一定时间整改的问题，强化措施，明确时间节点，强力推进。完成中央生态环境保护督察组转办任务办理工作。2024年，接到转来中央生态环境保护督察信访件办理任务7件，已全部按时限要求进行核查处理并上报回复材料。</w:t>
      </w:r>
      <w:bookmarkEnd w:id="44"/>
    </w:p>
    <w:p w14:paraId="24A8D20B">
      <w:pPr>
        <w:pStyle w:val="3"/>
        <w:ind w:firstLine="640"/>
        <w:rPr>
          <w:rFonts w:ascii="Times New Roman" w:hAnsi="Times New Roman" w:cs="Times New Roman"/>
        </w:rPr>
      </w:pPr>
      <w:bookmarkStart w:id="47" w:name="_Toc30887"/>
      <w:r>
        <w:rPr>
          <w:rFonts w:hint="eastAsia" w:ascii="Times New Roman" w:hAnsi="Times New Roman" w:cs="Times New Roman"/>
        </w:rPr>
        <w:t>4</w:t>
      </w:r>
      <w:r>
        <w:rPr>
          <w:rFonts w:ascii="Times New Roman" w:hAnsi="Times New Roman" w:cs="Times New Roman"/>
        </w:rPr>
        <w:t>、下一步工作计划</w:t>
      </w:r>
      <w:bookmarkEnd w:id="47"/>
    </w:p>
    <w:p w14:paraId="597036D9">
      <w:pPr>
        <w:pStyle w:val="21"/>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（1）开展建设工地施工扬尘防治专项行动，着力改善园区大气环境质量。按照“分级负责、及时响应、协同配合、动态管控”的原则，督促项目各方责任主体落实工地施工扬尘管控及治理工作。</w:t>
      </w:r>
    </w:p>
    <w:p w14:paraId="579C6A48">
      <w:pPr>
        <w:pStyle w:val="21"/>
        <w:spacing w:after="0" w:line="600" w:lineRule="exact"/>
        <w:ind w:left="0" w:leftChars="0" w:firstLine="640"/>
        <w:rPr>
          <w:rFonts w:ascii="Times New Roman" w:hAnsi="Times New Roman" w:eastAsia="仿宋"/>
          <w:szCs w:val="32"/>
        </w:rPr>
      </w:pPr>
      <w:r>
        <w:rPr>
          <w:rFonts w:hint="eastAsia" w:ascii="Times New Roman" w:hAnsi="Times New Roman" w:eastAsia="仿宋"/>
          <w:szCs w:val="32"/>
        </w:rPr>
        <w:t>（2）狠抓突出生态环境问题整改。坚持问题导向，确保方向不变、力度不减、标准不降，全力推进突出环境问题整改。针对整改中存在的难点问题和薄弱环节，强化措施、集中力量、攻坚克难，坚决做到整改不到位不放过、群众不满意不放过，确保所有问题整改取得成效。</w:t>
      </w:r>
    </w:p>
    <w:p w14:paraId="06928EB9">
      <w:pPr>
        <w:pStyle w:val="21"/>
        <w:spacing w:after="0" w:line="600" w:lineRule="exact"/>
        <w:ind w:left="0" w:leftChars="0" w:firstLine="0" w:firstLineChars="0"/>
        <w:rPr>
          <w:rFonts w:ascii="Times New Roman" w:hAnsi="Times New Roman" w:eastAsia="仿宋"/>
          <w:szCs w:val="32"/>
        </w:rPr>
      </w:pPr>
    </w:p>
    <w:p w14:paraId="39AAB9BB">
      <w:pPr>
        <w:rPr>
          <w:rFonts w:ascii="Times New Roman" w:hAnsi="Times New Roman" w:eastAsia="仿宋" w:cs="Times New Roman"/>
          <w:highlight w:val="yellow"/>
        </w:rPr>
      </w:pPr>
    </w:p>
    <w:bookmarkEnd w:id="42"/>
    <w:p w14:paraId="2B205B09">
      <w:pPr>
        <w:pStyle w:val="21"/>
        <w:spacing w:after="0" w:line="600" w:lineRule="exact"/>
        <w:ind w:left="0" w:leftChars="0" w:firstLine="640"/>
        <w:jc w:val="right"/>
        <w:rPr>
          <w:rFonts w:ascii="Times New Roman" w:hAnsi="Times New Roman" w:eastAsia="仿宋"/>
          <w:szCs w:val="32"/>
        </w:rPr>
      </w:pPr>
    </w:p>
    <w:p w14:paraId="5C9D135A">
      <w:pPr>
        <w:pStyle w:val="21"/>
        <w:spacing w:after="0" w:line="600" w:lineRule="exact"/>
        <w:ind w:left="0" w:leftChars="0" w:firstLine="640"/>
        <w:jc w:val="right"/>
        <w:rPr>
          <w:rFonts w:ascii="Times New Roman" w:hAnsi="Times New Roman" w:eastAsia="仿宋"/>
          <w:szCs w:val="32"/>
        </w:rPr>
      </w:pPr>
    </w:p>
    <w:p w14:paraId="04D805CA">
      <w:pPr>
        <w:pStyle w:val="21"/>
        <w:spacing w:after="0" w:line="600" w:lineRule="exact"/>
        <w:ind w:left="0" w:leftChars="0" w:firstLine="640"/>
        <w:jc w:val="right"/>
        <w:rPr>
          <w:rFonts w:ascii="Times New Roman" w:hAnsi="Times New Roman" w:eastAsia="仿宋"/>
          <w:szCs w:val="32"/>
        </w:rPr>
      </w:pPr>
    </w:p>
    <w:p w14:paraId="51D74CD7">
      <w:pPr>
        <w:pStyle w:val="21"/>
        <w:spacing w:after="0" w:line="600" w:lineRule="exact"/>
        <w:ind w:left="0" w:leftChars="0" w:firstLine="0" w:firstLineChars="0"/>
        <w:jc w:val="both"/>
        <w:rPr>
          <w:rFonts w:ascii="Times New Roman" w:hAnsi="Times New Roman" w:eastAsia="仿宋"/>
          <w:szCs w:val="32"/>
        </w:rPr>
      </w:pPr>
    </w:p>
    <w:p w14:paraId="6DBED84B">
      <w:pPr>
        <w:pStyle w:val="21"/>
        <w:spacing w:after="0" w:line="600" w:lineRule="exact"/>
        <w:ind w:left="0" w:leftChars="0" w:firstLine="640"/>
        <w:jc w:val="right"/>
        <w:rPr>
          <w:rFonts w:ascii="Times New Roman" w:hAnsi="Times New Roman" w:eastAsia="仿宋"/>
          <w:szCs w:val="32"/>
        </w:rPr>
      </w:pPr>
      <w:r>
        <w:rPr>
          <w:rFonts w:ascii="Times New Roman" w:hAnsi="Times New Roman" w:eastAsia="仿宋"/>
          <w:szCs w:val="32"/>
        </w:rPr>
        <w:t>湘潭天易经济开发区管理委员会</w:t>
      </w:r>
    </w:p>
    <w:p w14:paraId="6FA28AB1">
      <w:pPr>
        <w:pStyle w:val="21"/>
        <w:wordWrap w:val="0"/>
        <w:spacing w:after="0" w:line="600" w:lineRule="exact"/>
        <w:ind w:left="0" w:leftChars="0" w:firstLine="640"/>
        <w:jc w:val="right"/>
        <w:rPr>
          <w:rFonts w:ascii="Times New Roman" w:hAnsi="Times New Roman" w:eastAsia="仿宋_GB2312"/>
          <w:szCs w:val="32"/>
        </w:rPr>
      </w:pPr>
      <w:r>
        <w:rPr>
          <w:rFonts w:ascii="Times New Roman" w:hAnsi="Times New Roman" w:eastAsia="仿宋"/>
          <w:szCs w:val="32"/>
        </w:rPr>
        <w:t xml:space="preserve"> 202</w:t>
      </w:r>
      <w:r>
        <w:rPr>
          <w:rFonts w:hint="eastAsia" w:ascii="Times New Roman" w:hAnsi="Times New Roman" w:eastAsia="仿宋"/>
          <w:szCs w:val="32"/>
        </w:rPr>
        <w:t>5</w:t>
      </w:r>
      <w:r>
        <w:rPr>
          <w:rFonts w:ascii="Times New Roman" w:hAnsi="Times New Roman" w:eastAsia="仿宋"/>
          <w:szCs w:val="32"/>
        </w:rPr>
        <w:t>年0</w:t>
      </w:r>
      <w:r>
        <w:rPr>
          <w:rFonts w:hint="eastAsia" w:ascii="Times New Roman" w:hAnsi="Times New Roman" w:eastAsia="仿宋"/>
          <w:szCs w:val="32"/>
        </w:rPr>
        <w:t>2</w:t>
      </w:r>
      <w:r>
        <w:rPr>
          <w:rFonts w:ascii="Times New Roman" w:hAnsi="Times New Roman" w:eastAsia="仿宋"/>
          <w:szCs w:val="32"/>
        </w:rPr>
        <w:t>月2</w:t>
      </w:r>
      <w:r>
        <w:rPr>
          <w:rFonts w:hint="eastAsia" w:ascii="Times New Roman" w:hAnsi="Times New Roman" w:eastAsia="仿宋"/>
          <w:szCs w:val="32"/>
        </w:rPr>
        <w:t>8</w:t>
      </w:r>
      <w:r>
        <w:rPr>
          <w:rFonts w:ascii="Times New Roman" w:hAnsi="Times New Roman" w:eastAsia="仿宋"/>
          <w:szCs w:val="32"/>
        </w:rPr>
        <w:t xml:space="preserve">日   </w:t>
      </w:r>
    </w:p>
    <w:sectPr>
      <w:footerReference r:id="rId5"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82A2337-273E-4B65-831E-BD5AC6CAFD6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embedRegular r:id="rId2" w:fontKey="{60E30297-BA56-45B2-98BD-46BB94DF4BB4}"/>
  </w:font>
  <w:font w:name="仿宋">
    <w:panose1 w:val="02010609060101010101"/>
    <w:charset w:val="86"/>
    <w:family w:val="modern"/>
    <w:pitch w:val="default"/>
    <w:sig w:usb0="800002BF" w:usb1="38CF7CFA" w:usb2="00000016" w:usb3="00000000" w:csb0="00040001" w:csb1="00000000"/>
    <w:embedRegular r:id="rId3" w:fontKey="{CD4FC2F3-EE42-4D20-8A8E-E0118EBD78A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5AEB4">
    <w:pPr>
      <w:pStyle w:val="13"/>
      <w:jc w:val="center"/>
      <w:rPr>
        <w:rFonts w:ascii="Times New Roman" w:hAnsi="Times New Roman" w:cs="Times New Roman"/>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A46BC">
    <w:pPr>
      <w:pStyle w:val="13"/>
      <w:jc w:val="center"/>
      <w:rPr>
        <w:rFonts w:ascii="Times New Roman" w:hAnsi="Times New Roman" w:cs="Times New Roman"/>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AAF13">
    <w:pPr>
      <w:pStyle w:val="13"/>
      <w:jc w:val="both"/>
      <w:rPr>
        <w:rFonts w:ascii="Times New Roman" w:hAnsi="Times New Roman" w:cs="Times New Roman"/>
        <w:sz w:val="24"/>
        <w:szCs w:val="24"/>
      </w:rPr>
    </w:pPr>
    <w:r>
      <w:rPr>
        <w:sz w:val="24"/>
      </w:rPr>
      <w:pict>
        <v:shape id="_x0000_s1028" o:spid="_x0000_s1028" o:spt="202" type="#_x0000_t202" style="position:absolute;left:0pt;margin-top:0pt;height:12.2pt;width:9.5pt;mso-position-horizontal:center;mso-position-horizontal-relative:margin;mso-wrap-style:none;z-index:251660288;mso-width-relative:page;mso-height-relative:page;" filled="f" stroked="f" coordsize="21600,21600">
          <v:path/>
          <v:fill on="f" focussize="0,0"/>
          <v:stroke on="f" weight="0.5pt"/>
          <v:imagedata o:title=""/>
          <o:lock v:ext="edit" aspectratio="f"/>
          <v:textbox inset="0mm,0mm,0mm,0mm" style="mso-fit-shape-to-text:t;">
            <w:txbxContent>
              <w:p w14:paraId="65E8953E">
                <w:pPr>
                  <w:pStyle w:val="13"/>
                </w:pPr>
                <w:r>
                  <w:fldChar w:fldCharType="begin"/>
                </w:r>
                <w:r>
                  <w:instrText xml:space="preserve"> PAGE  \* MERGEFORMAT </w:instrText>
                </w:r>
                <w:r>
                  <w:fldChar w:fldCharType="separate"/>
                </w:r>
                <w:r>
                  <w:t>24</w:t>
                </w:r>
                <w:r>
                  <w:fldChar w:fldCharType="end"/>
                </w:r>
              </w:p>
            </w:txbxContent>
          </v:textbox>
        </v:shape>
      </w:pict>
    </w:r>
    <w:r>
      <w:rPr>
        <w:sz w:val="24"/>
      </w:rPr>
      <w:pict>
        <v:shape id="文本框 2" o:spid="_x0000_s1027" o:spt="202" type="#_x0000_t202" style="position:absolute;left:0pt;margin-left:199.85pt;margin-top:-0.7pt;height:12.2pt;width:9.05pt;mso-position-horizontal-relative:margin;mso-wrap-style:none;z-index:251659264;mso-width-relative:page;mso-height-relative:page;" filled="f" stroked="f" coordsize="21600,21600" o:gfxdata="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bcI39cAAAAJAQAADwAAAAAAAAABACAAAAAiAAAAZHJzL2Rvd25yZXYueG1sUEsB&#10;AhQAFAAAAAgAh07iQFfFvyMvAgAAVAQAAA4AAAAAAAAAAQAgAAAAJgEAAGRycy9lMm9Eb2MueG1s&#10;UEsFBgAAAAAGAAYAWQEAAMcFAAAAAA==&#10;">
          <v:path/>
          <v:fill on="f" focussize="0,0"/>
          <v:stroke on="f" weight="0.5pt" joinstyle="miter"/>
          <v:imagedata o:title=""/>
          <o:lock v:ext="edit"/>
          <v:textbox inset="0mm,0mm,0mm,0mm" style="mso-fit-shape-to-text:t;">
            <w:txbxContent>
              <w:p w14:paraId="71489399">
                <w:pPr>
                  <w:pStyle w:val="13"/>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dit="trackedChanges"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3YTc0NDNhZjcxZjVkYjBkNDk3OTI3OTM3MzM5OTgifQ=="/>
  </w:docVars>
  <w:rsids>
    <w:rsidRoot w:val="00A07498"/>
    <w:rsid w:val="00006D23"/>
    <w:rsid w:val="00025FF4"/>
    <w:rsid w:val="00033480"/>
    <w:rsid w:val="0004265D"/>
    <w:rsid w:val="00092D51"/>
    <w:rsid w:val="00097903"/>
    <w:rsid w:val="000A0B92"/>
    <w:rsid w:val="000A0D49"/>
    <w:rsid w:val="000A2304"/>
    <w:rsid w:val="000B7D4E"/>
    <w:rsid w:val="000D0729"/>
    <w:rsid w:val="000D72D6"/>
    <w:rsid w:val="000E4B59"/>
    <w:rsid w:val="00101EBB"/>
    <w:rsid w:val="0011260C"/>
    <w:rsid w:val="0011725E"/>
    <w:rsid w:val="00117C10"/>
    <w:rsid w:val="001409E0"/>
    <w:rsid w:val="001523F0"/>
    <w:rsid w:val="0016061F"/>
    <w:rsid w:val="001770AF"/>
    <w:rsid w:val="00180C7B"/>
    <w:rsid w:val="00192C69"/>
    <w:rsid w:val="001C3950"/>
    <w:rsid w:val="001F3624"/>
    <w:rsid w:val="00235968"/>
    <w:rsid w:val="00235D91"/>
    <w:rsid w:val="00247C4E"/>
    <w:rsid w:val="00286D44"/>
    <w:rsid w:val="00296EC6"/>
    <w:rsid w:val="00297476"/>
    <w:rsid w:val="002B4529"/>
    <w:rsid w:val="002D11D7"/>
    <w:rsid w:val="002D3950"/>
    <w:rsid w:val="002E2BCA"/>
    <w:rsid w:val="002F5A0C"/>
    <w:rsid w:val="002F5C38"/>
    <w:rsid w:val="003023F5"/>
    <w:rsid w:val="00313474"/>
    <w:rsid w:val="003422DA"/>
    <w:rsid w:val="00352F7F"/>
    <w:rsid w:val="00353E7A"/>
    <w:rsid w:val="003824C5"/>
    <w:rsid w:val="00384FCB"/>
    <w:rsid w:val="00385D41"/>
    <w:rsid w:val="003A00F3"/>
    <w:rsid w:val="003A3CB2"/>
    <w:rsid w:val="003D5D38"/>
    <w:rsid w:val="003F1892"/>
    <w:rsid w:val="003F3C1D"/>
    <w:rsid w:val="003F7F6A"/>
    <w:rsid w:val="00425ECB"/>
    <w:rsid w:val="0043318C"/>
    <w:rsid w:val="00442622"/>
    <w:rsid w:val="004456EC"/>
    <w:rsid w:val="00471E73"/>
    <w:rsid w:val="004C34AD"/>
    <w:rsid w:val="004C4622"/>
    <w:rsid w:val="004F31A9"/>
    <w:rsid w:val="004F4AD4"/>
    <w:rsid w:val="00506CDE"/>
    <w:rsid w:val="00540EC0"/>
    <w:rsid w:val="00566BE1"/>
    <w:rsid w:val="0057187C"/>
    <w:rsid w:val="00580EDD"/>
    <w:rsid w:val="0058707D"/>
    <w:rsid w:val="00595BA9"/>
    <w:rsid w:val="005960D7"/>
    <w:rsid w:val="005A1AC8"/>
    <w:rsid w:val="005A4F49"/>
    <w:rsid w:val="005B5568"/>
    <w:rsid w:val="005C4119"/>
    <w:rsid w:val="005D4A37"/>
    <w:rsid w:val="005F3D83"/>
    <w:rsid w:val="006065E6"/>
    <w:rsid w:val="0061758C"/>
    <w:rsid w:val="00634E22"/>
    <w:rsid w:val="00650C76"/>
    <w:rsid w:val="00651F03"/>
    <w:rsid w:val="00694C70"/>
    <w:rsid w:val="006965FF"/>
    <w:rsid w:val="006C5EBE"/>
    <w:rsid w:val="006D17EC"/>
    <w:rsid w:val="006D249E"/>
    <w:rsid w:val="006D3B71"/>
    <w:rsid w:val="006D4045"/>
    <w:rsid w:val="006E0646"/>
    <w:rsid w:val="006E0B40"/>
    <w:rsid w:val="00706767"/>
    <w:rsid w:val="00716763"/>
    <w:rsid w:val="00725FD8"/>
    <w:rsid w:val="0073741B"/>
    <w:rsid w:val="00742FC1"/>
    <w:rsid w:val="00743D0F"/>
    <w:rsid w:val="0074733D"/>
    <w:rsid w:val="00753B33"/>
    <w:rsid w:val="007570C3"/>
    <w:rsid w:val="00763BD4"/>
    <w:rsid w:val="007707A4"/>
    <w:rsid w:val="00772C78"/>
    <w:rsid w:val="007A03E6"/>
    <w:rsid w:val="007D6DF6"/>
    <w:rsid w:val="007D750D"/>
    <w:rsid w:val="007E18B4"/>
    <w:rsid w:val="007E56A4"/>
    <w:rsid w:val="007F19A7"/>
    <w:rsid w:val="007F2DF5"/>
    <w:rsid w:val="007F377E"/>
    <w:rsid w:val="008031B1"/>
    <w:rsid w:val="00812A97"/>
    <w:rsid w:val="008220B5"/>
    <w:rsid w:val="00826DDB"/>
    <w:rsid w:val="00827C7C"/>
    <w:rsid w:val="00840446"/>
    <w:rsid w:val="008420C1"/>
    <w:rsid w:val="00845A70"/>
    <w:rsid w:val="0085166B"/>
    <w:rsid w:val="008563FB"/>
    <w:rsid w:val="00863AB9"/>
    <w:rsid w:val="008659F5"/>
    <w:rsid w:val="00875832"/>
    <w:rsid w:val="0087677B"/>
    <w:rsid w:val="00877C12"/>
    <w:rsid w:val="00885398"/>
    <w:rsid w:val="008A502E"/>
    <w:rsid w:val="008A7BF5"/>
    <w:rsid w:val="008B07D4"/>
    <w:rsid w:val="008B4B10"/>
    <w:rsid w:val="008C2D63"/>
    <w:rsid w:val="008E0E85"/>
    <w:rsid w:val="008F0F88"/>
    <w:rsid w:val="008F439D"/>
    <w:rsid w:val="00906120"/>
    <w:rsid w:val="00923410"/>
    <w:rsid w:val="00941F45"/>
    <w:rsid w:val="0095342C"/>
    <w:rsid w:val="00993FFC"/>
    <w:rsid w:val="00996FB4"/>
    <w:rsid w:val="009C29F9"/>
    <w:rsid w:val="009C66E0"/>
    <w:rsid w:val="009C6AD0"/>
    <w:rsid w:val="009F2D79"/>
    <w:rsid w:val="009F6C77"/>
    <w:rsid w:val="009F6FC3"/>
    <w:rsid w:val="00A00D1E"/>
    <w:rsid w:val="00A0532B"/>
    <w:rsid w:val="00A07498"/>
    <w:rsid w:val="00A4370B"/>
    <w:rsid w:val="00A45B56"/>
    <w:rsid w:val="00A535C0"/>
    <w:rsid w:val="00A71482"/>
    <w:rsid w:val="00A71DB5"/>
    <w:rsid w:val="00A93594"/>
    <w:rsid w:val="00A96BA8"/>
    <w:rsid w:val="00AA3BA3"/>
    <w:rsid w:val="00AA4FA7"/>
    <w:rsid w:val="00AD1715"/>
    <w:rsid w:val="00AE3273"/>
    <w:rsid w:val="00B0189F"/>
    <w:rsid w:val="00B13261"/>
    <w:rsid w:val="00B164D1"/>
    <w:rsid w:val="00B27D8C"/>
    <w:rsid w:val="00B65A76"/>
    <w:rsid w:val="00B71BA7"/>
    <w:rsid w:val="00B73950"/>
    <w:rsid w:val="00B74197"/>
    <w:rsid w:val="00B7688C"/>
    <w:rsid w:val="00B967E8"/>
    <w:rsid w:val="00BA0D92"/>
    <w:rsid w:val="00C05DEB"/>
    <w:rsid w:val="00C22990"/>
    <w:rsid w:val="00C27C8B"/>
    <w:rsid w:val="00C32DD5"/>
    <w:rsid w:val="00C36D7C"/>
    <w:rsid w:val="00C36F87"/>
    <w:rsid w:val="00C44696"/>
    <w:rsid w:val="00C46B1E"/>
    <w:rsid w:val="00C764FD"/>
    <w:rsid w:val="00C85BF3"/>
    <w:rsid w:val="00C95527"/>
    <w:rsid w:val="00CB6CFE"/>
    <w:rsid w:val="00CC6E94"/>
    <w:rsid w:val="00CF29F2"/>
    <w:rsid w:val="00D00BA3"/>
    <w:rsid w:val="00D30457"/>
    <w:rsid w:val="00D334CF"/>
    <w:rsid w:val="00D33D6D"/>
    <w:rsid w:val="00D33E3B"/>
    <w:rsid w:val="00D50838"/>
    <w:rsid w:val="00D66C0E"/>
    <w:rsid w:val="00D761A8"/>
    <w:rsid w:val="00D76307"/>
    <w:rsid w:val="00D82B8B"/>
    <w:rsid w:val="00D86BB7"/>
    <w:rsid w:val="00D918C3"/>
    <w:rsid w:val="00DA6885"/>
    <w:rsid w:val="00DA6BC8"/>
    <w:rsid w:val="00DB4EF9"/>
    <w:rsid w:val="00DC4245"/>
    <w:rsid w:val="00DD5BCC"/>
    <w:rsid w:val="00DF18FA"/>
    <w:rsid w:val="00E04412"/>
    <w:rsid w:val="00E3044C"/>
    <w:rsid w:val="00E35C13"/>
    <w:rsid w:val="00E56A41"/>
    <w:rsid w:val="00E64AEC"/>
    <w:rsid w:val="00E65F04"/>
    <w:rsid w:val="00E6717B"/>
    <w:rsid w:val="00E67F7F"/>
    <w:rsid w:val="00E91E16"/>
    <w:rsid w:val="00E936C0"/>
    <w:rsid w:val="00E945E2"/>
    <w:rsid w:val="00E96E76"/>
    <w:rsid w:val="00EB596F"/>
    <w:rsid w:val="00EC13A2"/>
    <w:rsid w:val="00EC58AE"/>
    <w:rsid w:val="00EF21D5"/>
    <w:rsid w:val="00F05626"/>
    <w:rsid w:val="00F2741C"/>
    <w:rsid w:val="00F30FCB"/>
    <w:rsid w:val="00F31FFB"/>
    <w:rsid w:val="00F368F9"/>
    <w:rsid w:val="00F40E74"/>
    <w:rsid w:val="00F47266"/>
    <w:rsid w:val="00F75FDF"/>
    <w:rsid w:val="00F83547"/>
    <w:rsid w:val="00F87A06"/>
    <w:rsid w:val="00F90C5F"/>
    <w:rsid w:val="00FA0C60"/>
    <w:rsid w:val="00FA2CE6"/>
    <w:rsid w:val="00FA7530"/>
    <w:rsid w:val="00FB6939"/>
    <w:rsid w:val="00FC352A"/>
    <w:rsid w:val="00FC5F96"/>
    <w:rsid w:val="00FD33CD"/>
    <w:rsid w:val="00FD4439"/>
    <w:rsid w:val="00FE0D83"/>
    <w:rsid w:val="00FF2E5D"/>
    <w:rsid w:val="00FF70D7"/>
    <w:rsid w:val="01697197"/>
    <w:rsid w:val="01C052A0"/>
    <w:rsid w:val="01F64764"/>
    <w:rsid w:val="022005C5"/>
    <w:rsid w:val="022A4F9C"/>
    <w:rsid w:val="02740815"/>
    <w:rsid w:val="02DE3352"/>
    <w:rsid w:val="02ED4364"/>
    <w:rsid w:val="031421DC"/>
    <w:rsid w:val="03607AB3"/>
    <w:rsid w:val="03E2554B"/>
    <w:rsid w:val="03E439C7"/>
    <w:rsid w:val="041C61F3"/>
    <w:rsid w:val="04C66C1A"/>
    <w:rsid w:val="04CD2E69"/>
    <w:rsid w:val="04FA0FD0"/>
    <w:rsid w:val="05594DDE"/>
    <w:rsid w:val="05836646"/>
    <w:rsid w:val="05AD45F6"/>
    <w:rsid w:val="05E412C7"/>
    <w:rsid w:val="05E8315C"/>
    <w:rsid w:val="06494EFE"/>
    <w:rsid w:val="064D08FF"/>
    <w:rsid w:val="06F45C2F"/>
    <w:rsid w:val="07212B20"/>
    <w:rsid w:val="074266AD"/>
    <w:rsid w:val="07563FF1"/>
    <w:rsid w:val="078D67A1"/>
    <w:rsid w:val="079444BF"/>
    <w:rsid w:val="07A87985"/>
    <w:rsid w:val="07C25174"/>
    <w:rsid w:val="07E03254"/>
    <w:rsid w:val="07EF03E6"/>
    <w:rsid w:val="07F13949"/>
    <w:rsid w:val="0811659D"/>
    <w:rsid w:val="088E2AB4"/>
    <w:rsid w:val="08BD20E2"/>
    <w:rsid w:val="08DC1C6E"/>
    <w:rsid w:val="08DE6608"/>
    <w:rsid w:val="09187C60"/>
    <w:rsid w:val="091E12D9"/>
    <w:rsid w:val="09664528"/>
    <w:rsid w:val="098B5D23"/>
    <w:rsid w:val="09F14739"/>
    <w:rsid w:val="0A634F0B"/>
    <w:rsid w:val="0AB22B10"/>
    <w:rsid w:val="0AB36424"/>
    <w:rsid w:val="0AB45767"/>
    <w:rsid w:val="0AD33E3F"/>
    <w:rsid w:val="0B7A5E17"/>
    <w:rsid w:val="0B7B7D63"/>
    <w:rsid w:val="0B9E6C86"/>
    <w:rsid w:val="0BA13F3D"/>
    <w:rsid w:val="0BC62A15"/>
    <w:rsid w:val="0C031DB4"/>
    <w:rsid w:val="0C3C6C4E"/>
    <w:rsid w:val="0CB55526"/>
    <w:rsid w:val="0CE064D0"/>
    <w:rsid w:val="0CE820A9"/>
    <w:rsid w:val="0CE85BC4"/>
    <w:rsid w:val="0DA32AF6"/>
    <w:rsid w:val="0DF82765"/>
    <w:rsid w:val="0E1A3B33"/>
    <w:rsid w:val="0E357B8C"/>
    <w:rsid w:val="0EF06E73"/>
    <w:rsid w:val="0F557DA5"/>
    <w:rsid w:val="0F736916"/>
    <w:rsid w:val="0F743702"/>
    <w:rsid w:val="100B407B"/>
    <w:rsid w:val="102F342D"/>
    <w:rsid w:val="10571BBC"/>
    <w:rsid w:val="107121FF"/>
    <w:rsid w:val="1076626D"/>
    <w:rsid w:val="10DD7EAE"/>
    <w:rsid w:val="10DF0549"/>
    <w:rsid w:val="10F22E28"/>
    <w:rsid w:val="1175132C"/>
    <w:rsid w:val="120D1D07"/>
    <w:rsid w:val="12633974"/>
    <w:rsid w:val="136C2CC2"/>
    <w:rsid w:val="137D0DEC"/>
    <w:rsid w:val="13AD0C34"/>
    <w:rsid w:val="141B0041"/>
    <w:rsid w:val="14726171"/>
    <w:rsid w:val="14767F87"/>
    <w:rsid w:val="14A30D26"/>
    <w:rsid w:val="14B86DC4"/>
    <w:rsid w:val="14D816DD"/>
    <w:rsid w:val="157231EF"/>
    <w:rsid w:val="1574689F"/>
    <w:rsid w:val="157D3CDA"/>
    <w:rsid w:val="15B70E67"/>
    <w:rsid w:val="15D56FAE"/>
    <w:rsid w:val="15F57363"/>
    <w:rsid w:val="167504A0"/>
    <w:rsid w:val="169819B4"/>
    <w:rsid w:val="16CE7D9B"/>
    <w:rsid w:val="16FE49D3"/>
    <w:rsid w:val="17202CC1"/>
    <w:rsid w:val="174E33E4"/>
    <w:rsid w:val="17B4465B"/>
    <w:rsid w:val="17DD62FD"/>
    <w:rsid w:val="17FB1BA0"/>
    <w:rsid w:val="18806036"/>
    <w:rsid w:val="192817FA"/>
    <w:rsid w:val="19304820"/>
    <w:rsid w:val="19790228"/>
    <w:rsid w:val="19B10BFD"/>
    <w:rsid w:val="1A0A7151"/>
    <w:rsid w:val="1A221CE8"/>
    <w:rsid w:val="1A8236BE"/>
    <w:rsid w:val="1A882A05"/>
    <w:rsid w:val="1A952EBF"/>
    <w:rsid w:val="1AB71217"/>
    <w:rsid w:val="1B7E1BA5"/>
    <w:rsid w:val="1BFC5472"/>
    <w:rsid w:val="1C053422"/>
    <w:rsid w:val="1C365FDC"/>
    <w:rsid w:val="1C6963B1"/>
    <w:rsid w:val="1C78574C"/>
    <w:rsid w:val="1C7A65EA"/>
    <w:rsid w:val="1CB2656B"/>
    <w:rsid w:val="1D047E88"/>
    <w:rsid w:val="1D365CD5"/>
    <w:rsid w:val="1D6F1AFB"/>
    <w:rsid w:val="1DDF4ABE"/>
    <w:rsid w:val="1DF67F91"/>
    <w:rsid w:val="1E20308E"/>
    <w:rsid w:val="1E4C7D38"/>
    <w:rsid w:val="1EA14594"/>
    <w:rsid w:val="1EBF3159"/>
    <w:rsid w:val="1EBF7E97"/>
    <w:rsid w:val="1F6D440A"/>
    <w:rsid w:val="1FC57DA2"/>
    <w:rsid w:val="1FC61D6D"/>
    <w:rsid w:val="1FD06823"/>
    <w:rsid w:val="20592BE1"/>
    <w:rsid w:val="206B06C0"/>
    <w:rsid w:val="20A00E86"/>
    <w:rsid w:val="20A07065"/>
    <w:rsid w:val="20D23D15"/>
    <w:rsid w:val="21AB121A"/>
    <w:rsid w:val="21B434DF"/>
    <w:rsid w:val="21DF4916"/>
    <w:rsid w:val="22154E1B"/>
    <w:rsid w:val="2322730F"/>
    <w:rsid w:val="23646A7D"/>
    <w:rsid w:val="238A310D"/>
    <w:rsid w:val="239A6BC4"/>
    <w:rsid w:val="23BB678E"/>
    <w:rsid w:val="23BF7940"/>
    <w:rsid w:val="240074FB"/>
    <w:rsid w:val="2473128C"/>
    <w:rsid w:val="247655B5"/>
    <w:rsid w:val="259A3A7F"/>
    <w:rsid w:val="25D243A4"/>
    <w:rsid w:val="262D3D51"/>
    <w:rsid w:val="2649126A"/>
    <w:rsid w:val="269A5CF4"/>
    <w:rsid w:val="26DD66BE"/>
    <w:rsid w:val="27133AE9"/>
    <w:rsid w:val="27365E3F"/>
    <w:rsid w:val="277A2040"/>
    <w:rsid w:val="27C87148"/>
    <w:rsid w:val="27CB0101"/>
    <w:rsid w:val="280D45ED"/>
    <w:rsid w:val="2830237E"/>
    <w:rsid w:val="28E36611"/>
    <w:rsid w:val="28F67CE4"/>
    <w:rsid w:val="29423D10"/>
    <w:rsid w:val="29AA6B50"/>
    <w:rsid w:val="2A002D78"/>
    <w:rsid w:val="2A06789C"/>
    <w:rsid w:val="2A09566D"/>
    <w:rsid w:val="2A7A4F37"/>
    <w:rsid w:val="2AA66A22"/>
    <w:rsid w:val="2AB57775"/>
    <w:rsid w:val="2B11330C"/>
    <w:rsid w:val="2B5C4025"/>
    <w:rsid w:val="2B871ECD"/>
    <w:rsid w:val="2BEA12CD"/>
    <w:rsid w:val="2C4F6A77"/>
    <w:rsid w:val="2CDE15E0"/>
    <w:rsid w:val="2D101F45"/>
    <w:rsid w:val="2D9D06E4"/>
    <w:rsid w:val="2DC1358D"/>
    <w:rsid w:val="2E50117F"/>
    <w:rsid w:val="2E6D7A2A"/>
    <w:rsid w:val="2E8649DF"/>
    <w:rsid w:val="2EDC4FC4"/>
    <w:rsid w:val="2F12441C"/>
    <w:rsid w:val="2F620F18"/>
    <w:rsid w:val="2FD14886"/>
    <w:rsid w:val="2FD64291"/>
    <w:rsid w:val="30093CDB"/>
    <w:rsid w:val="30122F6E"/>
    <w:rsid w:val="30444D13"/>
    <w:rsid w:val="30507E04"/>
    <w:rsid w:val="30973596"/>
    <w:rsid w:val="30E402A4"/>
    <w:rsid w:val="3119524D"/>
    <w:rsid w:val="319C46DB"/>
    <w:rsid w:val="31B87D54"/>
    <w:rsid w:val="31EE07FD"/>
    <w:rsid w:val="323703B5"/>
    <w:rsid w:val="33122EA7"/>
    <w:rsid w:val="336D401C"/>
    <w:rsid w:val="33745CF5"/>
    <w:rsid w:val="33AB1D0F"/>
    <w:rsid w:val="34042FC7"/>
    <w:rsid w:val="341076EC"/>
    <w:rsid w:val="34967EA3"/>
    <w:rsid w:val="34E02760"/>
    <w:rsid w:val="34EB3E37"/>
    <w:rsid w:val="35423A26"/>
    <w:rsid w:val="35496ABD"/>
    <w:rsid w:val="354E41DB"/>
    <w:rsid w:val="355D18A7"/>
    <w:rsid w:val="35B20807"/>
    <w:rsid w:val="361C061F"/>
    <w:rsid w:val="36462E68"/>
    <w:rsid w:val="36596709"/>
    <w:rsid w:val="36892D2E"/>
    <w:rsid w:val="368955F2"/>
    <w:rsid w:val="36D200CC"/>
    <w:rsid w:val="37180145"/>
    <w:rsid w:val="37AA3A13"/>
    <w:rsid w:val="37B81B43"/>
    <w:rsid w:val="380D5294"/>
    <w:rsid w:val="3873069F"/>
    <w:rsid w:val="387B329C"/>
    <w:rsid w:val="39080D16"/>
    <w:rsid w:val="394217EE"/>
    <w:rsid w:val="394F17AF"/>
    <w:rsid w:val="39742B18"/>
    <w:rsid w:val="39903C31"/>
    <w:rsid w:val="39A36166"/>
    <w:rsid w:val="39E84D6F"/>
    <w:rsid w:val="3A8C3253"/>
    <w:rsid w:val="3A9B533C"/>
    <w:rsid w:val="3AD73FBC"/>
    <w:rsid w:val="3ADB2757"/>
    <w:rsid w:val="3ADF7629"/>
    <w:rsid w:val="3B4958D4"/>
    <w:rsid w:val="3B4D2C93"/>
    <w:rsid w:val="3B633A24"/>
    <w:rsid w:val="3BA47C25"/>
    <w:rsid w:val="3BBA6698"/>
    <w:rsid w:val="3BD01B51"/>
    <w:rsid w:val="3C03033D"/>
    <w:rsid w:val="3C0E0197"/>
    <w:rsid w:val="3C7C7425"/>
    <w:rsid w:val="3C991932"/>
    <w:rsid w:val="3D057EFF"/>
    <w:rsid w:val="3D5132C8"/>
    <w:rsid w:val="3D537814"/>
    <w:rsid w:val="3E491D1E"/>
    <w:rsid w:val="3E4B1963"/>
    <w:rsid w:val="3E6B3DB3"/>
    <w:rsid w:val="3E6E11AD"/>
    <w:rsid w:val="3F1309CE"/>
    <w:rsid w:val="3F374B19"/>
    <w:rsid w:val="3F850EA5"/>
    <w:rsid w:val="3F9648D8"/>
    <w:rsid w:val="4004198D"/>
    <w:rsid w:val="40385F17"/>
    <w:rsid w:val="40840EAD"/>
    <w:rsid w:val="40903735"/>
    <w:rsid w:val="41055DF9"/>
    <w:rsid w:val="41977F88"/>
    <w:rsid w:val="41C2018E"/>
    <w:rsid w:val="42070DF0"/>
    <w:rsid w:val="42162288"/>
    <w:rsid w:val="425C2A1B"/>
    <w:rsid w:val="426E3E72"/>
    <w:rsid w:val="428461EC"/>
    <w:rsid w:val="42AC7C32"/>
    <w:rsid w:val="42B707FA"/>
    <w:rsid w:val="42D40179"/>
    <w:rsid w:val="42EE49BD"/>
    <w:rsid w:val="43046F38"/>
    <w:rsid w:val="435D6AEB"/>
    <w:rsid w:val="43995F2A"/>
    <w:rsid w:val="43B34232"/>
    <w:rsid w:val="43F3462F"/>
    <w:rsid w:val="44023D76"/>
    <w:rsid w:val="44091623"/>
    <w:rsid w:val="4435005E"/>
    <w:rsid w:val="4473751E"/>
    <w:rsid w:val="44941CBE"/>
    <w:rsid w:val="44C162F5"/>
    <w:rsid w:val="45810711"/>
    <w:rsid w:val="45976177"/>
    <w:rsid w:val="459B211B"/>
    <w:rsid w:val="45BD7258"/>
    <w:rsid w:val="46560EA5"/>
    <w:rsid w:val="46CC092C"/>
    <w:rsid w:val="46CE2EC7"/>
    <w:rsid w:val="46E64D11"/>
    <w:rsid w:val="46FB1683"/>
    <w:rsid w:val="47AF258A"/>
    <w:rsid w:val="47D2595F"/>
    <w:rsid w:val="48332336"/>
    <w:rsid w:val="493D253B"/>
    <w:rsid w:val="49D97E23"/>
    <w:rsid w:val="49EE6480"/>
    <w:rsid w:val="4A480F6C"/>
    <w:rsid w:val="4ACB00B3"/>
    <w:rsid w:val="4B3E79A8"/>
    <w:rsid w:val="4B600F16"/>
    <w:rsid w:val="4B6A38AC"/>
    <w:rsid w:val="4B6B53F2"/>
    <w:rsid w:val="4BB16B3F"/>
    <w:rsid w:val="4BC42C29"/>
    <w:rsid w:val="4BF65BFD"/>
    <w:rsid w:val="4C094936"/>
    <w:rsid w:val="4C1A101B"/>
    <w:rsid w:val="4C710F17"/>
    <w:rsid w:val="4C723649"/>
    <w:rsid w:val="4C942727"/>
    <w:rsid w:val="4CFA7546"/>
    <w:rsid w:val="4D0A2B65"/>
    <w:rsid w:val="4D4964A5"/>
    <w:rsid w:val="4D6A2CF5"/>
    <w:rsid w:val="4D6C0FAE"/>
    <w:rsid w:val="4DD00E1F"/>
    <w:rsid w:val="4DD9486C"/>
    <w:rsid w:val="4DE65204"/>
    <w:rsid w:val="4DFB55DB"/>
    <w:rsid w:val="4E0E53BB"/>
    <w:rsid w:val="4E3F2B92"/>
    <w:rsid w:val="4E5959D6"/>
    <w:rsid w:val="4E8441E1"/>
    <w:rsid w:val="4EC6113D"/>
    <w:rsid w:val="4EE54797"/>
    <w:rsid w:val="4F035350"/>
    <w:rsid w:val="4F251D5A"/>
    <w:rsid w:val="4F764366"/>
    <w:rsid w:val="4FA109E7"/>
    <w:rsid w:val="4FCE73B7"/>
    <w:rsid w:val="4FF11909"/>
    <w:rsid w:val="50083C27"/>
    <w:rsid w:val="502F6940"/>
    <w:rsid w:val="51120A08"/>
    <w:rsid w:val="517A4DAE"/>
    <w:rsid w:val="51896965"/>
    <w:rsid w:val="519A07DF"/>
    <w:rsid w:val="51B113F5"/>
    <w:rsid w:val="51F223CA"/>
    <w:rsid w:val="526A445B"/>
    <w:rsid w:val="528F23DD"/>
    <w:rsid w:val="52D55BF7"/>
    <w:rsid w:val="52DE5A5E"/>
    <w:rsid w:val="52F12681"/>
    <w:rsid w:val="531D5224"/>
    <w:rsid w:val="534F7319"/>
    <w:rsid w:val="539C5096"/>
    <w:rsid w:val="540D4F52"/>
    <w:rsid w:val="541D1DED"/>
    <w:rsid w:val="54471223"/>
    <w:rsid w:val="54502A32"/>
    <w:rsid w:val="54B31911"/>
    <w:rsid w:val="54F663D8"/>
    <w:rsid w:val="55281CEA"/>
    <w:rsid w:val="55384597"/>
    <w:rsid w:val="55894DF3"/>
    <w:rsid w:val="561B6306"/>
    <w:rsid w:val="579A3E8F"/>
    <w:rsid w:val="57B566A9"/>
    <w:rsid w:val="581B1F4E"/>
    <w:rsid w:val="592025F8"/>
    <w:rsid w:val="593432C8"/>
    <w:rsid w:val="59774600"/>
    <w:rsid w:val="59B10034"/>
    <w:rsid w:val="59D03840"/>
    <w:rsid w:val="59FB3809"/>
    <w:rsid w:val="5A14376D"/>
    <w:rsid w:val="5A217147"/>
    <w:rsid w:val="5A3B17C5"/>
    <w:rsid w:val="5AC8005B"/>
    <w:rsid w:val="5AE42C25"/>
    <w:rsid w:val="5B1178AC"/>
    <w:rsid w:val="5B461B6B"/>
    <w:rsid w:val="5B547C51"/>
    <w:rsid w:val="5B617C38"/>
    <w:rsid w:val="5BD01EF1"/>
    <w:rsid w:val="5C702B74"/>
    <w:rsid w:val="5C801C72"/>
    <w:rsid w:val="5D1B161B"/>
    <w:rsid w:val="5D252FE9"/>
    <w:rsid w:val="5DD463E7"/>
    <w:rsid w:val="5E343D6A"/>
    <w:rsid w:val="5E6B0686"/>
    <w:rsid w:val="5E6B0964"/>
    <w:rsid w:val="5F153480"/>
    <w:rsid w:val="5F3B6A32"/>
    <w:rsid w:val="5F3C1475"/>
    <w:rsid w:val="5FD93B1F"/>
    <w:rsid w:val="600C6FB6"/>
    <w:rsid w:val="600E5283"/>
    <w:rsid w:val="60126C75"/>
    <w:rsid w:val="603B65A0"/>
    <w:rsid w:val="6044365D"/>
    <w:rsid w:val="608C09CC"/>
    <w:rsid w:val="60A56F75"/>
    <w:rsid w:val="61467A75"/>
    <w:rsid w:val="614D019F"/>
    <w:rsid w:val="61691BB5"/>
    <w:rsid w:val="61CB6CD1"/>
    <w:rsid w:val="61CD66CA"/>
    <w:rsid w:val="61D373F6"/>
    <w:rsid w:val="623F4168"/>
    <w:rsid w:val="627604AD"/>
    <w:rsid w:val="628961AD"/>
    <w:rsid w:val="62AA469F"/>
    <w:rsid w:val="62BF1A1C"/>
    <w:rsid w:val="632443AD"/>
    <w:rsid w:val="633B667E"/>
    <w:rsid w:val="637864A7"/>
    <w:rsid w:val="63DD067C"/>
    <w:rsid w:val="64085B12"/>
    <w:rsid w:val="641C6E32"/>
    <w:rsid w:val="64324E74"/>
    <w:rsid w:val="64376AA1"/>
    <w:rsid w:val="64DB75F0"/>
    <w:rsid w:val="64F335BB"/>
    <w:rsid w:val="655D305B"/>
    <w:rsid w:val="658D4468"/>
    <w:rsid w:val="659A2704"/>
    <w:rsid w:val="659E443B"/>
    <w:rsid w:val="65D025CA"/>
    <w:rsid w:val="6632531A"/>
    <w:rsid w:val="66417A9E"/>
    <w:rsid w:val="66536FE7"/>
    <w:rsid w:val="66644C16"/>
    <w:rsid w:val="667D11DF"/>
    <w:rsid w:val="66DE5BBB"/>
    <w:rsid w:val="676656CF"/>
    <w:rsid w:val="6818174D"/>
    <w:rsid w:val="682D0167"/>
    <w:rsid w:val="684150B9"/>
    <w:rsid w:val="68B27D65"/>
    <w:rsid w:val="68BE7975"/>
    <w:rsid w:val="691640BA"/>
    <w:rsid w:val="696679B6"/>
    <w:rsid w:val="696A5EBA"/>
    <w:rsid w:val="69767263"/>
    <w:rsid w:val="6A1503D3"/>
    <w:rsid w:val="6A520F40"/>
    <w:rsid w:val="6A637020"/>
    <w:rsid w:val="6A9B3383"/>
    <w:rsid w:val="6A9E0A64"/>
    <w:rsid w:val="6AC6443E"/>
    <w:rsid w:val="6ACE55D2"/>
    <w:rsid w:val="6B325B3E"/>
    <w:rsid w:val="6BDD267B"/>
    <w:rsid w:val="6BF341D8"/>
    <w:rsid w:val="6C1A2BE6"/>
    <w:rsid w:val="6C2F15DF"/>
    <w:rsid w:val="6C3A04AE"/>
    <w:rsid w:val="6C4340E9"/>
    <w:rsid w:val="6C613F7C"/>
    <w:rsid w:val="6C796ED3"/>
    <w:rsid w:val="6CF03552"/>
    <w:rsid w:val="6D2445E4"/>
    <w:rsid w:val="6D6F4B91"/>
    <w:rsid w:val="6D8E54E1"/>
    <w:rsid w:val="6DC70F12"/>
    <w:rsid w:val="6DDC1732"/>
    <w:rsid w:val="6E1119D2"/>
    <w:rsid w:val="6E334E06"/>
    <w:rsid w:val="6E3C7818"/>
    <w:rsid w:val="6E9763F1"/>
    <w:rsid w:val="6EB6414C"/>
    <w:rsid w:val="6EDB5DB6"/>
    <w:rsid w:val="6F2F320C"/>
    <w:rsid w:val="6F626B16"/>
    <w:rsid w:val="6F9935FE"/>
    <w:rsid w:val="6F9A5774"/>
    <w:rsid w:val="6FEA4288"/>
    <w:rsid w:val="70614360"/>
    <w:rsid w:val="70C90342"/>
    <w:rsid w:val="70E37655"/>
    <w:rsid w:val="719721EE"/>
    <w:rsid w:val="71CD767C"/>
    <w:rsid w:val="7205184D"/>
    <w:rsid w:val="72346D15"/>
    <w:rsid w:val="725F0F5E"/>
    <w:rsid w:val="72AE30DF"/>
    <w:rsid w:val="7354438F"/>
    <w:rsid w:val="736C7D3B"/>
    <w:rsid w:val="7380576C"/>
    <w:rsid w:val="738B2667"/>
    <w:rsid w:val="744E4BDF"/>
    <w:rsid w:val="74911176"/>
    <w:rsid w:val="749B7AAA"/>
    <w:rsid w:val="74D45750"/>
    <w:rsid w:val="75377F70"/>
    <w:rsid w:val="75B415C0"/>
    <w:rsid w:val="76206C56"/>
    <w:rsid w:val="766F7295"/>
    <w:rsid w:val="76805E64"/>
    <w:rsid w:val="76A07D97"/>
    <w:rsid w:val="777370D3"/>
    <w:rsid w:val="77994029"/>
    <w:rsid w:val="77F42C39"/>
    <w:rsid w:val="788015FE"/>
    <w:rsid w:val="790E24EA"/>
    <w:rsid w:val="79750A53"/>
    <w:rsid w:val="7A033419"/>
    <w:rsid w:val="7A682A5A"/>
    <w:rsid w:val="7AC019FF"/>
    <w:rsid w:val="7AF65AA6"/>
    <w:rsid w:val="7B08648E"/>
    <w:rsid w:val="7B764324"/>
    <w:rsid w:val="7BC47AC8"/>
    <w:rsid w:val="7BE3577E"/>
    <w:rsid w:val="7C0809EB"/>
    <w:rsid w:val="7CBF3AA0"/>
    <w:rsid w:val="7D474AC8"/>
    <w:rsid w:val="7D5D4085"/>
    <w:rsid w:val="7D9052F5"/>
    <w:rsid w:val="7E0041C3"/>
    <w:rsid w:val="7E4358A7"/>
    <w:rsid w:val="7E8008FE"/>
    <w:rsid w:val="7E9B616C"/>
    <w:rsid w:val="7EB530D1"/>
    <w:rsid w:val="7EE7318A"/>
    <w:rsid w:val="7F122662"/>
    <w:rsid w:val="7F9B5D80"/>
    <w:rsid w:val="7FA02BB5"/>
    <w:rsid w:val="7FF711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99"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8"/>
      <w:szCs w:val="22"/>
      <w:lang w:val="en-US" w:eastAsia="zh-CN" w:bidi="ar-SA"/>
    </w:rPr>
  </w:style>
  <w:style w:type="paragraph" w:styleId="3">
    <w:name w:val="heading 1"/>
    <w:basedOn w:val="1"/>
    <w:next w:val="1"/>
    <w:qFormat/>
    <w:uiPriority w:val="9"/>
    <w:pPr>
      <w:keepNext/>
      <w:keepLines/>
      <w:spacing w:line="360" w:lineRule="auto"/>
      <w:ind w:firstLine="752" w:firstLineChars="200"/>
      <w:outlineLvl w:val="0"/>
    </w:pPr>
    <w:rPr>
      <w:rFonts w:eastAsia="黑体"/>
      <w:kern w:val="44"/>
      <w:sz w:val="32"/>
    </w:rPr>
  </w:style>
  <w:style w:type="paragraph" w:styleId="4">
    <w:name w:val="heading 2"/>
    <w:basedOn w:val="1"/>
    <w:next w:val="1"/>
    <w:unhideWhenUsed/>
    <w:qFormat/>
    <w:uiPriority w:val="9"/>
    <w:pPr>
      <w:spacing w:line="360" w:lineRule="auto"/>
      <w:ind w:firstLine="630" w:firstLineChars="300"/>
      <w:outlineLvl w:val="1"/>
    </w:pPr>
    <w:rPr>
      <w:rFonts w:hint="eastAsia" w:ascii="宋体" w:hAnsi="宋体" w:eastAsia="仿宋_GB2312" w:cs="Times New Roman"/>
      <w:kern w:val="0"/>
      <w:sz w:val="32"/>
      <w:szCs w:val="36"/>
    </w:rPr>
  </w:style>
  <w:style w:type="paragraph" w:styleId="5">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bCs/>
      <w:kern w:val="0"/>
      <w:sz w:val="27"/>
      <w:szCs w:val="27"/>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List 2"/>
    <w:basedOn w:val="1"/>
    <w:unhideWhenUsed/>
    <w:qFormat/>
    <w:uiPriority w:val="99"/>
    <w:pPr>
      <w:contextualSpacing/>
    </w:pPr>
    <w:rPr>
      <w:rFonts w:eastAsia="黑体"/>
      <w:color w:val="FF0000"/>
    </w:rPr>
  </w:style>
  <w:style w:type="paragraph" w:styleId="6">
    <w:name w:val="Document Map"/>
    <w:basedOn w:val="1"/>
    <w:link w:val="49"/>
    <w:semiHidden/>
    <w:unhideWhenUsed/>
    <w:qFormat/>
    <w:uiPriority w:val="99"/>
    <w:rPr>
      <w:rFonts w:ascii="宋体" w:eastAsia="宋体"/>
      <w:sz w:val="18"/>
      <w:szCs w:val="18"/>
    </w:rPr>
  </w:style>
  <w:style w:type="paragraph" w:styleId="7">
    <w:name w:val="annotation text"/>
    <w:basedOn w:val="1"/>
    <w:link w:val="51"/>
    <w:semiHidden/>
    <w:unhideWhenUsed/>
    <w:qFormat/>
    <w:uiPriority w:val="99"/>
    <w:pPr>
      <w:jc w:val="left"/>
    </w:pPr>
  </w:style>
  <w:style w:type="paragraph" w:styleId="8">
    <w:name w:val="Body Text"/>
    <w:basedOn w:val="1"/>
    <w:next w:val="9"/>
    <w:qFormat/>
    <w:uiPriority w:val="0"/>
    <w:pPr>
      <w:spacing w:after="120"/>
    </w:pPr>
    <w:rPr>
      <w:rFonts w:ascii="Calibri"/>
      <w:sz w:val="21"/>
      <w:szCs w:val="24"/>
    </w:rPr>
  </w:style>
  <w:style w:type="paragraph" w:styleId="9">
    <w:name w:val="toc 5"/>
    <w:basedOn w:val="1"/>
    <w:next w:val="1"/>
    <w:qFormat/>
    <w:uiPriority w:val="0"/>
    <w:pPr>
      <w:ind w:left="800" w:leftChars="800"/>
    </w:pPr>
    <w:rPr>
      <w:rFonts w:ascii="Times New Roman" w:hAnsi="Times New Roman" w:eastAsia="宋体" w:cs="Calibri"/>
      <w:sz w:val="21"/>
      <w:szCs w:val="24"/>
    </w:rPr>
  </w:style>
  <w:style w:type="paragraph" w:styleId="10">
    <w:name w:val="Body Text Indent"/>
    <w:basedOn w:val="1"/>
    <w:unhideWhenUsed/>
    <w:qFormat/>
    <w:uiPriority w:val="99"/>
    <w:pPr>
      <w:spacing w:after="120"/>
      <w:ind w:left="420" w:leftChars="200"/>
    </w:pPr>
  </w:style>
  <w:style w:type="paragraph" w:styleId="11">
    <w:name w:val="endnote text"/>
    <w:basedOn w:val="1"/>
    <w:semiHidden/>
    <w:qFormat/>
    <w:uiPriority w:val="0"/>
    <w:pPr>
      <w:snapToGrid w:val="0"/>
      <w:jc w:val="left"/>
    </w:pPr>
  </w:style>
  <w:style w:type="paragraph" w:styleId="12">
    <w:name w:val="Balloon Text"/>
    <w:basedOn w:val="1"/>
    <w:link w:val="43"/>
    <w:semiHidden/>
    <w:unhideWhenUsed/>
    <w:qFormat/>
    <w:uiPriority w:val="99"/>
    <w:rPr>
      <w:sz w:val="18"/>
      <w:szCs w:val="18"/>
    </w:rPr>
  </w:style>
  <w:style w:type="paragraph" w:styleId="13">
    <w:name w:val="footer"/>
    <w:basedOn w:val="1"/>
    <w:link w:val="37"/>
    <w:unhideWhenUsed/>
    <w:qFormat/>
    <w:uiPriority w:val="0"/>
    <w:pPr>
      <w:tabs>
        <w:tab w:val="center" w:pos="4153"/>
        <w:tab w:val="right" w:pos="8306"/>
      </w:tabs>
      <w:snapToGrid w:val="0"/>
      <w:jc w:val="left"/>
    </w:pPr>
    <w:rPr>
      <w:sz w:val="18"/>
      <w:szCs w:val="18"/>
    </w:rPr>
  </w:style>
  <w:style w:type="paragraph" w:styleId="14">
    <w:name w:val="header"/>
    <w:basedOn w:val="1"/>
    <w:link w:val="4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semiHidden/>
    <w:unhideWhenUsed/>
    <w:qFormat/>
    <w:uiPriority w:val="39"/>
    <w:rPr>
      <w:rFonts w:eastAsia="仿宋"/>
      <w:b/>
      <w:sz w:val="30"/>
    </w:rPr>
  </w:style>
  <w:style w:type="paragraph" w:styleId="16">
    <w:name w:val="footnote text"/>
    <w:basedOn w:val="1"/>
    <w:semiHidden/>
    <w:unhideWhenUsed/>
    <w:qFormat/>
    <w:uiPriority w:val="99"/>
    <w:pPr>
      <w:snapToGrid w:val="0"/>
      <w:jc w:val="left"/>
    </w:pPr>
    <w:rPr>
      <w:sz w:val="18"/>
      <w:szCs w:val="18"/>
    </w:rPr>
  </w:style>
  <w:style w:type="paragraph" w:styleId="17">
    <w:name w:val="toc 2"/>
    <w:basedOn w:val="1"/>
    <w:next w:val="1"/>
    <w:semiHidden/>
    <w:unhideWhenUsed/>
    <w:qFormat/>
    <w:uiPriority w:val="39"/>
    <w:pPr>
      <w:ind w:left="210"/>
      <w:jc w:val="left"/>
    </w:pPr>
    <w:rPr>
      <w:rFonts w:ascii="Times New Roman" w:hAnsi="Times New Roman" w:eastAsia="仿宋" w:cs="Times New Roman"/>
      <w:smallCaps/>
      <w:lang w:val="zh-CN" w:bidi="zh-CN"/>
    </w:rPr>
  </w:style>
  <w:style w:type="paragraph" w:styleId="18">
    <w:name w:val="Normal (Web)"/>
    <w:basedOn w:val="1"/>
    <w:semiHidden/>
    <w:unhideWhenUsed/>
    <w:qFormat/>
    <w:uiPriority w:val="99"/>
    <w:pPr>
      <w:spacing w:beforeAutospacing="1" w:afterAutospacing="1"/>
      <w:jc w:val="left"/>
    </w:pPr>
    <w:rPr>
      <w:rFonts w:cs="Times New Roman"/>
      <w:kern w:val="0"/>
      <w:sz w:val="24"/>
    </w:rPr>
  </w:style>
  <w:style w:type="paragraph" w:styleId="19">
    <w:name w:val="annotation subject"/>
    <w:basedOn w:val="7"/>
    <w:next w:val="7"/>
    <w:link w:val="52"/>
    <w:semiHidden/>
    <w:unhideWhenUsed/>
    <w:qFormat/>
    <w:uiPriority w:val="99"/>
    <w:rPr>
      <w:b/>
      <w:bCs/>
    </w:rPr>
  </w:style>
  <w:style w:type="paragraph" w:styleId="20">
    <w:name w:val="Body Text First Indent"/>
    <w:basedOn w:val="8"/>
    <w:qFormat/>
    <w:uiPriority w:val="0"/>
    <w:pPr>
      <w:ind w:firstLine="567"/>
    </w:pPr>
  </w:style>
  <w:style w:type="paragraph" w:styleId="21">
    <w:name w:val="Body Text First Indent 2"/>
    <w:basedOn w:val="10"/>
    <w:qFormat/>
    <w:uiPriority w:val="0"/>
    <w:pPr>
      <w:ind w:firstLine="420" w:firstLineChars="200"/>
    </w:pPr>
    <w:rPr>
      <w:rFonts w:ascii="Calibri" w:hAnsi="Calibri" w:eastAsia="宋体" w:cs="Times New Roman"/>
      <w:sz w:val="32"/>
    </w:rPr>
  </w:style>
  <w:style w:type="table" w:styleId="23">
    <w:name w:val="Table Grid"/>
    <w:basedOn w:val="2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uiPriority w:val="99"/>
    <w:rPr>
      <w:rFonts w:cs="Times New Roman"/>
      <w:b/>
      <w:bCs/>
    </w:rPr>
  </w:style>
  <w:style w:type="character" w:styleId="26">
    <w:name w:val="Hyperlink"/>
    <w:basedOn w:val="24"/>
    <w:semiHidden/>
    <w:unhideWhenUsed/>
    <w:qFormat/>
    <w:uiPriority w:val="99"/>
    <w:rPr>
      <w:color w:val="0000FF"/>
      <w:u w:val="single"/>
    </w:rPr>
  </w:style>
  <w:style w:type="character" w:styleId="27">
    <w:name w:val="annotation reference"/>
    <w:basedOn w:val="24"/>
    <w:semiHidden/>
    <w:unhideWhenUsed/>
    <w:qFormat/>
    <w:uiPriority w:val="99"/>
    <w:rPr>
      <w:sz w:val="21"/>
      <w:szCs w:val="21"/>
    </w:rPr>
  </w:style>
  <w:style w:type="character" w:styleId="28">
    <w:name w:val="footnote reference"/>
    <w:basedOn w:val="24"/>
    <w:semiHidden/>
    <w:unhideWhenUsed/>
    <w:qFormat/>
    <w:uiPriority w:val="99"/>
    <w:rPr>
      <w:vertAlign w:val="superscript"/>
    </w:rPr>
  </w:style>
  <w:style w:type="paragraph" w:customStyle="1" w:styleId="29">
    <w:name w:val="表格"/>
    <w:next w:val="1"/>
    <w:qFormat/>
    <w:uiPriority w:val="0"/>
    <w:pPr>
      <w:adjustRightInd w:val="0"/>
      <w:jc w:val="center"/>
      <w:textAlignment w:val="baseline"/>
    </w:pPr>
    <w:rPr>
      <w:rFonts w:ascii="Times New Roman" w:hAnsi="Times New Roman" w:eastAsia="宋体" w:cstheme="minorBidi"/>
      <w:sz w:val="21"/>
      <w:lang w:val="en-US" w:eastAsia="zh-CN" w:bidi="ar-SA"/>
    </w:rPr>
  </w:style>
  <w:style w:type="paragraph" w:customStyle="1" w:styleId="3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1">
    <w:name w:val="WPSOffice手动目录 1"/>
    <w:qFormat/>
    <w:uiPriority w:val="0"/>
    <w:rPr>
      <w:rFonts w:ascii="Times New Roman" w:hAnsi="Times New Roman" w:eastAsia="宋体" w:cs="Times New Roman"/>
      <w:lang w:val="en-US" w:eastAsia="zh-CN" w:bidi="ar-SA"/>
    </w:rPr>
  </w:style>
  <w:style w:type="paragraph" w:customStyle="1" w:styleId="32">
    <w:name w:val="表头"/>
    <w:basedOn w:val="20"/>
    <w:next w:val="29"/>
    <w:qFormat/>
    <w:uiPriority w:val="0"/>
    <w:pPr>
      <w:adjustRightInd w:val="0"/>
      <w:spacing w:before="60" w:after="60"/>
      <w:ind w:firstLine="0"/>
      <w:jc w:val="center"/>
    </w:pPr>
    <w:rPr>
      <w:b/>
      <w:kern w:val="13"/>
      <w:u w:val="single"/>
    </w:rPr>
  </w:style>
  <w:style w:type="paragraph" w:customStyle="1" w:styleId="33">
    <w:name w:val="表标题"/>
    <w:qFormat/>
    <w:uiPriority w:val="0"/>
    <w:pPr>
      <w:tabs>
        <w:tab w:val="left" w:pos="0"/>
      </w:tabs>
      <w:adjustRightInd w:val="0"/>
      <w:snapToGrid w:val="0"/>
      <w:spacing w:line="360" w:lineRule="auto"/>
      <w:jc w:val="center"/>
    </w:pPr>
    <w:rPr>
      <w:rFonts w:ascii="Times New Roman" w:hAnsi="Times New Roman" w:eastAsia="宋体" w:cstheme="minorBidi"/>
      <w:b/>
      <w:sz w:val="24"/>
      <w:lang w:val="en-US" w:eastAsia="zh-CN" w:bidi="ar-SA"/>
    </w:rPr>
  </w:style>
  <w:style w:type="paragraph" w:customStyle="1" w:styleId="34">
    <w:name w:val="表格内容"/>
    <w:qFormat/>
    <w:uiPriority w:val="99"/>
    <w:pPr>
      <w:widowControl w:val="0"/>
      <w:jc w:val="center"/>
    </w:pPr>
    <w:rPr>
      <w:rFonts w:ascii="Times New Roman" w:hAnsi="Times New Roman" w:eastAsia="宋体" w:cs="Times New Roman"/>
      <w:sz w:val="21"/>
      <w:lang w:val="en-US" w:eastAsia="zh-CN" w:bidi="ar-SA"/>
    </w:rPr>
  </w:style>
  <w:style w:type="paragraph" w:customStyle="1" w:styleId="35">
    <w:name w:val="样式2"/>
    <w:basedOn w:val="1"/>
    <w:qFormat/>
    <w:uiPriority w:val="0"/>
    <w:pPr>
      <w:widowControl/>
      <w:shd w:val="clear" w:color="auto" w:fill="FFFFFF"/>
      <w:spacing w:before="100" w:beforeAutospacing="1" w:after="100" w:afterAutospacing="1"/>
      <w:ind w:left="562"/>
      <w:jc w:val="center"/>
    </w:pPr>
    <w:rPr>
      <w:rFonts w:ascii="宋体" w:hAnsi="宋体"/>
      <w:b/>
      <w:szCs w:val="21"/>
    </w:rPr>
  </w:style>
  <w:style w:type="character" w:customStyle="1" w:styleId="36">
    <w:name w:val="页脚 字符"/>
    <w:basedOn w:val="24"/>
    <w:semiHidden/>
    <w:qFormat/>
    <w:uiPriority w:val="99"/>
    <w:rPr>
      <w:sz w:val="18"/>
      <w:szCs w:val="18"/>
    </w:rPr>
  </w:style>
  <w:style w:type="character" w:customStyle="1" w:styleId="37">
    <w:name w:val="页脚 Char"/>
    <w:basedOn w:val="24"/>
    <w:link w:val="13"/>
    <w:qFormat/>
    <w:uiPriority w:val="0"/>
    <w:rPr>
      <w:sz w:val="18"/>
      <w:szCs w:val="18"/>
    </w:rPr>
  </w:style>
  <w:style w:type="paragraph" w:customStyle="1" w:styleId="38">
    <w:name w:val="标准文字"/>
    <w:basedOn w:val="1"/>
    <w:link w:val="39"/>
    <w:qFormat/>
    <w:uiPriority w:val="0"/>
    <w:pPr>
      <w:overflowPunct w:val="0"/>
      <w:spacing w:line="360" w:lineRule="auto"/>
      <w:ind w:firstLine="600" w:firstLineChars="200"/>
    </w:pPr>
    <w:rPr>
      <w:rFonts w:ascii="Times New Roman" w:hAnsi="Times New Roman" w:eastAsia="仿宋_GB2312" w:cs="Times New Roman"/>
      <w:sz w:val="30"/>
      <w:szCs w:val="30"/>
    </w:rPr>
  </w:style>
  <w:style w:type="character" w:customStyle="1" w:styleId="39">
    <w:name w:val="标准文字 Char"/>
    <w:link w:val="38"/>
    <w:qFormat/>
    <w:locked/>
    <w:uiPriority w:val="0"/>
    <w:rPr>
      <w:rFonts w:ascii="Times New Roman" w:hAnsi="Times New Roman" w:eastAsia="仿宋_GB2312" w:cs="Times New Roman"/>
      <w:sz w:val="30"/>
      <w:szCs w:val="30"/>
    </w:rPr>
  </w:style>
  <w:style w:type="character" w:customStyle="1" w:styleId="40">
    <w:name w:val="NormalCharacter"/>
    <w:qFormat/>
    <w:uiPriority w:val="0"/>
  </w:style>
  <w:style w:type="table" w:customStyle="1" w:styleId="41">
    <w:name w:val="TableGrid"/>
    <w:qFormat/>
    <w:uiPriority w:val="0"/>
    <w:tblPr>
      <w:tblCellMar>
        <w:top w:w="0" w:type="dxa"/>
        <w:left w:w="0" w:type="dxa"/>
        <w:bottom w:w="0" w:type="dxa"/>
        <w:right w:w="0" w:type="dxa"/>
      </w:tblCellMar>
    </w:tblPr>
  </w:style>
  <w:style w:type="character" w:customStyle="1" w:styleId="42">
    <w:name w:val="页眉 Char"/>
    <w:basedOn w:val="24"/>
    <w:link w:val="14"/>
    <w:qFormat/>
    <w:uiPriority w:val="99"/>
    <w:rPr>
      <w:sz w:val="18"/>
      <w:szCs w:val="18"/>
    </w:rPr>
  </w:style>
  <w:style w:type="character" w:customStyle="1" w:styleId="43">
    <w:name w:val="批注框文本 Char"/>
    <w:basedOn w:val="24"/>
    <w:link w:val="12"/>
    <w:semiHidden/>
    <w:qFormat/>
    <w:uiPriority w:val="99"/>
    <w:rPr>
      <w:sz w:val="18"/>
      <w:szCs w:val="18"/>
    </w:rPr>
  </w:style>
  <w:style w:type="paragraph" w:customStyle="1" w:styleId="44">
    <w:name w:val="表文字"/>
    <w:basedOn w:val="1"/>
    <w:qFormat/>
    <w:uiPriority w:val="0"/>
    <w:pPr>
      <w:jc w:val="center"/>
    </w:pPr>
    <w:rPr>
      <w:color w:val="000000"/>
      <w:sz w:val="21"/>
    </w:rPr>
  </w:style>
  <w:style w:type="paragraph" w:styleId="45">
    <w:name w:val="No Spacing"/>
    <w:qFormat/>
    <w:uiPriority w:val="1"/>
    <w:pPr>
      <w:widowControl w:val="0"/>
      <w:jc w:val="both"/>
    </w:pPr>
    <w:rPr>
      <w:rFonts w:ascii="Calibri" w:hAnsi="Calibri" w:eastAsia="宋体" w:cs="Times New Roman"/>
      <w:kern w:val="2"/>
      <w:sz w:val="21"/>
      <w:szCs w:val="22"/>
      <w:lang w:val="en-US" w:eastAsia="zh-CN" w:bidi="ar-SA"/>
    </w:rPr>
  </w:style>
  <w:style w:type="paragraph" w:styleId="46">
    <w:name w:val="List Paragraph"/>
    <w:basedOn w:val="1"/>
    <w:qFormat/>
    <w:uiPriority w:val="1"/>
    <w:pPr>
      <w:spacing w:before="161"/>
      <w:ind w:left="1281" w:hanging="602"/>
    </w:pPr>
    <w:rPr>
      <w:rFonts w:ascii="宋体" w:hAnsi="宋体" w:eastAsia="宋体" w:cs="宋体"/>
      <w:lang w:val="zh-CN" w:bidi="zh-CN"/>
    </w:rPr>
  </w:style>
  <w:style w:type="paragraph" w:customStyle="1" w:styleId="47">
    <w:name w:val="sheet"/>
    <w:basedOn w:val="1"/>
    <w:qFormat/>
    <w:uiPriority w:val="0"/>
    <w:pPr>
      <w:suppressAutoHyphens/>
      <w:topLinePunct/>
      <w:jc w:val="center"/>
    </w:pPr>
    <w:rPr>
      <w:rFonts w:ascii="Times New Roman"/>
      <w:sz w:val="21"/>
      <w:szCs w:val="21"/>
    </w:rPr>
  </w:style>
  <w:style w:type="paragraph" w:customStyle="1" w:styleId="48">
    <w:name w:val="表格正文"/>
    <w:qFormat/>
    <w:uiPriority w:val="0"/>
    <w:pPr>
      <w:adjustRightInd w:val="0"/>
      <w:snapToGrid w:val="0"/>
      <w:jc w:val="center"/>
    </w:pPr>
    <w:rPr>
      <w:rFonts w:ascii="Times New Roman" w:hAnsi="Times New Roman" w:eastAsia="宋体" w:cstheme="minorBidi"/>
      <w:sz w:val="21"/>
      <w:lang w:val="en-US" w:eastAsia="zh-CN" w:bidi="ar-SA"/>
    </w:rPr>
  </w:style>
  <w:style w:type="character" w:customStyle="1" w:styleId="49">
    <w:name w:val="文档结构图 Char"/>
    <w:basedOn w:val="24"/>
    <w:link w:val="6"/>
    <w:semiHidden/>
    <w:qFormat/>
    <w:uiPriority w:val="99"/>
    <w:rPr>
      <w:rFonts w:ascii="宋体" w:hAnsiTheme="minorHAnsi" w:cstheme="minorBidi"/>
      <w:kern w:val="2"/>
      <w:sz w:val="18"/>
      <w:szCs w:val="18"/>
    </w:rPr>
  </w:style>
  <w:style w:type="paragraph" w:customStyle="1" w:styleId="50">
    <w:name w:val="Table Paragraph"/>
    <w:qFormat/>
    <w:uiPriority w:val="1"/>
    <w:pPr>
      <w:widowControl w:val="0"/>
      <w:adjustRightInd w:val="0"/>
      <w:snapToGrid w:val="0"/>
      <w:jc w:val="both"/>
    </w:pPr>
    <w:rPr>
      <w:rFonts w:ascii="Times New Roman" w:hAnsi="Times New Roman" w:eastAsia="仿宋_GB2312" w:cs="仿宋"/>
      <w:kern w:val="2"/>
      <w:sz w:val="24"/>
      <w:szCs w:val="24"/>
      <w:lang w:val="en-US" w:eastAsia="zh-CN" w:bidi="ar-SA"/>
    </w:rPr>
  </w:style>
  <w:style w:type="character" w:customStyle="1" w:styleId="51">
    <w:name w:val="批注文字 Char"/>
    <w:basedOn w:val="24"/>
    <w:link w:val="7"/>
    <w:semiHidden/>
    <w:qFormat/>
    <w:uiPriority w:val="99"/>
    <w:rPr>
      <w:rFonts w:asciiTheme="minorHAnsi" w:hAnsiTheme="minorHAnsi" w:eastAsiaTheme="minorEastAsia" w:cstheme="minorBidi"/>
      <w:kern w:val="2"/>
      <w:sz w:val="28"/>
      <w:szCs w:val="22"/>
    </w:rPr>
  </w:style>
  <w:style w:type="character" w:customStyle="1" w:styleId="52">
    <w:name w:val="批注主题 Char"/>
    <w:basedOn w:val="51"/>
    <w:link w:val="19"/>
    <w:qFormat/>
    <w:uiPriority w:val="0"/>
  </w:style>
  <w:style w:type="paragraph" w:customStyle="1" w:styleId="53">
    <w:name w:val="7表格文字"/>
    <w:basedOn w:val="1"/>
    <w:qFormat/>
    <w:uiPriority w:val="0"/>
    <w:pPr>
      <w:jc w:val="center"/>
    </w:pPr>
    <w:rPr>
      <w:rFonts w:ascii="Times New Roman" w:hAnsi="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93C4D5-0E43-450E-AE89-A7FFC57DD90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6024</Words>
  <Characters>6529</Characters>
  <Lines>134</Lines>
  <Paragraphs>37</Paragraphs>
  <TotalTime>5</TotalTime>
  <ScaleCrop>false</ScaleCrop>
  <LinksUpToDate>false</LinksUpToDate>
  <CharactersWithSpaces>6575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2024-06-20T06:49:00Z</dcterms:created>
  <dc:creator>加菲猫</dc:creator>
  <cp:lastModifiedBy>1</cp:lastModifiedBy>
  <cp:lastPrinted>2021-03-22T09:47:00Z</cp:lastPrinted>
  <dcterms:modified xsi:type="dcterms:W3CDTF">2025-09-09T03:43:06Z</dcterms:modified>
  <dc:title>天易经开区</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6050A0A4944E4EC5B6DE6F7145DB9F6B</vt:lpwstr>
  </property>
  <property fmtid="{D5CDD505-2E9C-101B-9397-08002B2CF9AE}" pid="4" name="commondata">
    <vt:lpwstr>eyJoZGlkIjoiMmU3YTc0NDNhZjcxZjVkYjBkNDk3OTI3OTM3MzM5OTgifQ==</vt:lpwstr>
  </property>
  <property fmtid="{D5CDD505-2E9C-101B-9397-08002B2CF9AE}" pid="5" name="KSOTemplateDocerSaveRecord">
    <vt:lpwstr>eyJoZGlkIjoiYmQyMWFhMTFkNzBmNzRkYzY3M2Q2OWNmNmYwMWVkMmEiLCJ1c2VySWQiOiIyNjIxMTU5NDgifQ==</vt:lpwstr>
  </property>
</Properties>
</file>