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3FDB9">
      <w:pPr>
        <w:widowControl/>
        <w:spacing w:beforeLines="20" w:afterLines="10" w:line="540" w:lineRule="atLeast"/>
        <w:ind w:right="1280"/>
        <w:rPr>
          <w:rFonts w:ascii="仿宋" w:hAnsi="仿宋" w:eastAsia="仿宋" w:cs="仿宋"/>
          <w:color w:val="FF0000"/>
          <w:sz w:val="32"/>
          <w:szCs w:val="32"/>
        </w:rPr>
      </w:pPr>
    </w:p>
    <w:p w14:paraId="504EA0B6">
      <w:pPr>
        <w:widowControl/>
        <w:spacing w:beforeLines="20" w:afterLines="10" w:line="540" w:lineRule="atLeast"/>
        <w:ind w:right="1280"/>
        <w:rPr>
          <w:rFonts w:ascii="仿宋" w:hAnsi="仿宋" w:eastAsia="仿宋" w:cs="仿宋"/>
          <w:color w:val="FF0000"/>
          <w:sz w:val="32"/>
          <w:szCs w:val="32"/>
        </w:rPr>
      </w:pPr>
    </w:p>
    <w:p w14:paraId="4F33501A">
      <w:pPr>
        <w:widowControl/>
        <w:spacing w:beforeLines="20" w:afterLines="10" w:line="540" w:lineRule="atLeast"/>
        <w:jc w:val="right"/>
        <w:rPr>
          <w:rFonts w:ascii="仿宋" w:hAnsi="仿宋" w:eastAsia="仿宋" w:cs="仿宋"/>
          <w:sz w:val="32"/>
          <w:szCs w:val="32"/>
        </w:rPr>
      </w:pPr>
      <w:r>
        <w:rPr>
          <w:rFonts w:hint="eastAsia" w:ascii="仿宋" w:hAnsi="仿宋" w:eastAsia="仿宋" w:cs="仿宋"/>
          <w:sz w:val="32"/>
          <w:szCs w:val="32"/>
        </w:rPr>
        <w:t>潭环审(湘潭县)〔2025〕</w:t>
      </w:r>
      <w:r>
        <w:rPr>
          <w:rFonts w:hint="eastAsia" w:ascii="仿宋" w:hAnsi="仿宋" w:eastAsia="仿宋" w:cs="仿宋"/>
          <w:sz w:val="32"/>
          <w:szCs w:val="32"/>
          <w:lang w:val="en-US" w:eastAsia="zh-CN"/>
        </w:rPr>
        <w:t>29</w:t>
      </w:r>
      <w:r>
        <w:rPr>
          <w:rFonts w:hint="eastAsia" w:ascii="仿宋" w:hAnsi="仿宋" w:eastAsia="仿宋" w:cs="仿宋"/>
          <w:sz w:val="32"/>
          <w:szCs w:val="32"/>
        </w:rPr>
        <w:t>号</w:t>
      </w:r>
    </w:p>
    <w:p w14:paraId="3CFA3DDE">
      <w:pPr>
        <w:widowControl/>
        <w:spacing w:line="540" w:lineRule="atLeast"/>
        <w:jc w:val="right"/>
        <w:rPr>
          <w:rFonts w:ascii="仿宋" w:hAnsi="仿宋" w:eastAsia="仿宋" w:cs="仿宋"/>
          <w:color w:val="FF0000"/>
          <w:sz w:val="52"/>
          <w:szCs w:val="52"/>
        </w:rPr>
      </w:pPr>
    </w:p>
    <w:p w14:paraId="4332478D">
      <w:pPr>
        <w:spacing w:line="520" w:lineRule="exact"/>
        <w:ind w:right="-42" w:rightChars="-20"/>
        <w:jc w:val="center"/>
        <w:rPr>
          <w:rFonts w:ascii="宋体" w:hAnsi="宋体"/>
          <w:b/>
          <w:bCs/>
          <w:sz w:val="44"/>
          <w:szCs w:val="44"/>
        </w:rPr>
      </w:pPr>
      <w:r>
        <w:rPr>
          <w:rFonts w:hint="eastAsia" w:ascii="宋体" w:hAnsi="宋体"/>
          <w:b/>
          <w:bCs/>
          <w:sz w:val="44"/>
          <w:szCs w:val="44"/>
        </w:rPr>
        <w:t>关于《湘潭智宸新材料有限公司年产15万件PVC阴阳角线建设项目环境影响报告表》的</w:t>
      </w:r>
    </w:p>
    <w:p w14:paraId="2691BEA3">
      <w:pPr>
        <w:spacing w:line="520" w:lineRule="exact"/>
        <w:ind w:right="-42" w:rightChars="-20"/>
        <w:jc w:val="center"/>
        <w:rPr>
          <w:rFonts w:ascii="宋体" w:hAnsi="宋体"/>
          <w:b/>
          <w:bCs/>
          <w:sz w:val="44"/>
          <w:szCs w:val="44"/>
        </w:rPr>
      </w:pPr>
      <w:r>
        <w:rPr>
          <w:rFonts w:hint="eastAsia" w:ascii="宋体" w:hAnsi="宋体"/>
          <w:b/>
          <w:bCs/>
          <w:sz w:val="44"/>
          <w:szCs w:val="44"/>
        </w:rPr>
        <w:t>审批意见</w:t>
      </w:r>
    </w:p>
    <w:p w14:paraId="1A4B5167">
      <w:pPr>
        <w:spacing w:line="480" w:lineRule="exact"/>
        <w:ind w:right="-42" w:rightChars="-20"/>
        <w:jc w:val="center"/>
        <w:rPr>
          <w:rFonts w:hint="eastAsia" w:ascii="仿宋" w:hAnsi="仿宋" w:eastAsia="仿宋" w:cs="仿宋"/>
          <w:sz w:val="32"/>
          <w:szCs w:val="32"/>
        </w:rPr>
      </w:pPr>
    </w:p>
    <w:p w14:paraId="2138A4CD">
      <w:pPr>
        <w:spacing w:line="480" w:lineRule="exact"/>
        <w:rPr>
          <w:rFonts w:hint="eastAsia" w:ascii="仿宋" w:hAnsi="仿宋" w:eastAsia="仿宋" w:cs="仿宋"/>
          <w:sz w:val="32"/>
          <w:szCs w:val="32"/>
        </w:rPr>
      </w:pPr>
      <w:r>
        <w:rPr>
          <w:rFonts w:hint="eastAsia" w:ascii="仿宋" w:hAnsi="仿宋" w:eastAsia="仿宋" w:cs="仿宋"/>
          <w:sz w:val="32"/>
          <w:szCs w:val="32"/>
        </w:rPr>
        <w:t>湘潭智宸新材料有限公司：</w:t>
      </w:r>
    </w:p>
    <w:p w14:paraId="349CE25B">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你单位由湖南精威环保科技有限公司编制的《湘潭智宸新材料有限公司年产15万件PVC阴阳角线建设项目环境影响报告表》(以下简称报告表)及相关材料已收悉。经研究，批复如下：</w:t>
      </w:r>
    </w:p>
    <w:p w14:paraId="3F5FE321">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一、湘潭智宸新材料有限公司拟投资500万元，选址于湘潭天易经开区柏屹自主创新园二期10栋B已建标准化厂房，建设年产15万件PVC阴阳角线建设项目。项目总占地面积1509m</w:t>
      </w:r>
      <w:r>
        <w:rPr>
          <w:rFonts w:hint="eastAsia" w:ascii="仿宋" w:hAnsi="仿宋" w:eastAsia="仿宋" w:cs="仿宋"/>
          <w:sz w:val="32"/>
          <w:szCs w:val="32"/>
          <w:vertAlign w:val="superscript"/>
        </w:rPr>
        <w:t>2</w:t>
      </w:r>
      <w:r>
        <w:rPr>
          <w:rFonts w:hint="eastAsia" w:ascii="仿宋" w:hAnsi="仿宋" w:eastAsia="仿宋" w:cs="仿宋"/>
          <w:sz w:val="32"/>
          <w:szCs w:val="32"/>
        </w:rPr>
        <w:t>，总建筑面积1750m</w:t>
      </w:r>
      <w:r>
        <w:rPr>
          <w:rFonts w:hint="eastAsia" w:ascii="仿宋" w:hAnsi="仿宋" w:eastAsia="仿宋" w:cs="仿宋"/>
          <w:sz w:val="32"/>
          <w:szCs w:val="32"/>
          <w:vertAlign w:val="superscript"/>
        </w:rPr>
        <w:t>2</w:t>
      </w:r>
      <w:r>
        <w:rPr>
          <w:rFonts w:hint="eastAsia" w:ascii="仿宋" w:hAnsi="仿宋" w:eastAsia="仿宋" w:cs="仿宋"/>
          <w:sz w:val="32"/>
          <w:szCs w:val="32"/>
        </w:rPr>
        <w:t>。主要建设内容包括：生产车间、办公区、仓库等配套环保工程。主要产品方案及规模包括：阴阳角线15万件/a。主要生产设备包括：混料机1台、螺杆输送机2台、破碎机1台、料仓1座、供料系统1套、双螺杆挤出机10台、成型机10台、牵引机10台、打孔机10台、裁切机10台、包装机2等环保设备。料包括：聚氯乙烯树脂950t/a、碳酸钙2600t/a、石蜡16t/a、硬脂酸8t/a、钙锌复合稳定剂30t/a、增白剂1t/a、色粉0.1518t/a、水900m</w:t>
      </w:r>
      <w:r>
        <w:rPr>
          <w:rFonts w:hint="eastAsia" w:ascii="仿宋" w:hAnsi="仿宋" w:eastAsia="仿宋" w:cs="仿宋"/>
          <w:sz w:val="32"/>
          <w:szCs w:val="32"/>
          <w:vertAlign w:val="superscript"/>
        </w:rPr>
        <w:t>3</w:t>
      </w:r>
      <w:r>
        <w:rPr>
          <w:rFonts w:hint="eastAsia" w:ascii="仿宋" w:hAnsi="仿宋" w:eastAsia="仿宋" w:cs="仿宋"/>
          <w:sz w:val="32"/>
          <w:szCs w:val="32"/>
        </w:rPr>
        <w:t>/a、电12万kW•h/a等。主要生产工艺流程包括：投料、混料、挤出成型、冷却、打孔、裁切、包装等。</w:t>
      </w:r>
    </w:p>
    <w:p w14:paraId="179D3462">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该项目符合国家相关产业政策，根据天易经开区联合预审会议纪要和环评结论，经现场勘察，从环境保护的角度分析，同意该项目按报告表中所列内容进行建设。</w:t>
      </w:r>
    </w:p>
    <w:p w14:paraId="0E42BDC6">
      <w:pPr>
        <w:spacing w:line="480" w:lineRule="exact"/>
        <w:ind w:firstLine="645"/>
        <w:rPr>
          <w:rFonts w:hint="eastAsia" w:ascii="仿宋" w:hAnsi="仿宋" w:eastAsia="仿宋" w:cs="仿宋"/>
          <w:sz w:val="32"/>
          <w:szCs w:val="32"/>
        </w:rPr>
      </w:pPr>
      <w:r>
        <w:rPr>
          <w:rFonts w:hint="eastAsia" w:ascii="仿宋" w:hAnsi="仿宋" w:eastAsia="仿宋" w:cs="仿宋"/>
          <w:sz w:val="32"/>
          <w:szCs w:val="32"/>
        </w:rPr>
        <w:t>二、在项目营运期间，建设单位必须认真落实环评报告表中提出的各项环保要求，落实环保“三同时”措施，确保各项污染物稳定达标排放，并须着重做好以下工作：</w:t>
      </w:r>
    </w:p>
    <w:p w14:paraId="4AB23FF5">
      <w:pPr>
        <w:pStyle w:val="24"/>
        <w:autoSpaceDE/>
        <w:autoSpaceDN/>
        <w:spacing w:line="480" w:lineRule="exact"/>
        <w:ind w:firstLine="640" w:firstLineChars="200"/>
        <w:rPr>
          <w:rFonts w:hint="eastAsia" w:ascii="仿宋" w:hAnsi="仿宋" w:eastAsia="仿宋" w:cs="仿宋"/>
          <w:color w:val="FF0000"/>
          <w:sz w:val="32"/>
          <w:szCs w:val="32"/>
        </w:rPr>
      </w:pPr>
      <w:r>
        <w:rPr>
          <w:rFonts w:hint="eastAsia" w:ascii="仿宋" w:hAnsi="仿宋" w:eastAsia="仿宋" w:cs="仿宋"/>
          <w:color w:val="auto"/>
          <w:sz w:val="32"/>
          <w:szCs w:val="32"/>
        </w:rPr>
        <w:t>1、废气污染防治工作。厂区内必须使用天然气、液化气或电等清洁能源。对厂区内地面及时进行清扫，原料及产品须入库放置，不得露天堆放。混料、破碎工序产生的粉尘</w:t>
      </w:r>
      <w:bookmarkStart w:id="0" w:name="OLE_LINK108"/>
      <w:bookmarkStart w:id="1" w:name="OLE_LINK109"/>
      <w:r>
        <w:rPr>
          <w:rFonts w:hint="eastAsia" w:ascii="仿宋" w:hAnsi="仿宋" w:eastAsia="仿宋" w:cs="仿宋"/>
          <w:color w:val="auto"/>
          <w:sz w:val="32"/>
          <w:szCs w:val="32"/>
        </w:rPr>
        <w:t>经集气罩收集，采取脉冲袋式除尘器处理后，通过1根不低于15米高排气筒（DA001）高空排放；</w:t>
      </w:r>
      <w:bookmarkEnd w:id="0"/>
      <w:bookmarkEnd w:id="1"/>
      <w:r>
        <w:rPr>
          <w:rFonts w:hint="eastAsia" w:ascii="仿宋" w:hAnsi="仿宋" w:eastAsia="仿宋" w:cs="仿宋"/>
          <w:color w:val="auto"/>
          <w:sz w:val="32"/>
          <w:szCs w:val="32"/>
        </w:rPr>
        <w:t>熔融挤出工序产生的有机废气经集气罩收集，采取活性炭吸附处理后，通过1根不低于15米高排气筒（DA002）高空排放；颗粒物</w:t>
      </w:r>
      <w:bookmarkStart w:id="2" w:name="OLE_LINK118"/>
      <w:bookmarkStart w:id="3" w:name="OLE_LINK119"/>
      <w:r>
        <w:rPr>
          <w:rFonts w:hint="eastAsia" w:ascii="仿宋" w:hAnsi="仿宋" w:eastAsia="仿宋" w:cs="仿宋"/>
          <w:color w:val="auto"/>
          <w:sz w:val="32"/>
          <w:szCs w:val="32"/>
        </w:rPr>
        <w:t>、</w:t>
      </w:r>
      <w:bookmarkStart w:id="4" w:name="OLE_LINK116"/>
      <w:bookmarkStart w:id="5" w:name="OLE_LINK117"/>
      <w:r>
        <w:rPr>
          <w:rFonts w:hint="eastAsia" w:ascii="仿宋" w:hAnsi="仿宋" w:eastAsia="仿宋" w:cs="仿宋"/>
          <w:color w:val="auto"/>
          <w:sz w:val="32"/>
          <w:szCs w:val="32"/>
        </w:rPr>
        <w:t>非甲烷总烃、氯乙烯</w:t>
      </w:r>
      <w:bookmarkEnd w:id="2"/>
      <w:bookmarkEnd w:id="3"/>
      <w:bookmarkEnd w:id="4"/>
      <w:bookmarkEnd w:id="5"/>
      <w:r>
        <w:rPr>
          <w:rFonts w:hint="eastAsia" w:ascii="仿宋" w:hAnsi="仿宋" w:eastAsia="仿宋" w:cs="仿宋"/>
          <w:color w:val="auto"/>
          <w:sz w:val="32"/>
          <w:szCs w:val="32"/>
        </w:rPr>
        <w:t>排放浓度确保达到《大气污染物综合排放标准》（GB16297-1996) 表2中二级标准限值，臭气浓度达到《恶臭污染物排放标准》（GB14554-93）表2中恶臭污染物排放标准限值。厂界颗粒物、非甲烷总烃、氯乙烯确保达到《大气污染物综合排放标准》（GB16297-1996）表2中无组织排放监控浓度限值，臭气浓度无组织达到《恶臭污染物排放标准》（GB14554-93）表1中二级新改扩建限值要求。</w:t>
      </w:r>
    </w:p>
    <w:p w14:paraId="74E2D482">
      <w:pPr>
        <w:pStyle w:val="24"/>
        <w:autoSpaceDE/>
        <w:autoSpaceDN/>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废水污染防治工作。按照“雨污分流”的原则建设厂区排水管网。定型冷却水循环使用，不外排。生活污水经隔油、化粪池处理后，确保达到《污水综合排放标准》(GB8978-1996)表4中三级标准和湘潭县第一污水处理厂进水水质接纳标准后排入城市污水管网。</w:t>
      </w:r>
    </w:p>
    <w:p w14:paraId="680E46C6">
      <w:pPr>
        <w:pStyle w:val="24"/>
        <w:autoSpaceDE/>
        <w:autoSpaceDN/>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3、噪声污染防治工作。优化厂区内设备布局，选用低噪声设备，并采取隔音、降噪和减震等措施，确保厂界噪声达到《工业企业厂界环境噪声排放标准》（GB12348-2008）中3类标准</w:t>
      </w:r>
    </w:p>
    <w:p w14:paraId="6BA78493">
      <w:pPr>
        <w:pStyle w:val="24"/>
        <w:autoSpaceDE/>
        <w:autoSpaceDN/>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固体废物污染防治工作。不合格品、边角料、除尘器收集粉尘、冷却池沉渣、地面清扫粉尘集中收集后，作为原料回用于生产工序；废包装袋、废滤网、挤出成型过程中产生的杂质经分类收集后，外售回收单位综合利用。废润滑油、废润滑油桶、废活性炭、含油抹布手套等危险废物，须按照《危险废物贮存污染控制标准》（GB/18597-2023）要求进行收集贮存后，交由资质单位进行处理并报县分局备案，危废暂存间须按相关要求设置并建立相关台账，规范设立标识标牌等；生活垃圾分类收集后，定期交由环卫部门妥善处理。</w:t>
      </w:r>
    </w:p>
    <w:p w14:paraId="2DF05EC7">
      <w:pPr>
        <w:spacing w:line="480" w:lineRule="exact"/>
        <w:ind w:firstLine="640" w:firstLineChars="200"/>
        <w:rPr>
          <w:rFonts w:hint="eastAsia" w:ascii="仿宋" w:hAnsi="仿宋" w:eastAsia="仿宋" w:cs="仿宋"/>
          <w:color w:val="FF0000"/>
          <w:sz w:val="32"/>
          <w:szCs w:val="32"/>
        </w:rPr>
      </w:pPr>
      <w:r>
        <w:rPr>
          <w:rFonts w:hint="eastAsia" w:ascii="仿宋" w:hAnsi="仿宋" w:eastAsia="仿宋" w:cs="仿宋"/>
          <w:sz w:val="32"/>
          <w:szCs w:val="32"/>
        </w:rPr>
        <w:t>5、环境风险防范工作。严格履行建设单位环保主体责任，提高清洁生产水平，加强生产和环保管理，安排环保专员负责环保设施运转维护。建立健全污染事故应急处理和定期监测制度，落实事故风险防范措施，切实防范各类环境风险事故。</w:t>
      </w:r>
    </w:p>
    <w:p w14:paraId="5C30EBEB">
      <w:pPr>
        <w:pStyle w:val="19"/>
        <w:shd w:val="clear" w:color="auto" w:fill="FFFFFF"/>
        <w:spacing w:before="0" w:beforeAutospacing="0" w:after="0" w:afterAutospacing="0" w:line="48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三、根据湘潭市生态环境局总量部门核定，该项目实施后，主要污染物排放总量为：VOCs≤0.825</w:t>
      </w:r>
      <w:bookmarkStart w:id="6" w:name="OLE_LINK121"/>
      <w:bookmarkStart w:id="7" w:name="OLE_LINK120"/>
      <w:r>
        <w:rPr>
          <w:rFonts w:hint="eastAsia" w:ascii="仿宋" w:hAnsi="仿宋" w:eastAsia="仿宋" w:cs="仿宋"/>
          <w:sz w:val="32"/>
          <w:szCs w:val="32"/>
        </w:rPr>
        <w:t>t/a</w:t>
      </w:r>
      <w:bookmarkEnd w:id="6"/>
      <w:bookmarkEnd w:id="7"/>
      <w:r>
        <w:rPr>
          <w:rFonts w:hint="eastAsia" w:ascii="仿宋" w:hAnsi="仿宋" w:eastAsia="仿宋" w:cs="仿宋"/>
          <w:sz w:val="32"/>
          <w:szCs w:val="32"/>
        </w:rPr>
        <w:t>（其中有组织0.225 t/a）。</w:t>
      </w:r>
    </w:p>
    <w:p w14:paraId="5BDC0B89">
      <w:pPr>
        <w:spacing w:line="480" w:lineRule="exact"/>
        <w:ind w:firstLine="640" w:firstLineChars="200"/>
        <w:rPr>
          <w:rFonts w:hint="eastAsia" w:ascii="仿宋" w:hAnsi="仿宋" w:eastAsia="仿宋" w:cs="仿宋"/>
          <w:sz w:val="32"/>
          <w:szCs w:val="32"/>
          <w:shd w:val="clear" w:color="050000" w:fill="auto"/>
        </w:rPr>
      </w:pPr>
      <w:r>
        <w:rPr>
          <w:rFonts w:hint="eastAsia" w:ascii="仿宋" w:hAnsi="仿宋" w:eastAsia="仿宋" w:cs="仿宋"/>
          <w:sz w:val="32"/>
          <w:szCs w:val="32"/>
          <w:shd w:val="clear" w:color="050000" w:fill="auto"/>
        </w:rPr>
        <w:t>四、</w:t>
      </w:r>
      <w:r>
        <w:rPr>
          <w:rFonts w:hint="eastAsia" w:ascii="仿宋" w:hAnsi="仿宋" w:eastAsia="仿宋" w:cs="仿宋"/>
          <w:sz w:val="32"/>
          <w:szCs w:val="32"/>
        </w:rPr>
        <w:t>项目启动生产设施或实际排污之前，须取得排污许可手续，并按照规定依法开展竣工环境保护验收工作。</w:t>
      </w:r>
    </w:p>
    <w:p w14:paraId="53940507">
      <w:pPr>
        <w:spacing w:line="480" w:lineRule="exact"/>
        <w:ind w:firstLine="640" w:firstLineChars="200"/>
        <w:rPr>
          <w:rFonts w:hint="eastAsia" w:ascii="仿宋" w:hAnsi="仿宋" w:eastAsia="仿宋" w:cs="仿宋"/>
          <w:sz w:val="32"/>
          <w:szCs w:val="32"/>
          <w:shd w:val="clear" w:color="050000" w:fill="auto"/>
        </w:rPr>
      </w:pPr>
      <w:r>
        <w:rPr>
          <w:rFonts w:hint="eastAsia" w:ascii="仿宋" w:hAnsi="仿宋" w:eastAsia="仿宋" w:cs="仿宋"/>
          <w:sz w:val="32"/>
          <w:szCs w:val="32"/>
          <w:shd w:val="clear" w:color="050000" w:fill="auto"/>
        </w:rPr>
        <w:t>五</w:t>
      </w:r>
      <w:r>
        <w:rPr>
          <w:rFonts w:hint="eastAsia" w:ascii="仿宋" w:hAnsi="仿宋" w:eastAsia="仿宋" w:cs="仿宋"/>
          <w:sz w:val="32"/>
          <w:szCs w:val="32"/>
        </w:rPr>
        <w:t>、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348E22DA">
      <w:pPr>
        <w:pStyle w:val="15"/>
        <w:tabs>
          <w:tab w:val="clear" w:pos="4153"/>
          <w:tab w:val="clear" w:pos="8306"/>
        </w:tabs>
        <w:spacing w:line="480" w:lineRule="exact"/>
        <w:rPr>
          <w:rFonts w:hint="eastAsia" w:ascii="仿宋" w:hAnsi="仿宋" w:eastAsia="仿宋" w:cs="仿宋"/>
          <w:color w:val="FF0000"/>
          <w:sz w:val="32"/>
          <w:szCs w:val="32"/>
        </w:rPr>
      </w:pPr>
    </w:p>
    <w:p w14:paraId="590748F2">
      <w:pPr>
        <w:pStyle w:val="15"/>
        <w:tabs>
          <w:tab w:val="clear" w:pos="4153"/>
          <w:tab w:val="clear" w:pos="8306"/>
        </w:tabs>
        <w:spacing w:line="480" w:lineRule="exact"/>
        <w:rPr>
          <w:rFonts w:hint="eastAsia" w:ascii="仿宋" w:hAnsi="仿宋" w:eastAsia="仿宋" w:cs="仿宋"/>
          <w:color w:val="FF0000"/>
          <w:sz w:val="32"/>
          <w:szCs w:val="32"/>
        </w:rPr>
      </w:pPr>
      <w:bookmarkStart w:id="8" w:name="_GoBack"/>
      <w:bookmarkEnd w:id="8"/>
    </w:p>
    <w:p w14:paraId="30E7DEF8">
      <w:pPr>
        <w:pStyle w:val="15"/>
        <w:tabs>
          <w:tab w:val="clear" w:pos="4153"/>
          <w:tab w:val="clear" w:pos="8306"/>
        </w:tabs>
        <w:spacing w:line="480" w:lineRule="exact"/>
        <w:rPr>
          <w:rFonts w:hint="eastAsia" w:ascii="仿宋" w:hAnsi="仿宋" w:eastAsia="仿宋" w:cs="仿宋"/>
          <w:kern w:val="1"/>
          <w:sz w:val="32"/>
          <w:szCs w:val="32"/>
          <w:lang w:val="en-US" w:eastAsia="zh-CN" w:bidi="ar-SA"/>
        </w:rPr>
      </w:pPr>
    </w:p>
    <w:p w14:paraId="59A2175F">
      <w:pPr>
        <w:spacing w:line="480" w:lineRule="exact"/>
        <w:ind w:right="640" w:firstLine="5280" w:firstLineChars="1650"/>
        <w:rPr>
          <w:rFonts w:hint="eastAsia" w:ascii="仿宋" w:hAnsi="仿宋" w:eastAsia="仿宋" w:cs="仿宋"/>
          <w:kern w:val="1"/>
          <w:sz w:val="32"/>
          <w:szCs w:val="32"/>
          <w:lang w:val="en-US" w:eastAsia="zh-CN" w:bidi="ar-SA"/>
        </w:rPr>
      </w:pPr>
      <w:r>
        <w:rPr>
          <w:rFonts w:hint="eastAsia" w:ascii="仿宋" w:hAnsi="仿宋" w:eastAsia="仿宋" w:cs="仿宋"/>
          <w:kern w:val="1"/>
          <w:sz w:val="32"/>
          <w:szCs w:val="32"/>
          <w:lang w:val="en-US" w:eastAsia="zh-CN" w:bidi="ar-SA"/>
        </w:rPr>
        <w:t xml:space="preserve">   （盖 章）</w:t>
      </w:r>
    </w:p>
    <w:p w14:paraId="6863023E">
      <w:pPr>
        <w:spacing w:line="480" w:lineRule="exact"/>
        <w:ind w:right="640"/>
        <w:jc w:val="center"/>
        <w:rPr>
          <w:rFonts w:hint="eastAsia" w:ascii="仿宋" w:hAnsi="仿宋" w:eastAsia="仿宋" w:cs="仿宋"/>
          <w:kern w:val="1"/>
          <w:sz w:val="32"/>
          <w:szCs w:val="32"/>
          <w:lang w:val="en-US" w:eastAsia="zh-CN" w:bidi="ar-SA"/>
        </w:rPr>
      </w:pPr>
      <w:r>
        <w:rPr>
          <w:rFonts w:hint="eastAsia" w:ascii="仿宋" w:hAnsi="仿宋" w:eastAsia="仿宋" w:cs="仿宋"/>
          <w:kern w:val="1"/>
          <w:sz w:val="32"/>
          <w:szCs w:val="32"/>
          <w:lang w:val="en-US" w:eastAsia="zh-CN" w:bidi="ar-SA"/>
        </w:rPr>
        <w:t xml:space="preserve">                            2025年9月9日</w:t>
      </w:r>
    </w:p>
    <w:sectPr>
      <w:footerReference r:id="rId6" w:type="first"/>
      <w:headerReference r:id="rId3" w:type="default"/>
      <w:footerReference r:id="rId4" w:type="default"/>
      <w:footerReference r:id="rId5" w:type="even"/>
      <w:pgSz w:w="11906" w:h="16838"/>
      <w:pgMar w:top="1644" w:right="1474" w:bottom="1474"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4D814">
    <w:pPr>
      <w:pStyle w:val="15"/>
      <w:tabs>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7CA48">
    <w:pPr>
      <w:pStyle w:val="15"/>
      <w:framePr w:wrap="around" w:vAnchor="text" w:hAnchor="margin" w:xAlign="center" w:y="1"/>
      <w:tabs>
        <w:tab w:val="clear" w:pos="4153"/>
        <w:tab w:val="clear" w:pos="8306"/>
      </w:tabs>
    </w:pPr>
    <w:r>
      <w:fldChar w:fldCharType="begin"/>
    </w:r>
    <w:r>
      <w:rPr>
        <w:rStyle w:val="23"/>
      </w:rPr>
      <w:instrText xml:space="preserve">PAGE  </w:instrText>
    </w:r>
    <w:r>
      <w:fldChar w:fldCharType="end"/>
    </w:r>
  </w:p>
  <w:p w14:paraId="114E4E7C">
    <w:pPr>
      <w:pStyle w:val="15"/>
      <w:tabs>
        <w:tab w:val="clear" w:pos="4153"/>
        <w:tab w:val="clear" w:pos="8306"/>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728E7">
    <w:pPr>
      <w:pStyle w:val="15"/>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540C2">
    <w:pPr>
      <w:pStyle w:val="17"/>
      <w:pBdr>
        <w:bottom w:val="none" w:color="auto"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2"/>
  </w:compat>
  <w:rsids>
    <w:rsidRoot w:val="008450D2"/>
    <w:rsid w:val="000126F3"/>
    <w:rsid w:val="000D5D86"/>
    <w:rsid w:val="000E76CC"/>
    <w:rsid w:val="00123C4C"/>
    <w:rsid w:val="00230D3A"/>
    <w:rsid w:val="002A2097"/>
    <w:rsid w:val="002A4E02"/>
    <w:rsid w:val="003720A0"/>
    <w:rsid w:val="00555367"/>
    <w:rsid w:val="0056003A"/>
    <w:rsid w:val="005A33A3"/>
    <w:rsid w:val="005C7B78"/>
    <w:rsid w:val="007B5683"/>
    <w:rsid w:val="008450D2"/>
    <w:rsid w:val="008A7152"/>
    <w:rsid w:val="008F2470"/>
    <w:rsid w:val="00982466"/>
    <w:rsid w:val="009F3B23"/>
    <w:rsid w:val="00A54917"/>
    <w:rsid w:val="00A67E03"/>
    <w:rsid w:val="00A83EA8"/>
    <w:rsid w:val="00AB0577"/>
    <w:rsid w:val="00AE6660"/>
    <w:rsid w:val="00B57E4A"/>
    <w:rsid w:val="00C80CD2"/>
    <w:rsid w:val="00C956E1"/>
    <w:rsid w:val="00D53288"/>
    <w:rsid w:val="00D6303C"/>
    <w:rsid w:val="00E23AD6"/>
    <w:rsid w:val="00E4221F"/>
    <w:rsid w:val="00EF57A9"/>
    <w:rsid w:val="00F243BE"/>
    <w:rsid w:val="00F321F3"/>
    <w:rsid w:val="00FD3907"/>
    <w:rsid w:val="0BB26A63"/>
    <w:rsid w:val="13F24102"/>
    <w:rsid w:val="34260F9E"/>
    <w:rsid w:val="53C573A9"/>
    <w:rsid w:val="70051865"/>
    <w:rsid w:val="72EE6C9D"/>
    <w:rsid w:val="7B52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snapToGrid w:val="0"/>
      <w:spacing w:line="480" w:lineRule="exact"/>
      <w:ind w:firstLine="200" w:firstLineChars="200"/>
    </w:pPr>
    <w:rPr>
      <w:sz w:val="24"/>
      <w:szCs w:val="24"/>
    </w:rPr>
  </w:style>
  <w:style w:type="paragraph" w:customStyle="1" w:styleId="3">
    <w:name w:val="正文缩进1"/>
    <w:basedOn w:val="1"/>
    <w:qFormat/>
    <w:uiPriority w:val="0"/>
    <w:pPr>
      <w:spacing w:line="0" w:lineRule="atLeast"/>
      <w:ind w:firstLine="420"/>
    </w:pPr>
    <w:rPr>
      <w:szCs w:val="20"/>
    </w:rPr>
  </w:style>
  <w:style w:type="paragraph" w:styleId="4">
    <w:name w:val="Normal Indent"/>
    <w:qFormat/>
    <w:uiPriority w:val="0"/>
    <w:pPr>
      <w:widowControl w:val="0"/>
      <w:spacing w:line="0" w:lineRule="atLeast"/>
      <w:ind w:firstLine="420"/>
      <w:jc w:val="both"/>
    </w:pPr>
    <w:rPr>
      <w:rFonts w:ascii="Calibri" w:hAnsi="Calibri" w:eastAsia="宋体" w:cs="Times New Roman"/>
      <w:kern w:val="2"/>
      <w:sz w:val="21"/>
      <w:lang w:val="en-US" w:eastAsia="zh-CN"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8">
    <w:name w:val="默认段落字体1"/>
    <w:semiHidden/>
    <w:qFormat/>
    <w:uiPriority w:val="0"/>
  </w:style>
  <w:style w:type="table" w:customStyle="1" w:styleId="9">
    <w:name w:val="普通表格1"/>
    <w:semiHidden/>
    <w:qFormat/>
    <w:uiPriority w:val="0"/>
    <w:tblPr>
      <w:tblCellMar>
        <w:top w:w="0" w:type="dxa"/>
        <w:left w:w="0" w:type="dxa"/>
        <w:bottom w:w="0" w:type="dxa"/>
        <w:right w:w="0" w:type="dxa"/>
      </w:tblCellMar>
    </w:tblPr>
  </w:style>
  <w:style w:type="paragraph" w:customStyle="1" w:styleId="10">
    <w:name w:val="正文文本1"/>
    <w:qFormat/>
    <w:uiPriority w:val="0"/>
    <w:pPr>
      <w:widowControl w:val="0"/>
      <w:spacing w:line="460" w:lineRule="exact"/>
      <w:jc w:val="center"/>
    </w:pPr>
    <w:rPr>
      <w:rFonts w:ascii="宋体" w:hAnsi="Calibri" w:eastAsia="宋体" w:cs="Times New Roman"/>
      <w:spacing w:val="6"/>
      <w:kern w:val="2"/>
      <w:sz w:val="28"/>
      <w:lang w:val="en-US" w:eastAsia="zh-CN" w:bidi="ar-SA"/>
    </w:rPr>
  </w:style>
  <w:style w:type="paragraph" w:customStyle="1" w:styleId="11">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2">
    <w:name w:val="正文文本缩进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customStyle="1" w:styleId="13">
    <w:name w:val="批注框文本1"/>
    <w:basedOn w:val="1"/>
    <w:link w:val="14"/>
    <w:qFormat/>
    <w:uiPriority w:val="0"/>
    <w:rPr>
      <w:sz w:val="18"/>
      <w:szCs w:val="18"/>
    </w:rPr>
  </w:style>
  <w:style w:type="character" w:customStyle="1" w:styleId="14">
    <w:name w:val="批注框文本 Char"/>
    <w:link w:val="13"/>
    <w:qFormat/>
    <w:uiPriority w:val="0"/>
    <w:rPr>
      <w:rFonts w:ascii="Calibri" w:hAnsi="Calibri"/>
      <w:kern w:val="2"/>
      <w:sz w:val="18"/>
      <w:szCs w:val="18"/>
    </w:rPr>
  </w:style>
  <w:style w:type="paragraph" w:customStyle="1" w:styleId="15">
    <w:name w:val="页脚1"/>
    <w:link w:val="16"/>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character" w:customStyle="1" w:styleId="16">
    <w:name w:val="页脚 Char"/>
    <w:link w:val="15"/>
    <w:qFormat/>
    <w:uiPriority w:val="0"/>
    <w:rPr>
      <w:rFonts w:ascii="Calibri" w:hAnsi="Calibri"/>
      <w:kern w:val="2"/>
      <w:sz w:val="18"/>
      <w:szCs w:val="18"/>
      <w:lang w:bidi="ar-SA"/>
    </w:rPr>
  </w:style>
  <w:style w:type="paragraph" w:customStyle="1" w:styleId="17">
    <w:name w:val="页眉1"/>
    <w:link w:val="18"/>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character" w:customStyle="1" w:styleId="18">
    <w:name w:val="页眉 Char"/>
    <w:link w:val="17"/>
    <w:qFormat/>
    <w:uiPriority w:val="0"/>
    <w:rPr>
      <w:rFonts w:ascii="Calibri" w:hAnsi="Calibri"/>
      <w:kern w:val="2"/>
      <w:sz w:val="18"/>
      <w:szCs w:val="18"/>
      <w:lang w:bidi="ar-SA"/>
    </w:rPr>
  </w:style>
  <w:style w:type="paragraph" w:customStyle="1" w:styleId="19">
    <w:name w:val="普通(网站)1"/>
    <w:basedOn w:val="1"/>
    <w:link w:val="20"/>
    <w:qFormat/>
    <w:uiPriority w:val="0"/>
    <w:pPr>
      <w:widowControl/>
      <w:spacing w:before="100" w:beforeAutospacing="1" w:after="100" w:afterAutospacing="1"/>
      <w:jc w:val="left"/>
    </w:pPr>
    <w:rPr>
      <w:rFonts w:ascii="宋体" w:hAnsi="宋体"/>
      <w:kern w:val="0"/>
      <w:sz w:val="24"/>
    </w:rPr>
  </w:style>
  <w:style w:type="character" w:customStyle="1" w:styleId="20">
    <w:name w:val="普通(网站) Char"/>
    <w:link w:val="19"/>
    <w:qFormat/>
    <w:uiPriority w:val="0"/>
    <w:rPr>
      <w:rFonts w:ascii="宋体" w:hAnsi="宋体"/>
      <w:sz w:val="24"/>
      <w:szCs w:val="24"/>
    </w:rPr>
  </w:style>
  <w:style w:type="paragraph" w:customStyle="1" w:styleId="21">
    <w:name w:val="正文首行缩进1"/>
    <w:qFormat/>
    <w:uiPriority w:val="0"/>
    <w:pPr>
      <w:widowControl w:val="0"/>
      <w:overflowPunct w:val="0"/>
      <w:autoSpaceDE w:val="0"/>
      <w:autoSpaceDN w:val="0"/>
      <w:spacing w:line="360" w:lineRule="auto"/>
      <w:ind w:firstLine="539"/>
      <w:jc w:val="center"/>
    </w:pPr>
    <w:rPr>
      <w:rFonts w:ascii="宋体" w:hAnsi="Calibri" w:eastAsia="宋体" w:cs="Times New Roman"/>
      <w:spacing w:val="6"/>
      <w:sz w:val="28"/>
      <w:lang w:val="en-US" w:eastAsia="zh-CN" w:bidi="ar-SA"/>
    </w:rPr>
  </w:style>
  <w:style w:type="paragraph" w:customStyle="1" w:styleId="22">
    <w:name w:val="正文首行缩进 21"/>
    <w:qFormat/>
    <w:uiPriority w:val="0"/>
    <w:pPr>
      <w:widowControl w:val="0"/>
      <w:spacing w:after="120" w:line="360" w:lineRule="auto"/>
      <w:ind w:left="200" w:leftChars="200" w:firstLine="1446" w:firstLineChars="200"/>
      <w:jc w:val="both"/>
    </w:pPr>
    <w:rPr>
      <w:rFonts w:ascii="Times New Roman" w:hAnsi="Times New Roman" w:eastAsia="宋体" w:cs="Times New Roman"/>
      <w:kern w:val="2"/>
      <w:sz w:val="21"/>
      <w:szCs w:val="24"/>
      <w:lang w:val="en-US" w:eastAsia="zh-CN" w:bidi="ar-SA"/>
    </w:rPr>
  </w:style>
  <w:style w:type="character" w:customStyle="1" w:styleId="23">
    <w:name w:val="页码1"/>
    <w:qFormat/>
    <w:uiPriority w:val="0"/>
  </w:style>
  <w:style w:type="paragraph" w:customStyle="1" w:styleId="24">
    <w:name w:val="Default"/>
    <w:qFormat/>
    <w:uiPriority w:val="0"/>
    <w:pPr>
      <w:widowControl w:val="0"/>
      <w:autoSpaceDE w:val="0"/>
      <w:autoSpaceDN w:val="0"/>
      <w:ind w:firstLine="480"/>
      <w:jc w:val="both"/>
    </w:pPr>
    <w:rPr>
      <w:rFonts w:ascii="Calibri" w:hAnsi="Calibri" w:eastAsia="宋体" w:cs="Times New Roman"/>
      <w:color w:val="000000"/>
      <w:kern w:val="2"/>
      <w:sz w:val="24"/>
      <w:szCs w:val="24"/>
      <w:lang w:val="en-US" w:eastAsia="zh-CN" w:bidi="ar-SA"/>
    </w:rPr>
  </w:style>
  <w:style w:type="paragraph" w:customStyle="1" w:styleId="25">
    <w:name w:val="文本"/>
    <w:qFormat/>
    <w:uiPriority w:val="0"/>
    <w:pPr>
      <w:widowControl w:val="0"/>
      <w:autoSpaceDE w:val="0"/>
      <w:autoSpaceDN w:val="0"/>
      <w:ind w:firstLine="480"/>
      <w:jc w:val="both"/>
    </w:pPr>
    <w:rPr>
      <w:rFonts w:ascii="Calibri" w:hAnsi="Calibri" w:eastAsia="宋体" w:cs="Times New Roman"/>
      <w:kern w:val="2"/>
      <w:sz w:val="21"/>
      <w:szCs w:val="24"/>
      <w:lang w:val="zh-CN" w:eastAsia="zh-CN" w:bidi="ar-SA"/>
    </w:rPr>
  </w:style>
  <w:style w:type="paragraph" w:styleId="2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1684</Words>
  <Characters>1864</Characters>
  <Lines>13</Lines>
  <Paragraphs>3</Paragraphs>
  <TotalTime>0</TotalTime>
  <ScaleCrop>false</ScaleCrop>
  <LinksUpToDate>false</LinksUpToDate>
  <CharactersWithSpaces>1898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2025-06-05T06:36:00Z</dcterms:created>
  <dc:creator>Tang</dc:creator>
  <cp:lastModifiedBy>Tang</cp:lastModifiedBy>
  <cp:lastPrinted>2025-09-05T01:08:14Z</cp:lastPrinted>
  <dcterms:modified xsi:type="dcterms:W3CDTF">2025-09-05T01:52:37Z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eyJoZGlkIjoiZGVjMzdiZTJjZGY3NDFmYjczM2ZjNjI4ZWQ3OTE0N2QiLCJ1c2VySWQiOiIxMjk3NjkzMjgwIn0=</vt:lpwstr>
  </property>
  <property fmtid="{D5CDD505-2E9C-101B-9397-08002B2CF9AE}" pid="3" name="KSOProductBuildVer">
    <vt:lpwstr>2052-12.1.0.22529</vt:lpwstr>
  </property>
  <property fmtid="{D5CDD505-2E9C-101B-9397-08002B2CF9AE}" pid="4" name="ICV">
    <vt:lpwstr>4D7891418D5540BDA475EBBD55EA5C65_13</vt:lpwstr>
  </property>
</Properties>
</file>