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E94E7">
      <w:pPr>
        <w:adjustRightInd w:val="0"/>
        <w:snapToGrid w:val="0"/>
        <w:spacing w:beforeLines="100" w:afterAutospacing="0" w:line="560" w:lineRule="exact"/>
        <w:ind w:firstLine="2100" w:firstLineChars="500"/>
        <w:jc w:val="both"/>
        <w:rPr>
          <w:rFonts w:hint="eastAsia" w:asciiTheme="majorEastAsia" w:hAnsiTheme="majorEastAsia" w:eastAsiaTheme="majorEastAsia" w:cstheme="majorEastAsia"/>
          <w:b w:val="0"/>
          <w:bCs w:val="0"/>
          <w:color w:val="000000" w:themeColor="text1"/>
          <w:spacing w:val="-10"/>
          <w:kern w:val="44"/>
          <w:sz w:val="44"/>
          <w:szCs w:val="44"/>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10"/>
          <w:kern w:val="44"/>
          <w:sz w:val="44"/>
          <w:szCs w:val="44"/>
          <w:lang w:eastAsia="zh-CN"/>
          <w14:textFill>
            <w14:solidFill>
              <w14:schemeClr w14:val="tx1"/>
            </w14:solidFill>
          </w14:textFill>
        </w:rPr>
        <w:t>湘潭县</w:t>
      </w:r>
      <w:r>
        <w:rPr>
          <w:rFonts w:hint="eastAsia" w:asciiTheme="majorEastAsia" w:hAnsiTheme="majorEastAsia" w:eastAsiaTheme="majorEastAsia" w:cstheme="majorEastAsia"/>
          <w:b w:val="0"/>
          <w:bCs w:val="0"/>
          <w:color w:val="000000" w:themeColor="text1"/>
          <w:spacing w:val="-10"/>
          <w:kern w:val="44"/>
          <w:sz w:val="44"/>
          <w:szCs w:val="44"/>
          <w14:textFill>
            <w14:solidFill>
              <w14:schemeClr w14:val="tx1"/>
            </w14:solidFill>
          </w14:textFill>
        </w:rPr>
        <w:t>2025年大事要事农业保障项目资金</w:t>
      </w:r>
      <w:r>
        <w:rPr>
          <w:rFonts w:hint="eastAsia" w:asciiTheme="majorEastAsia" w:hAnsiTheme="majorEastAsia" w:eastAsiaTheme="majorEastAsia" w:cstheme="majorEastAsia"/>
          <w:b w:val="0"/>
          <w:bCs w:val="0"/>
          <w:color w:val="000000" w:themeColor="text1"/>
          <w:spacing w:val="-10"/>
          <w:kern w:val="44"/>
          <w:sz w:val="44"/>
          <w:szCs w:val="44"/>
          <w:lang w:eastAsia="zh-CN"/>
          <w14:textFill>
            <w14:solidFill>
              <w14:schemeClr w14:val="tx1"/>
            </w14:solidFill>
          </w14:textFill>
        </w:rPr>
        <w:t>申报统计</w:t>
      </w:r>
      <w:r>
        <w:rPr>
          <w:rFonts w:hint="eastAsia" w:asciiTheme="majorEastAsia" w:hAnsiTheme="majorEastAsia" w:eastAsiaTheme="majorEastAsia" w:cstheme="majorEastAsia"/>
          <w:b w:val="0"/>
          <w:bCs w:val="0"/>
          <w:color w:val="000000" w:themeColor="text1"/>
          <w:spacing w:val="-10"/>
          <w:kern w:val="44"/>
          <w:sz w:val="44"/>
          <w:szCs w:val="44"/>
          <w:lang w:val="en-US" w:eastAsia="zh-CN"/>
          <w14:textFill>
            <w14:solidFill>
              <w14:schemeClr w14:val="tx1"/>
            </w14:solidFill>
          </w14:textFill>
        </w:rPr>
        <w:t>表</w:t>
      </w:r>
    </w:p>
    <w:p w14:paraId="45771DAA">
      <w:pPr>
        <w:adjustRightInd w:val="0"/>
        <w:snapToGrid w:val="0"/>
        <w:spacing w:beforeAutospacing="0" w:line="560" w:lineRule="exact"/>
        <w:ind w:firstLine="480" w:firstLineChars="200"/>
        <w:jc w:val="both"/>
        <w:rPr>
          <w:rFonts w:hint="eastAsia"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cstheme="minorEastAsia"/>
          <w:color w:val="000000" w:themeColor="text1"/>
          <w:sz w:val="24"/>
          <w:lang w:eastAsia="zh-CN"/>
          <w14:textFill>
            <w14:solidFill>
              <w14:schemeClr w14:val="tx1"/>
            </w14:solidFill>
          </w14:textFill>
        </w:rPr>
        <w:t>统计单位</w:t>
      </w:r>
      <w:r>
        <w:rPr>
          <w:rFonts w:hint="eastAsia" w:asciiTheme="minorEastAsia" w:hAnsiTheme="minorEastAsia" w:eastAsiaTheme="minorEastAsia" w:cstheme="minorEastAsia"/>
          <w:color w:val="000000" w:themeColor="text1"/>
          <w:sz w:val="24"/>
          <w14:textFill>
            <w14:solidFill>
              <w14:schemeClr w14:val="tx1"/>
            </w14:solidFill>
          </w14:textFill>
        </w:rPr>
        <w:t>：</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湘潭县农业农村局</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统计时间：2025年8月</w:t>
      </w:r>
      <w:r>
        <w:rPr>
          <w:rFonts w:hint="eastAsia" w:asciiTheme="minorEastAsia" w:hAnsiTheme="minorEastAsia" w:cstheme="minorEastAsia"/>
          <w:color w:val="000000" w:themeColor="text1"/>
          <w:sz w:val="24"/>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日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单位：万元</w:t>
      </w:r>
    </w:p>
    <w:tbl>
      <w:tblPr>
        <w:tblStyle w:val="3"/>
        <w:tblW w:w="14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2460"/>
        <w:gridCol w:w="2490"/>
        <w:gridCol w:w="7425"/>
        <w:gridCol w:w="660"/>
        <w:gridCol w:w="721"/>
      </w:tblGrid>
      <w:tr w14:paraId="027FC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59" w:type="dxa"/>
            <w:shd w:val="clear" w:color="auto" w:fill="auto"/>
            <w:vAlign w:val="center"/>
          </w:tcPr>
          <w:p w14:paraId="427D9BE1">
            <w:pPr>
              <w:widowControl/>
              <w:adjustRightInd w:val="0"/>
              <w:snapToGrid w:val="0"/>
              <w:spacing w:line="300" w:lineRule="exact"/>
              <w:jc w:val="center"/>
              <w:rPr>
                <w:rFonts w:hint="eastAsia" w:ascii="宋体" w:hAnsi="宋体" w:eastAsia="黑体" w:cs="宋体"/>
                <w:color w:val="000000" w:themeColor="text1"/>
                <w:kern w:val="0"/>
                <w:sz w:val="24"/>
                <w:lang w:val="en-US" w:eastAsia="zh-CN"/>
                <w14:textFill>
                  <w14:solidFill>
                    <w14:schemeClr w14:val="tx1"/>
                  </w14:solidFill>
                </w14:textFill>
              </w:rPr>
            </w:pPr>
            <w:r>
              <w:rPr>
                <w:rFonts w:hint="eastAsia" w:ascii="宋体" w:hAnsi="宋体" w:eastAsia="黑体" w:cs="宋体"/>
                <w:color w:val="000000" w:themeColor="text1"/>
                <w:kern w:val="0"/>
                <w:sz w:val="24"/>
                <w:lang w:val="en-US" w:eastAsia="zh-CN"/>
                <w14:textFill>
                  <w14:solidFill>
                    <w14:schemeClr w14:val="tx1"/>
                  </w14:solidFill>
                </w14:textFill>
              </w:rPr>
              <w:t>序号</w:t>
            </w:r>
          </w:p>
        </w:tc>
        <w:tc>
          <w:tcPr>
            <w:tcW w:w="2460" w:type="dxa"/>
            <w:shd w:val="clear" w:color="auto" w:fill="auto"/>
            <w:vAlign w:val="center"/>
          </w:tcPr>
          <w:p w14:paraId="73DF7C30">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项目名称</w:t>
            </w:r>
          </w:p>
        </w:tc>
        <w:tc>
          <w:tcPr>
            <w:tcW w:w="2490" w:type="dxa"/>
            <w:shd w:val="clear" w:color="auto" w:fill="auto"/>
            <w:vAlign w:val="center"/>
          </w:tcPr>
          <w:p w14:paraId="0F552615">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实施单位</w:t>
            </w:r>
          </w:p>
        </w:tc>
        <w:tc>
          <w:tcPr>
            <w:tcW w:w="7425" w:type="dxa"/>
            <w:shd w:val="clear" w:color="auto" w:fill="auto"/>
            <w:vAlign w:val="center"/>
          </w:tcPr>
          <w:p w14:paraId="222D2B49">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重点支持环节、资金使用方向</w:t>
            </w:r>
          </w:p>
        </w:tc>
        <w:tc>
          <w:tcPr>
            <w:tcW w:w="660" w:type="dxa"/>
            <w:shd w:val="clear" w:color="auto" w:fill="auto"/>
            <w:vAlign w:val="center"/>
          </w:tcPr>
          <w:p w14:paraId="198994B9">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金额</w:t>
            </w:r>
          </w:p>
        </w:tc>
        <w:tc>
          <w:tcPr>
            <w:tcW w:w="721" w:type="dxa"/>
            <w:shd w:val="clear" w:color="auto" w:fill="auto"/>
            <w:vAlign w:val="center"/>
          </w:tcPr>
          <w:p w14:paraId="150C0EDE">
            <w:pPr>
              <w:widowControl/>
              <w:adjustRightInd w:val="0"/>
              <w:snapToGrid w:val="0"/>
              <w:spacing w:line="300" w:lineRule="exact"/>
              <w:jc w:val="center"/>
              <w:rPr>
                <w:rFonts w:ascii="宋体" w:hAnsi="宋体" w:eastAsia="黑体" w:cs="宋体"/>
                <w:color w:val="000000" w:themeColor="text1"/>
                <w:kern w:val="0"/>
                <w:sz w:val="24"/>
                <w14:textFill>
                  <w14:solidFill>
                    <w14:schemeClr w14:val="tx1"/>
                  </w14:solidFill>
                </w14:textFill>
              </w:rPr>
            </w:pPr>
            <w:r>
              <w:rPr>
                <w:rFonts w:hint="eastAsia" w:ascii="宋体" w:hAnsi="宋体" w:eastAsia="黑体" w:cs="宋体"/>
                <w:color w:val="000000" w:themeColor="text1"/>
                <w:kern w:val="0"/>
                <w:sz w:val="24"/>
                <w14:textFill>
                  <w14:solidFill>
                    <w14:schemeClr w14:val="tx1"/>
                  </w14:solidFill>
                </w14:textFill>
              </w:rPr>
              <w:t>备注</w:t>
            </w:r>
          </w:p>
        </w:tc>
      </w:tr>
      <w:tr w14:paraId="10A4F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jc w:val="center"/>
        </w:trPr>
        <w:tc>
          <w:tcPr>
            <w:tcW w:w="859" w:type="dxa"/>
            <w:vAlign w:val="center"/>
          </w:tcPr>
          <w:p w14:paraId="6EBC3F35">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w:t>
            </w:r>
          </w:p>
        </w:tc>
        <w:tc>
          <w:tcPr>
            <w:tcW w:w="2460" w:type="dxa"/>
            <w:shd w:val="clear" w:color="auto" w:fill="auto"/>
            <w:vAlign w:val="center"/>
          </w:tcPr>
          <w:p w14:paraId="4941A83D">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2025年二轮土地延包</w:t>
            </w:r>
          </w:p>
          <w:p w14:paraId="6832884F">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试点</w:t>
            </w:r>
          </w:p>
        </w:tc>
        <w:tc>
          <w:tcPr>
            <w:tcW w:w="2490" w:type="dxa"/>
            <w:shd w:val="clear" w:color="auto" w:fill="auto"/>
            <w:vAlign w:val="center"/>
          </w:tcPr>
          <w:p w14:paraId="3CED72E7">
            <w:pPr>
              <w:widowControl/>
              <w:spacing w:line="300" w:lineRule="exact"/>
              <w:ind w:firstLine="240" w:firstLineChars="100"/>
              <w:jc w:val="both"/>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湘潭县农业农村局</w:t>
            </w:r>
          </w:p>
        </w:tc>
        <w:tc>
          <w:tcPr>
            <w:tcW w:w="7425" w:type="dxa"/>
            <w:shd w:val="clear" w:color="auto" w:fill="auto"/>
            <w:vAlign w:val="center"/>
          </w:tcPr>
          <w:p w14:paraId="008CBF10">
            <w:pPr>
              <w:spacing w:after="60" w:line="280" w:lineRule="atLeast"/>
              <w:ind w:firstLine="480" w:firstLineChars="200"/>
              <w:rPr>
                <w:rFonts w:ascii="宋体" w:hAnsi="宋体" w:eastAsia="仿宋_GB2312"/>
                <w:color w:val="000000" w:themeColor="text1"/>
                <w:sz w:val="24"/>
                <w14:textFill>
                  <w14:solidFill>
                    <w14:schemeClr w14:val="tx1"/>
                  </w14:solidFill>
                </w14:textFill>
              </w:rPr>
            </w:pPr>
            <w:r>
              <w:rPr>
                <w:rFonts w:hint="eastAsia" w:ascii="仿宋" w:hAnsi="仿宋" w:eastAsia="仿宋" w:cs="仿宋"/>
                <w:b w:val="0"/>
                <w:bCs w:val="0"/>
                <w:sz w:val="24"/>
                <w:szCs w:val="24"/>
                <w:shd w:val="clear" w:color="auto" w:fill="FFFFFF"/>
                <w:lang w:eastAsia="zh-CN"/>
              </w:rPr>
              <w:t>县乡村分级</w:t>
            </w:r>
            <w:r>
              <w:rPr>
                <w:rFonts w:hint="eastAsia" w:ascii="仿宋" w:hAnsi="仿宋" w:eastAsia="仿宋" w:cs="仿宋"/>
                <w:b w:val="0"/>
                <w:bCs w:val="0"/>
                <w:sz w:val="24"/>
                <w:szCs w:val="24"/>
                <w:shd w:val="clear" w:color="auto" w:fill="FFFFFF"/>
              </w:rPr>
              <w:t>成立机构，制定</w:t>
            </w:r>
            <w:r>
              <w:rPr>
                <w:rFonts w:hint="eastAsia" w:ascii="仿宋" w:hAnsi="仿宋" w:eastAsia="仿宋" w:cs="仿宋"/>
                <w:b w:val="0"/>
                <w:bCs w:val="0"/>
                <w:color w:val="000000"/>
                <w:sz w:val="24"/>
                <w:szCs w:val="24"/>
                <w:shd w:val="clear" w:color="auto" w:fill="FFFFFF"/>
              </w:rPr>
              <w:t>方案</w:t>
            </w:r>
            <w:r>
              <w:rPr>
                <w:rFonts w:hint="eastAsia" w:ascii="仿宋" w:hAnsi="仿宋" w:eastAsia="仿宋" w:cs="仿宋"/>
                <w:b w:val="0"/>
                <w:bCs w:val="0"/>
                <w:color w:val="000000"/>
                <w:sz w:val="24"/>
                <w:szCs w:val="24"/>
                <w:shd w:val="clear" w:color="auto" w:fill="FFFFFF"/>
                <w:lang w:eastAsia="zh-CN"/>
              </w:rPr>
              <w:t>；</w:t>
            </w:r>
            <w:r>
              <w:rPr>
                <w:rFonts w:hint="eastAsia" w:ascii="仿宋" w:hAnsi="仿宋" w:eastAsia="仿宋" w:cs="仿宋"/>
                <w:b w:val="0"/>
                <w:bCs w:val="0"/>
                <w:sz w:val="24"/>
                <w:szCs w:val="24"/>
                <w:shd w:val="clear" w:color="auto" w:fill="FFFFFF"/>
                <w:lang w:eastAsia="zh-CN"/>
              </w:rPr>
              <w:t>宣传培训</w:t>
            </w:r>
            <w:r>
              <w:rPr>
                <w:rFonts w:hint="eastAsia" w:ascii="仿宋" w:hAnsi="仿宋" w:eastAsia="仿宋" w:cs="仿宋"/>
                <w:b w:val="0"/>
                <w:bCs w:val="0"/>
                <w:sz w:val="24"/>
                <w:szCs w:val="24"/>
                <w:shd w:val="clear" w:color="auto" w:fill="FFFFFF"/>
              </w:rPr>
              <w:t>，全面摸</w:t>
            </w:r>
            <w:r>
              <w:rPr>
                <w:rFonts w:hint="eastAsia" w:ascii="仿宋" w:hAnsi="仿宋" w:eastAsia="仿宋" w:cs="仿宋"/>
                <w:b w:val="0"/>
                <w:bCs w:val="0"/>
                <w:color w:val="000000"/>
                <w:sz w:val="24"/>
                <w:szCs w:val="24"/>
                <w:shd w:val="clear" w:color="auto" w:fill="FFFFFF"/>
              </w:rPr>
              <w:t>底</w:t>
            </w:r>
            <w:r>
              <w:rPr>
                <w:rFonts w:hint="eastAsia" w:ascii="仿宋" w:hAnsi="仿宋" w:eastAsia="仿宋" w:cs="仿宋"/>
                <w:b w:val="0"/>
                <w:bCs w:val="0"/>
                <w:color w:val="000000"/>
                <w:sz w:val="24"/>
                <w:szCs w:val="24"/>
                <w:shd w:val="clear" w:color="auto" w:fill="FFFFFF"/>
                <w:lang w:eastAsia="zh-CN"/>
              </w:rPr>
              <w:t>。主要做好</w:t>
            </w:r>
            <w:r>
              <w:rPr>
                <w:rFonts w:hint="eastAsia" w:ascii="仿宋" w:hAnsi="仿宋" w:eastAsia="仿宋" w:cs="仿宋"/>
                <w:b w:val="0"/>
                <w:bCs w:val="0"/>
                <w:sz w:val="24"/>
                <w:szCs w:val="24"/>
                <w:shd w:val="clear" w:color="auto" w:fill="FFFFFF"/>
              </w:rPr>
              <w:t>宣传发动</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摸底调查</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成员身份核实</w:t>
            </w:r>
            <w:r>
              <w:rPr>
                <w:rFonts w:hint="eastAsia" w:ascii="仿宋" w:hAnsi="仿宋" w:eastAsia="仿宋" w:cs="仿宋"/>
                <w:b w:val="0"/>
                <w:bCs w:val="0"/>
                <w:color w:val="000000"/>
                <w:sz w:val="24"/>
                <w:szCs w:val="24"/>
                <w:shd w:val="clear" w:color="auto" w:fill="FFFFFF"/>
                <w:lang w:eastAsia="zh-CN"/>
              </w:rPr>
              <w:t>；</w:t>
            </w:r>
            <w:r>
              <w:rPr>
                <w:rFonts w:hint="eastAsia" w:ascii="仿宋" w:hAnsi="仿宋" w:eastAsia="仿宋" w:cs="仿宋"/>
                <w:b w:val="0"/>
                <w:bCs w:val="0"/>
                <w:sz w:val="24"/>
                <w:szCs w:val="24"/>
                <w:shd w:val="clear" w:color="auto" w:fill="FFFFFF"/>
              </w:rPr>
              <w:t>实施延包</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稳步推进</w:t>
            </w:r>
            <w:r>
              <w:rPr>
                <w:rFonts w:hint="eastAsia" w:ascii="仿宋" w:hAnsi="仿宋" w:eastAsia="仿宋" w:cs="仿宋"/>
                <w:b w:val="0"/>
                <w:bCs w:val="0"/>
                <w:sz w:val="24"/>
                <w:szCs w:val="24"/>
                <w:shd w:val="clear" w:color="auto" w:fill="FFFFFF"/>
                <w:lang w:eastAsia="zh-CN"/>
              </w:rPr>
              <w:t>。主要做好</w:t>
            </w:r>
            <w:r>
              <w:rPr>
                <w:rFonts w:hint="eastAsia" w:ascii="仿宋" w:hAnsi="仿宋" w:eastAsia="仿宋" w:cs="仿宋"/>
                <w:b w:val="0"/>
                <w:bCs w:val="0"/>
                <w:sz w:val="24"/>
                <w:szCs w:val="24"/>
                <w:shd w:val="clear" w:color="auto" w:fill="FFFFFF"/>
              </w:rPr>
              <w:t>遗留问题处置</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承包纠纷调处</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延包方案制定</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延包确认公示</w:t>
            </w:r>
            <w:r>
              <w:rPr>
                <w:rFonts w:hint="eastAsia" w:ascii="仿宋" w:hAnsi="仿宋" w:eastAsia="仿宋" w:cs="仿宋"/>
                <w:b w:val="0"/>
                <w:bCs w:val="0"/>
                <w:sz w:val="24"/>
                <w:szCs w:val="24"/>
                <w:shd w:val="clear" w:color="auto" w:fill="FFFFFF"/>
                <w:lang w:eastAsia="zh-CN"/>
              </w:rPr>
              <w:t>；签订合同，完善证书。主要做好</w:t>
            </w:r>
            <w:r>
              <w:rPr>
                <w:rFonts w:hint="eastAsia" w:ascii="仿宋" w:hAnsi="仿宋" w:eastAsia="仿宋" w:cs="仿宋"/>
                <w:b w:val="0"/>
                <w:bCs w:val="0"/>
                <w:sz w:val="24"/>
                <w:szCs w:val="24"/>
                <w:shd w:val="clear" w:color="auto" w:fill="FFFFFF"/>
              </w:rPr>
              <w:t>数据录入</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合同签订</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登记换证</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资料归档</w:t>
            </w:r>
            <w:r>
              <w:rPr>
                <w:rFonts w:hint="eastAsia" w:ascii="仿宋" w:hAnsi="仿宋" w:eastAsia="仿宋" w:cs="仿宋"/>
                <w:b w:val="0"/>
                <w:bCs w:val="0"/>
                <w:sz w:val="24"/>
                <w:szCs w:val="24"/>
                <w:shd w:val="clear" w:color="auto" w:fill="FFFFFF"/>
                <w:lang w:eastAsia="zh-CN"/>
              </w:rPr>
              <w:t>，</w:t>
            </w:r>
            <w:r>
              <w:rPr>
                <w:rFonts w:hint="eastAsia" w:ascii="仿宋" w:hAnsi="仿宋" w:eastAsia="仿宋" w:cs="仿宋"/>
                <w:b w:val="0"/>
                <w:bCs w:val="0"/>
                <w:sz w:val="24"/>
                <w:szCs w:val="24"/>
                <w:shd w:val="clear" w:color="auto" w:fill="FFFFFF"/>
              </w:rPr>
              <w:t>总结</w:t>
            </w:r>
            <w:r>
              <w:rPr>
                <w:rFonts w:hint="eastAsia" w:ascii="仿宋" w:hAnsi="仿宋" w:eastAsia="仿宋" w:cs="仿宋"/>
                <w:b w:val="0"/>
                <w:bCs w:val="0"/>
                <w:sz w:val="24"/>
                <w:szCs w:val="24"/>
                <w:shd w:val="clear" w:color="auto" w:fill="FFFFFF"/>
                <w:lang w:eastAsia="zh-CN"/>
              </w:rPr>
              <w:t>验收。</w:t>
            </w:r>
            <w:r>
              <w:rPr>
                <w:rFonts w:hint="eastAsia" w:ascii="仿宋" w:hAnsi="仿宋" w:eastAsia="仿宋" w:cs="仿宋"/>
                <w:color w:val="000000"/>
                <w:sz w:val="24"/>
                <w:lang w:eastAsia="zh-CN"/>
              </w:rPr>
              <w:t>用于县级专班日常工作</w:t>
            </w:r>
            <w:r>
              <w:rPr>
                <w:rFonts w:hint="eastAsia" w:ascii="仿宋" w:hAnsi="仿宋" w:eastAsia="仿宋" w:cs="仿宋"/>
                <w:color w:val="000000"/>
                <w:sz w:val="24"/>
                <w:lang w:val="en-US" w:eastAsia="zh-CN"/>
              </w:rPr>
              <w:t>经费5万元；16个乡镇宣传发动、业务培训、组织指导、矛盾调处等工作经费40万元（每个乡镇2.5万元），总共45万元。</w:t>
            </w:r>
          </w:p>
        </w:tc>
        <w:tc>
          <w:tcPr>
            <w:tcW w:w="660" w:type="dxa"/>
            <w:shd w:val="clear" w:color="auto" w:fill="auto"/>
            <w:vAlign w:val="center"/>
          </w:tcPr>
          <w:p w14:paraId="351ED5C3">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45</w:t>
            </w:r>
          </w:p>
        </w:tc>
        <w:tc>
          <w:tcPr>
            <w:tcW w:w="721" w:type="dxa"/>
            <w:shd w:val="clear" w:color="auto" w:fill="auto"/>
            <w:vAlign w:val="center"/>
          </w:tcPr>
          <w:p w14:paraId="54E4A3C0">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7BA0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9" w:hRule="atLeast"/>
          <w:jc w:val="center"/>
        </w:trPr>
        <w:tc>
          <w:tcPr>
            <w:tcW w:w="859" w:type="dxa"/>
            <w:vAlign w:val="center"/>
          </w:tcPr>
          <w:p w14:paraId="79242343">
            <w:pPr>
              <w:widowControl/>
              <w:spacing w:line="300" w:lineRule="exact"/>
              <w:jc w:val="center"/>
              <w:rPr>
                <w:rFonts w:hint="eastAsia" w:ascii="仿宋" w:hAnsi="仿宋" w:eastAsia="仿宋" w:cs="仿宋"/>
                <w:lang w:val="en-US" w:eastAsia="zh-CN"/>
              </w:rPr>
            </w:pPr>
            <w:r>
              <w:rPr>
                <w:rFonts w:hint="eastAsia" w:ascii="仿宋" w:hAnsi="仿宋" w:eastAsia="仿宋" w:cs="仿宋"/>
                <w:color w:val="000000" w:themeColor="text1"/>
                <w:sz w:val="24"/>
                <w:lang w:val="en-US" w:eastAsia="zh-CN"/>
                <w14:textFill>
                  <w14:solidFill>
                    <w14:schemeClr w14:val="tx1"/>
                  </w14:solidFill>
                </w14:textFill>
              </w:rPr>
              <w:t>2</w:t>
            </w:r>
          </w:p>
        </w:tc>
        <w:tc>
          <w:tcPr>
            <w:tcW w:w="2460" w:type="dxa"/>
            <w:shd w:val="clear" w:color="auto" w:fill="auto"/>
            <w:vAlign w:val="center"/>
          </w:tcPr>
          <w:p w14:paraId="6851328F">
            <w:pPr>
              <w:widowControl/>
              <w:spacing w:line="300" w:lineRule="exact"/>
              <w:ind w:left="960" w:hanging="960" w:hangingChars="400"/>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2025年乡村公共资源</w:t>
            </w:r>
          </w:p>
          <w:p w14:paraId="42998282">
            <w:pPr>
              <w:widowControl/>
              <w:spacing w:line="300" w:lineRule="exact"/>
              <w:ind w:left="959" w:leftChars="114" w:hanging="720" w:hangingChars="300"/>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共享试点</w:t>
            </w:r>
          </w:p>
        </w:tc>
        <w:tc>
          <w:tcPr>
            <w:tcW w:w="2490" w:type="dxa"/>
            <w:shd w:val="clear" w:color="auto" w:fill="auto"/>
            <w:vAlign w:val="center"/>
          </w:tcPr>
          <w:p w14:paraId="36F9A3E8">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湘潭县茶恩寺镇双凤村经济合作社</w:t>
            </w:r>
          </w:p>
        </w:tc>
        <w:tc>
          <w:tcPr>
            <w:tcW w:w="7425" w:type="dxa"/>
            <w:shd w:val="clear" w:color="auto" w:fill="auto"/>
            <w:vAlign w:val="center"/>
          </w:tcPr>
          <w:p w14:paraId="3CCE35A6">
            <w:pPr>
              <w:keepNext w:val="0"/>
              <w:keepLines w:val="0"/>
              <w:pageBreakBefore w:val="0"/>
              <w:widowControl/>
              <w:kinsoku/>
              <w:wordWrap/>
              <w:overflowPunct/>
              <w:topLinePunct w:val="0"/>
              <w:autoSpaceDE/>
              <w:autoSpaceDN/>
              <w:bidi w:val="0"/>
              <w:adjustRightInd/>
              <w:snapToGrid/>
              <w:spacing w:after="0" w:line="240" w:lineRule="auto"/>
              <w:ind w:firstLine="480" w:firstLineChars="200"/>
              <w:jc w:val="both"/>
              <w:textAlignment w:val="auto"/>
              <w:rPr>
                <w:rFonts w:ascii="宋体" w:hAnsi="宋体" w:eastAsia="仿宋_GB2312"/>
                <w:color w:val="000000" w:themeColor="text1"/>
                <w:sz w:val="24"/>
                <w14:textFill>
                  <w14:solidFill>
                    <w14:schemeClr w14:val="tx1"/>
                  </w14:solidFill>
                </w14:textFill>
              </w:rPr>
            </w:pPr>
            <w:r>
              <w:rPr>
                <w:rFonts w:hint="eastAsia" w:ascii="仿宋" w:hAnsi="仿宋" w:eastAsia="仿宋" w:cs="仿宋"/>
                <w:color w:val="000000"/>
                <w:sz w:val="24"/>
                <w:lang w:val="en-US" w:eastAsia="zh-CN"/>
              </w:rPr>
              <w:t>通过租赁、入股等方式集中整合的闲置房屋资源进行统一规划设计，融入天马山文化和乡村传统建筑风格元素，为打造特色民宿、农家乐产业和乡</w:t>
            </w:r>
            <w:bookmarkStart w:id="0" w:name="_GoBack"/>
            <w:bookmarkEnd w:id="0"/>
            <w:r>
              <w:rPr>
                <w:rFonts w:hint="eastAsia" w:ascii="仿宋" w:hAnsi="仿宋" w:eastAsia="仿宋" w:cs="仿宋"/>
                <w:color w:val="000000"/>
                <w:sz w:val="24"/>
                <w:lang w:val="en-US" w:eastAsia="zh-CN"/>
              </w:rPr>
              <w:t>村特色发展等提供支持。以股份分红形式支持湖南来仪文旅融合文化发展有限公司文旅融合产业链进行建设，完善提升产业链。项目总资金15万元，争取2025年大事要事农业保障项目资金15万元，用于合法拥有、安全有效闲置住房修缮提升资金2万元，文旅产业链建设资金13万元。</w:t>
            </w:r>
          </w:p>
        </w:tc>
        <w:tc>
          <w:tcPr>
            <w:tcW w:w="660" w:type="dxa"/>
            <w:shd w:val="clear" w:color="auto" w:fill="auto"/>
            <w:vAlign w:val="center"/>
          </w:tcPr>
          <w:p w14:paraId="79EF3CEF">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15</w:t>
            </w:r>
          </w:p>
        </w:tc>
        <w:tc>
          <w:tcPr>
            <w:tcW w:w="721" w:type="dxa"/>
            <w:shd w:val="clear" w:color="auto" w:fill="auto"/>
            <w:vAlign w:val="center"/>
          </w:tcPr>
          <w:p w14:paraId="18D426EF">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4DCCF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7" w:hRule="atLeast"/>
          <w:jc w:val="center"/>
        </w:trPr>
        <w:tc>
          <w:tcPr>
            <w:tcW w:w="859" w:type="dxa"/>
            <w:vAlign w:val="center"/>
          </w:tcPr>
          <w:p w14:paraId="24B2B7B4">
            <w:pPr>
              <w:widowControl/>
              <w:spacing w:line="300" w:lineRule="exact"/>
              <w:jc w:val="center"/>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w:t>
            </w:r>
          </w:p>
        </w:tc>
        <w:tc>
          <w:tcPr>
            <w:tcW w:w="2460" w:type="dxa"/>
            <w:shd w:val="clear" w:color="auto" w:fill="auto"/>
            <w:vAlign w:val="center"/>
          </w:tcPr>
          <w:p w14:paraId="369C168C">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2025年乡村公共资源共享试点</w:t>
            </w:r>
          </w:p>
        </w:tc>
        <w:tc>
          <w:tcPr>
            <w:tcW w:w="2490" w:type="dxa"/>
            <w:shd w:val="clear" w:color="auto" w:fill="auto"/>
            <w:vAlign w:val="center"/>
          </w:tcPr>
          <w:p w14:paraId="1ACFE690">
            <w:pPr>
              <w:widowControl/>
              <w:spacing w:line="300" w:lineRule="exact"/>
              <w:jc w:val="center"/>
              <w:rPr>
                <w:rFonts w:hint="eastAsia" w:ascii="仿宋" w:hAnsi="仿宋" w:eastAsia="仿宋" w:cs="仿宋"/>
                <w:color w:val="000000" w:themeColor="text1"/>
                <w:sz w:val="24"/>
                <w:lang w:val="en-US" w:eastAsia="zh-CN"/>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湘潭县石潭镇甘泉村经济合作社</w:t>
            </w:r>
          </w:p>
        </w:tc>
        <w:tc>
          <w:tcPr>
            <w:tcW w:w="7425" w:type="dxa"/>
            <w:shd w:val="clear" w:color="auto" w:fill="auto"/>
            <w:vAlign w:val="center"/>
          </w:tcPr>
          <w:p w14:paraId="1D5B13F0">
            <w:pPr>
              <w:ind w:firstLine="480" w:firstLineChars="200"/>
              <w:rPr>
                <w:rFonts w:hint="default" w:ascii="宋体" w:hAnsi="宋体" w:eastAsia="仿宋_GB2312"/>
                <w:color w:val="000000" w:themeColor="text1"/>
                <w:sz w:val="24"/>
                <w:lang w:val="en-US"/>
                <w14:textFill>
                  <w14:solidFill>
                    <w14:schemeClr w14:val="tx1"/>
                  </w14:solidFill>
                </w14:textFill>
              </w:rPr>
            </w:pPr>
            <w:r>
              <w:rPr>
                <w:rFonts w:hint="eastAsia" w:ascii="仿宋" w:hAnsi="仿宋" w:eastAsia="仿宋" w:cs="仿宋"/>
                <w:color w:val="000000"/>
                <w:sz w:val="24"/>
                <w:lang w:val="en-US" w:eastAsia="zh-CN"/>
              </w:rPr>
              <w:t>对村合法拥有、安全有效闲置住房进行修缮提升，为休闲民宿、乡村旅游和特色产业发展等提供支持。以股份分红形式支持湖南强君生态农业科技发展有限公司香菇产业链进行建设，完善提升产业链。项目总资金15万元，争取2025年大事要事农业保障项目资金15万元，用于合法拥有、安全有效闲置住房修缮提升资金5万元，香菇产业链建设资金10万元。</w:t>
            </w:r>
          </w:p>
        </w:tc>
        <w:tc>
          <w:tcPr>
            <w:tcW w:w="660" w:type="dxa"/>
            <w:shd w:val="clear" w:color="auto" w:fill="auto"/>
            <w:vAlign w:val="center"/>
          </w:tcPr>
          <w:p w14:paraId="7FB81B90">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15</w:t>
            </w:r>
          </w:p>
        </w:tc>
        <w:tc>
          <w:tcPr>
            <w:tcW w:w="721" w:type="dxa"/>
            <w:shd w:val="clear" w:color="auto" w:fill="auto"/>
            <w:vAlign w:val="center"/>
          </w:tcPr>
          <w:p w14:paraId="764DC2F6">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r w14:paraId="21DBC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859" w:type="dxa"/>
            <w:shd w:val="clear" w:color="auto" w:fill="auto"/>
            <w:vAlign w:val="center"/>
          </w:tcPr>
          <w:p w14:paraId="5A366BD0">
            <w:pPr>
              <w:widowControl/>
              <w:spacing w:line="300" w:lineRule="exact"/>
              <w:jc w:val="center"/>
              <w:rPr>
                <w:rFonts w:ascii="宋体" w:hAnsi="宋体" w:eastAsia="仿宋_GB2312"/>
                <w:color w:val="000000" w:themeColor="text1"/>
                <w:sz w:val="24"/>
                <w14:textFill>
                  <w14:solidFill>
                    <w14:schemeClr w14:val="tx1"/>
                  </w14:solidFill>
                </w14:textFill>
              </w:rPr>
            </w:pPr>
            <w:r>
              <w:rPr>
                <w:rFonts w:hint="eastAsia" w:ascii="宋体" w:hAnsi="宋体" w:eastAsia="仿宋_GB2312"/>
                <w:color w:val="000000" w:themeColor="text1"/>
                <w:sz w:val="24"/>
                <w14:textFill>
                  <w14:solidFill>
                    <w14:schemeClr w14:val="tx1"/>
                  </w14:solidFill>
                </w14:textFill>
              </w:rPr>
              <w:t>合计</w:t>
            </w:r>
          </w:p>
        </w:tc>
        <w:tc>
          <w:tcPr>
            <w:tcW w:w="2460" w:type="dxa"/>
            <w:shd w:val="clear" w:color="auto" w:fill="auto"/>
            <w:vAlign w:val="center"/>
          </w:tcPr>
          <w:p w14:paraId="09E579CD">
            <w:pPr>
              <w:widowControl/>
              <w:spacing w:line="300" w:lineRule="exact"/>
              <w:jc w:val="center"/>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3个</w:t>
            </w:r>
          </w:p>
        </w:tc>
        <w:tc>
          <w:tcPr>
            <w:tcW w:w="2490" w:type="dxa"/>
            <w:shd w:val="clear" w:color="auto" w:fill="auto"/>
            <w:vAlign w:val="center"/>
          </w:tcPr>
          <w:p w14:paraId="0AE8E4C2">
            <w:pPr>
              <w:widowControl/>
              <w:spacing w:line="300" w:lineRule="exact"/>
              <w:ind w:firstLine="1024" w:firstLineChars="427"/>
              <w:jc w:val="both"/>
              <w:rPr>
                <w:rFonts w:hint="eastAsia"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3个</w:t>
            </w:r>
          </w:p>
        </w:tc>
        <w:tc>
          <w:tcPr>
            <w:tcW w:w="7425" w:type="dxa"/>
            <w:shd w:val="clear" w:color="auto" w:fill="auto"/>
            <w:vAlign w:val="center"/>
          </w:tcPr>
          <w:p w14:paraId="5DE58FED">
            <w:pPr>
              <w:widowControl/>
              <w:spacing w:line="300" w:lineRule="exact"/>
              <w:ind w:firstLine="480"/>
              <w:jc w:val="left"/>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 xml:space="preserve">                       </w:t>
            </w:r>
          </w:p>
        </w:tc>
        <w:tc>
          <w:tcPr>
            <w:tcW w:w="660" w:type="dxa"/>
            <w:shd w:val="clear" w:color="auto" w:fill="auto"/>
            <w:vAlign w:val="center"/>
          </w:tcPr>
          <w:p w14:paraId="7CCE77A0">
            <w:pPr>
              <w:widowControl/>
              <w:spacing w:line="300" w:lineRule="exact"/>
              <w:jc w:val="center"/>
              <w:rPr>
                <w:rFonts w:hint="default" w:ascii="宋体" w:hAnsi="宋体" w:eastAsia="仿宋_GB2312"/>
                <w:color w:val="000000" w:themeColor="text1"/>
                <w:sz w:val="24"/>
                <w:lang w:val="en-US" w:eastAsia="zh-CN"/>
                <w14:textFill>
                  <w14:solidFill>
                    <w14:schemeClr w14:val="tx1"/>
                  </w14:solidFill>
                </w14:textFill>
              </w:rPr>
            </w:pPr>
            <w:r>
              <w:rPr>
                <w:rFonts w:hint="eastAsia" w:ascii="宋体" w:hAnsi="宋体" w:eastAsia="仿宋_GB2312"/>
                <w:color w:val="000000" w:themeColor="text1"/>
                <w:sz w:val="24"/>
                <w:lang w:val="en-US" w:eastAsia="zh-CN"/>
                <w14:textFill>
                  <w14:solidFill>
                    <w14:schemeClr w14:val="tx1"/>
                  </w14:solidFill>
                </w14:textFill>
              </w:rPr>
              <w:t>75</w:t>
            </w:r>
          </w:p>
        </w:tc>
        <w:tc>
          <w:tcPr>
            <w:tcW w:w="721" w:type="dxa"/>
            <w:shd w:val="clear" w:color="auto" w:fill="auto"/>
            <w:vAlign w:val="center"/>
          </w:tcPr>
          <w:p w14:paraId="3152C795">
            <w:pPr>
              <w:widowControl/>
              <w:spacing w:line="300" w:lineRule="exact"/>
              <w:ind w:firstLine="480"/>
              <w:jc w:val="center"/>
              <w:rPr>
                <w:rFonts w:ascii="宋体" w:hAnsi="宋体" w:eastAsia="仿宋_GB2312"/>
                <w:color w:val="000000" w:themeColor="text1"/>
                <w:sz w:val="24"/>
                <w14:textFill>
                  <w14:solidFill>
                    <w14:schemeClr w14:val="tx1"/>
                  </w14:solidFill>
                </w14:textFill>
              </w:rPr>
            </w:pPr>
          </w:p>
        </w:tc>
      </w:tr>
    </w:tbl>
    <w:p w14:paraId="11C38A2E">
      <w:r>
        <w:rPr>
          <w:rFonts w:hint="eastAsia" w:ascii="宋体" w:hAnsi="宋体" w:eastAsia="仿宋_GB2312"/>
          <w:color w:val="000000" w:themeColor="text1"/>
          <w:sz w:val="24"/>
          <w14:textFill>
            <w14:solidFill>
              <w14:schemeClr w14:val="tx1"/>
            </w14:solidFill>
          </w14:textFill>
        </w:rPr>
        <w:t xml:space="preserve">     </w:t>
      </w:r>
    </w:p>
    <w:sectPr>
      <w:pgSz w:w="16838" w:h="11906" w:orient="landscape"/>
      <w:pgMar w:top="737" w:right="1134" w:bottom="737"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E945A7"/>
    <w:rsid w:val="00B35244"/>
    <w:rsid w:val="0C4A6383"/>
    <w:rsid w:val="0D501777"/>
    <w:rsid w:val="161F618A"/>
    <w:rsid w:val="1E880EA7"/>
    <w:rsid w:val="232E7849"/>
    <w:rsid w:val="2A6B1546"/>
    <w:rsid w:val="2BFA0DD4"/>
    <w:rsid w:val="3C972B56"/>
    <w:rsid w:val="4A98131E"/>
    <w:rsid w:val="52EB28EB"/>
    <w:rsid w:val="553651B0"/>
    <w:rsid w:val="57BD56F6"/>
    <w:rsid w:val="64F35004"/>
    <w:rsid w:val="69CE5072"/>
    <w:rsid w:val="70F640AA"/>
    <w:rsid w:val="72C3530C"/>
    <w:rsid w:val="7440158F"/>
    <w:rsid w:val="764D5A23"/>
    <w:rsid w:val="7C1F18BD"/>
    <w:rsid w:val="7FE94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99"/>
  </w:style>
  <w:style w:type="table" w:styleId="4">
    <w:name w:val="Table Grid"/>
    <w:basedOn w:val="3"/>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_Style 1"/>
    <w:basedOn w:val="1"/>
    <w:qFormat/>
    <w:uiPriority w:val="99"/>
    <w:pPr>
      <w:ind w:firstLine="4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692</Words>
  <Characters>729</Characters>
  <Lines>0</Lines>
  <Paragraphs>0</Paragraphs>
  <TotalTime>11</TotalTime>
  <ScaleCrop>false</ScaleCrop>
  <LinksUpToDate>false</LinksUpToDate>
  <CharactersWithSpaces>797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2025-08-19T05:49:00Z</dcterms:created>
  <dc:creator>周少游</dc:creator>
  <cp:lastModifiedBy>胡玉成</cp:lastModifiedBy>
  <cp:lastPrinted>2025-08-20T03:47:00Z</cp:lastPrinted>
  <dcterms:modified xsi:type="dcterms:W3CDTF">2025-08-20T08:10:11Z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C8CD3DEE12F14FC89D5EB11BE37CBD7A_13</vt:lpwstr>
  </property>
  <property fmtid="{D5CDD505-2E9C-101B-9397-08002B2CF9AE}" pid="4" name="KSOTemplateDocerSaveRecord">
    <vt:lpwstr>eyJoZGlkIjoiMzQ5ZDE5NDJhOTMwMjhlMDY1OTEzMmY3YzZkMzU4YzAiLCJ1c2VySWQiOiI0NDg4OTg5NDkifQ==</vt:lpwstr>
  </property>
</Properties>
</file>