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38C544">
      <w:pPr>
        <w:jc w:val="center"/>
        <w:rPr>
          <w:rFonts w:ascii="方正小标宋_GBK" w:hAnsi="Calibri" w:eastAsia="方正小标宋_GBK"/>
          <w:sz w:val="44"/>
          <w:szCs w:val="44"/>
        </w:rPr>
      </w:pPr>
      <w:r>
        <w:rPr>
          <w:rFonts w:hint="eastAsia" w:ascii="方正小标宋_GBK" w:eastAsia="方正小标宋_GBK"/>
          <w:sz w:val="44"/>
          <w:szCs w:val="44"/>
        </w:rPr>
        <w:t>湘潭县自然资源局</w:t>
      </w:r>
      <w:r>
        <w:rPr>
          <w:rFonts w:ascii="方正小标宋_GBK" w:eastAsia="方正小标宋_GBK"/>
          <w:sz w:val="44"/>
          <w:szCs w:val="44"/>
        </w:rPr>
        <w:t>2025</w:t>
      </w:r>
      <w:r>
        <w:rPr>
          <w:rFonts w:hint="eastAsia" w:ascii="方正小标宋_GBK" w:hAnsi="Calibri" w:eastAsia="方正小标宋_GBK"/>
          <w:sz w:val="44"/>
          <w:szCs w:val="44"/>
        </w:rPr>
        <w:t>年度涉企行政检查计划</w:t>
      </w:r>
    </w:p>
    <w:p w14:paraId="1CF75C9F">
      <w:pPr>
        <w:ind w:firstLine="280" w:firstLineChars="100"/>
        <w:rPr>
          <w:rFonts w:eastAsia="仿宋_GB2312"/>
          <w:sz w:val="28"/>
          <w:szCs w:val="28"/>
        </w:rPr>
      </w:pPr>
      <w:r>
        <w:rPr>
          <w:rFonts w:hint="eastAsia" w:ascii="仿宋_GB2312" w:hAnsi="仿宋_GB2312" w:eastAsia="仿宋_GB2312" w:cs="仿宋_GB2312"/>
          <w:sz w:val="28"/>
          <w:szCs w:val="28"/>
        </w:rPr>
        <w:t>填报单位：</w:t>
      </w:r>
      <w:r>
        <w:rPr>
          <w:rFonts w:ascii="楷体_GB2312" w:hAnsi="楷体_GB2312" w:eastAsia="楷体_GB2312" w:cs="楷体_GB2312"/>
          <w:sz w:val="28"/>
          <w:szCs w:val="28"/>
        </w:rPr>
        <w:t xml:space="preserve"> </w:t>
      </w:r>
      <w:r>
        <w:rPr>
          <w:rFonts w:hint="eastAsia" w:ascii="楷体_GB2312" w:hAnsi="楷体_GB2312" w:eastAsia="楷体_GB2312" w:cs="楷体_GB2312"/>
          <w:sz w:val="28"/>
          <w:szCs w:val="28"/>
        </w:rPr>
        <w:t>湘潭县自然资源局</w:t>
      </w:r>
      <w:r>
        <w:rPr>
          <w:rFonts w:ascii="楷体_GB2312" w:hAnsi="楷体_GB2312" w:eastAsia="楷体_GB2312" w:cs="楷体_GB2312"/>
          <w:sz w:val="28"/>
          <w:szCs w:val="28"/>
        </w:rPr>
        <w:t xml:space="preserve">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联系人及联系电话：肖婷</w:t>
      </w:r>
      <w:r>
        <w:rPr>
          <w:rFonts w:ascii="仿宋_GB2312" w:hAnsi="仿宋_GB2312" w:eastAsia="仿宋_GB2312" w:cs="仿宋_GB2312"/>
          <w:sz w:val="28"/>
          <w:szCs w:val="28"/>
        </w:rPr>
        <w:t xml:space="preserve"> 15873232228</w:t>
      </w:r>
    </w:p>
    <w:tbl>
      <w:tblPr>
        <w:tblStyle w:val="5"/>
        <w:tblW w:w="535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836"/>
        <w:gridCol w:w="5625"/>
        <w:gridCol w:w="1694"/>
        <w:gridCol w:w="1576"/>
        <w:gridCol w:w="1126"/>
        <w:gridCol w:w="846"/>
        <w:gridCol w:w="748"/>
        <w:gridCol w:w="645"/>
        <w:gridCol w:w="879"/>
        <w:gridCol w:w="576"/>
      </w:tblGrid>
      <w:tr w14:paraId="0C44D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blHeader/>
          <w:jc w:val="center"/>
        </w:trPr>
        <w:tc>
          <w:tcPr>
            <w:tcW w:w="210" w:type="pct"/>
            <w:vAlign w:val="center"/>
          </w:tcPr>
          <w:p w14:paraId="706C47B4">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序号</w:t>
            </w:r>
          </w:p>
        </w:tc>
        <w:tc>
          <w:tcPr>
            <w:tcW w:w="275" w:type="pct"/>
            <w:vAlign w:val="center"/>
          </w:tcPr>
          <w:p w14:paraId="2141E451">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检查</w:t>
            </w:r>
          </w:p>
          <w:p w14:paraId="4A6A1744">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事项</w:t>
            </w:r>
          </w:p>
        </w:tc>
        <w:tc>
          <w:tcPr>
            <w:tcW w:w="1849" w:type="pct"/>
            <w:vAlign w:val="center"/>
          </w:tcPr>
          <w:p w14:paraId="65996C16">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实施依据</w:t>
            </w:r>
          </w:p>
        </w:tc>
        <w:tc>
          <w:tcPr>
            <w:tcW w:w="557" w:type="pct"/>
            <w:vAlign w:val="center"/>
          </w:tcPr>
          <w:p w14:paraId="4250F135">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具体检查对象</w:t>
            </w:r>
            <w:r>
              <w:rPr>
                <w:rFonts w:ascii="黑体" w:hAnsi="黑体" w:eastAsia="黑体" w:cs="黑体"/>
                <w:kern w:val="0"/>
                <w:sz w:val="22"/>
                <w:szCs w:val="22"/>
              </w:rPr>
              <w:t>(</w:t>
            </w:r>
            <w:r>
              <w:rPr>
                <w:rFonts w:hint="eastAsia" w:ascii="黑体" w:hAnsi="黑体" w:eastAsia="黑体" w:cs="黑体"/>
                <w:kern w:val="0"/>
                <w:sz w:val="22"/>
                <w:szCs w:val="22"/>
              </w:rPr>
              <w:t>含数量</w:t>
            </w:r>
            <w:r>
              <w:rPr>
                <w:rFonts w:ascii="黑体" w:hAnsi="黑体" w:eastAsia="黑体" w:cs="黑体"/>
                <w:kern w:val="0"/>
                <w:sz w:val="22"/>
                <w:szCs w:val="22"/>
              </w:rPr>
              <w:t>)</w:t>
            </w:r>
            <w:r>
              <w:rPr>
                <w:rFonts w:hint="eastAsia" w:ascii="黑体" w:hAnsi="黑体" w:eastAsia="黑体" w:cs="黑体"/>
                <w:kern w:val="0"/>
                <w:sz w:val="22"/>
                <w:szCs w:val="22"/>
              </w:rPr>
              <w:t>或</w:t>
            </w:r>
          </w:p>
          <w:p w14:paraId="5CC5A7BB">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“双随机”抽查对象（含总数及比例）</w:t>
            </w:r>
          </w:p>
        </w:tc>
        <w:tc>
          <w:tcPr>
            <w:tcW w:w="518" w:type="pct"/>
            <w:vAlign w:val="center"/>
          </w:tcPr>
          <w:p w14:paraId="5383475B">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检查内容</w:t>
            </w:r>
          </w:p>
          <w:p w14:paraId="3E847435">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（项目）</w:t>
            </w:r>
          </w:p>
        </w:tc>
        <w:tc>
          <w:tcPr>
            <w:tcW w:w="370" w:type="pct"/>
            <w:vAlign w:val="center"/>
          </w:tcPr>
          <w:p w14:paraId="7A361B0D">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拟实施</w:t>
            </w:r>
          </w:p>
          <w:p w14:paraId="26763DE7">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检查时间</w:t>
            </w:r>
          </w:p>
        </w:tc>
        <w:tc>
          <w:tcPr>
            <w:tcW w:w="278" w:type="pct"/>
            <w:vAlign w:val="center"/>
          </w:tcPr>
          <w:p w14:paraId="18F4F491">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检查</w:t>
            </w:r>
          </w:p>
          <w:p w14:paraId="1DE4499F">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方式</w:t>
            </w:r>
          </w:p>
        </w:tc>
        <w:tc>
          <w:tcPr>
            <w:tcW w:w="246" w:type="pct"/>
            <w:vAlign w:val="center"/>
          </w:tcPr>
          <w:p w14:paraId="4A7B7F47">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年度检查频次</w:t>
            </w:r>
          </w:p>
        </w:tc>
        <w:tc>
          <w:tcPr>
            <w:tcW w:w="212" w:type="pct"/>
            <w:vAlign w:val="center"/>
          </w:tcPr>
          <w:p w14:paraId="78845665">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承办机构</w:t>
            </w:r>
          </w:p>
        </w:tc>
        <w:tc>
          <w:tcPr>
            <w:tcW w:w="289" w:type="pct"/>
            <w:vAlign w:val="center"/>
          </w:tcPr>
          <w:p w14:paraId="36B1CC4B">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是否属于跨部门联合检查</w:t>
            </w:r>
          </w:p>
        </w:tc>
        <w:tc>
          <w:tcPr>
            <w:tcW w:w="189" w:type="pct"/>
            <w:vAlign w:val="center"/>
          </w:tcPr>
          <w:p w14:paraId="6838B793">
            <w:pPr>
              <w:spacing w:line="240" w:lineRule="exact"/>
              <w:jc w:val="center"/>
              <w:rPr>
                <w:rFonts w:ascii="黑体" w:hAnsi="黑体" w:eastAsia="黑体" w:cs="黑体"/>
                <w:kern w:val="0"/>
                <w:sz w:val="22"/>
                <w:szCs w:val="22"/>
              </w:rPr>
            </w:pPr>
            <w:r>
              <w:rPr>
                <w:rFonts w:hint="eastAsia" w:ascii="黑体" w:hAnsi="黑体" w:eastAsia="黑体" w:cs="黑体"/>
                <w:kern w:val="0"/>
                <w:sz w:val="22"/>
                <w:szCs w:val="22"/>
              </w:rPr>
              <w:t>备注</w:t>
            </w:r>
          </w:p>
        </w:tc>
      </w:tr>
      <w:tr w14:paraId="625F2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6" w:hRule="atLeast"/>
          <w:jc w:val="center"/>
        </w:trPr>
        <w:tc>
          <w:tcPr>
            <w:tcW w:w="210" w:type="pct"/>
            <w:vAlign w:val="center"/>
          </w:tcPr>
          <w:p w14:paraId="08868DE9">
            <w:pPr>
              <w:jc w:val="center"/>
              <w:rPr>
                <w:bCs/>
                <w:sz w:val="18"/>
                <w:szCs w:val="18"/>
              </w:rPr>
            </w:pPr>
            <w:r>
              <w:rPr>
                <w:bCs/>
                <w:sz w:val="18"/>
                <w:szCs w:val="18"/>
              </w:rPr>
              <w:t>1</w:t>
            </w:r>
          </w:p>
        </w:tc>
        <w:tc>
          <w:tcPr>
            <w:tcW w:w="275" w:type="pct"/>
            <w:vAlign w:val="center"/>
          </w:tcPr>
          <w:p w14:paraId="385750D4">
            <w:pPr>
              <w:pStyle w:val="11"/>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对涉密地理信息成果保密的行政检查</w:t>
            </w:r>
          </w:p>
        </w:tc>
        <w:tc>
          <w:tcPr>
            <w:tcW w:w="1849" w:type="pct"/>
            <w:vAlign w:val="center"/>
          </w:tcPr>
          <w:p w14:paraId="7663C341">
            <w:pPr>
              <w:ind w:firstLine="180" w:firstLineChars="100"/>
              <w:jc w:val="left"/>
              <w:rPr>
                <w:rFonts w:ascii="宋体" w:cs="宋体"/>
                <w:sz w:val="18"/>
                <w:szCs w:val="18"/>
              </w:rPr>
            </w:pPr>
            <w:r>
              <w:rPr>
                <w:rFonts w:ascii="宋体" w:hAnsi="宋体" w:cs="宋体"/>
                <w:sz w:val="18"/>
                <w:szCs w:val="18"/>
              </w:rPr>
              <w:t>1.</w:t>
            </w:r>
            <w:r>
              <w:rPr>
                <w:rFonts w:hint="eastAsia" w:ascii="宋体" w:hAnsi="宋体" w:cs="宋体"/>
                <w:sz w:val="18"/>
                <w:szCs w:val="18"/>
              </w:rPr>
              <w:t>《中华人民共和国保守国家秘密法》第四十九条：保密行政管理部门依法组织开展保密宣传教育、保密检查、保密技术防护、保密违法案件调查处理工作，对保密工作进行指导和监督管理。</w:t>
            </w:r>
          </w:p>
          <w:p w14:paraId="35BCC947">
            <w:pPr>
              <w:ind w:firstLine="180" w:firstLineChars="100"/>
              <w:jc w:val="left"/>
              <w:rPr>
                <w:rFonts w:ascii="宋体" w:cs="宋体"/>
                <w:color w:val="000000" w:themeColor="text1"/>
                <w:sz w:val="18"/>
                <w:szCs w:val="18"/>
                <w14:textFill>
                  <w14:solidFill>
                    <w14:schemeClr w14:val="tx1"/>
                  </w14:solidFill>
                </w14:textFill>
              </w:rPr>
            </w:pPr>
            <w:r>
              <w:rPr>
                <w:rFonts w:ascii="宋体" w:hAnsi="宋体" w:cs="宋体"/>
                <w:sz w:val="18"/>
                <w:szCs w:val="18"/>
              </w:rPr>
              <w:t>2.</w:t>
            </w:r>
            <w:r>
              <w:rPr>
                <w:rFonts w:hint="eastAsia" w:ascii="宋体" w:hAnsi="宋体" w:cs="宋体"/>
                <w:sz w:val="18"/>
                <w:szCs w:val="18"/>
              </w:rPr>
              <w:t>《中华人民共和国测绘法》第四十</w:t>
            </w:r>
            <w:r>
              <w:rPr>
                <w:rFonts w:hint="eastAsia" w:ascii="宋体" w:hAnsi="宋体" w:cs="宋体"/>
                <w:color w:val="000000" w:themeColor="text1"/>
                <w:sz w:val="18"/>
                <w:szCs w:val="18"/>
                <w14:textFill>
                  <w14:solidFill>
                    <w14:schemeClr w14:val="tx1"/>
                  </w14:solidFill>
                </w14:textFill>
              </w:rPr>
              <w:t>九条</w:t>
            </w:r>
            <w:r>
              <w:rPr>
                <w:rFonts w:hint="eastAsia" w:ascii="宋体" w:hAnsi="宋体" w:cs="宋体"/>
                <w:color w:val="000000" w:themeColor="text1"/>
                <w:sz w:val="18"/>
                <w:szCs w:val="18"/>
                <w:lang w:eastAsia="zh-CN"/>
                <w14:textFill>
                  <w14:solidFill>
                    <w14:schemeClr w14:val="tx1"/>
                  </w14:solidFill>
                </w14:textFill>
              </w:rPr>
              <w:t>第一款</w:t>
            </w:r>
            <w:r>
              <w:rPr>
                <w:rFonts w:hint="eastAsia" w:ascii="宋体" w:hAnsi="宋体" w:cs="宋体"/>
                <w:color w:val="000000" w:themeColor="text1"/>
                <w:sz w:val="18"/>
                <w:szCs w:val="18"/>
                <w14:textFill>
                  <w14:solidFill>
                    <w14:schemeClr w14:val="tx1"/>
                  </w14:solidFill>
                </w14:textFill>
              </w:rPr>
              <w:t>：县级以上人民政府测绘地理信息主管部门应当建立健全随机抽查机制，依法履行监督检查职责，发现涉嫌违反本法规定行为的，可以依法采取下列措施：（一）查阅、复制有关合同、票据、账簿、登记台账以及其他有关文件、资料；（二）查封、扣押与涉嫌违法测绘行为直接相关的设备、工具、原材料、测绘成果资料等。</w:t>
            </w:r>
          </w:p>
          <w:p w14:paraId="5928D01C">
            <w:pPr>
              <w:ind w:firstLine="180" w:firstLineChars="100"/>
              <w:rPr>
                <w:rFonts w:ascii="宋体" w:cs="宋体"/>
                <w:kern w:val="0"/>
                <w:sz w:val="22"/>
                <w:szCs w:val="22"/>
              </w:rPr>
            </w:pPr>
            <w:r>
              <w:rPr>
                <w:rFonts w:ascii="宋体" w:hAnsi="宋体" w:cs="宋体"/>
                <w:color w:val="000000" w:themeColor="text1"/>
                <w:sz w:val="18"/>
                <w:szCs w:val="18"/>
                <w14:textFill>
                  <w14:solidFill>
                    <w14:schemeClr w14:val="tx1"/>
                  </w14:solidFill>
                </w14:textFill>
              </w:rPr>
              <w:t>3.</w:t>
            </w:r>
            <w:r>
              <w:rPr>
                <w:rFonts w:hint="eastAsia" w:ascii="宋体" w:hAnsi="宋体" w:cs="宋体"/>
                <w:color w:val="000000" w:themeColor="text1"/>
                <w:sz w:val="18"/>
                <w:szCs w:val="18"/>
                <w14:textFill>
                  <w14:solidFill>
                    <w14:schemeClr w14:val="tx1"/>
                  </w14:solidFill>
                </w14:textFill>
              </w:rPr>
              <w:t>《湖南省测绘地理信息条例》第二十九条</w:t>
            </w:r>
            <w:r>
              <w:rPr>
                <w:rFonts w:hint="eastAsia" w:ascii="宋体" w:hAnsi="宋体" w:cs="宋体"/>
                <w:color w:val="000000" w:themeColor="text1"/>
                <w:sz w:val="18"/>
                <w:szCs w:val="18"/>
                <w:lang w:eastAsia="zh-CN"/>
                <w14:textFill>
                  <w14:solidFill>
                    <w14:schemeClr w14:val="tx1"/>
                  </w14:solidFill>
                </w14:textFill>
              </w:rPr>
              <w:t>第一款</w:t>
            </w:r>
            <w:r>
              <w:rPr>
                <w:rFonts w:hint="eastAsia" w:ascii="宋体" w:hAnsi="宋体" w:cs="宋体"/>
                <w:color w:val="000000" w:themeColor="text1"/>
                <w:sz w:val="18"/>
                <w:szCs w:val="18"/>
                <w14:textFill>
                  <w14:solidFill>
                    <w14:schemeClr w14:val="tx1"/>
                  </w14:solidFill>
                </w14:textFill>
              </w:rPr>
              <w:t>：县级以上人</w:t>
            </w:r>
            <w:r>
              <w:rPr>
                <w:rFonts w:hint="eastAsia" w:ascii="宋体" w:hAnsi="宋体" w:cs="宋体"/>
                <w:sz w:val="18"/>
                <w:szCs w:val="18"/>
              </w:rPr>
              <w:t>民政府自然资源主管部门应当会同国家安全、保密、网信等有关部门，对测绘活动涉及的数据安全定期开展联合检查与信息通报</w:t>
            </w:r>
            <w:r>
              <w:rPr>
                <w:rFonts w:hint="eastAsia" w:ascii="宋体" w:hAnsi="宋体" w:cs="宋体"/>
                <w:sz w:val="18"/>
                <w:szCs w:val="18"/>
                <w:lang w:eastAsia="zh-CN"/>
              </w:rPr>
              <w:t>；</w:t>
            </w:r>
            <w:r>
              <w:rPr>
                <w:rFonts w:hint="eastAsia" w:ascii="宋体" w:hAnsi="宋体" w:cs="宋体"/>
                <w:sz w:val="18"/>
                <w:szCs w:val="18"/>
              </w:rPr>
              <w:t>加强对卫星导航定位基准站建设、运行服务的安全监管。</w:t>
            </w:r>
          </w:p>
        </w:tc>
        <w:tc>
          <w:tcPr>
            <w:tcW w:w="557" w:type="pct"/>
            <w:vAlign w:val="center"/>
          </w:tcPr>
          <w:p w14:paraId="3B7539AA">
            <w:pPr>
              <w:spacing w:line="240" w:lineRule="exact"/>
              <w:ind w:firstLine="180" w:firstLineChars="100"/>
              <w:jc w:val="left"/>
              <w:rPr>
                <w:rFonts w:ascii="宋体" w:cs="宋体"/>
                <w:kern w:val="0"/>
                <w:sz w:val="18"/>
                <w:szCs w:val="18"/>
              </w:rPr>
            </w:pPr>
            <w:r>
              <w:rPr>
                <w:rFonts w:hint="eastAsia" w:ascii="宋体" w:hAnsi="宋体" w:cs="宋体"/>
                <w:kern w:val="0"/>
                <w:sz w:val="18"/>
                <w:szCs w:val="18"/>
              </w:rPr>
              <w:t>从县内注册的测绘单位</w:t>
            </w:r>
            <w:r>
              <w:rPr>
                <w:rFonts w:ascii="宋体" w:hAnsi="宋体" w:cs="宋体"/>
                <w:kern w:val="0"/>
                <w:sz w:val="18"/>
                <w:szCs w:val="18"/>
              </w:rPr>
              <w:t>7</w:t>
            </w:r>
            <w:r>
              <w:rPr>
                <w:rFonts w:hint="eastAsia" w:ascii="宋体" w:hAnsi="宋体" w:cs="宋体"/>
                <w:kern w:val="0"/>
                <w:sz w:val="18"/>
                <w:szCs w:val="18"/>
              </w:rPr>
              <w:t>家、</w:t>
            </w:r>
            <w:r>
              <w:rPr>
                <w:rFonts w:ascii="宋体" w:hAnsi="宋体" w:cs="宋体"/>
                <w:kern w:val="0"/>
                <w:sz w:val="18"/>
                <w:szCs w:val="18"/>
              </w:rPr>
              <w:t>2024</w:t>
            </w:r>
            <w:r>
              <w:rPr>
                <w:rFonts w:hint="eastAsia" w:ascii="宋体" w:hAnsi="宋体" w:cs="宋体"/>
                <w:kern w:val="0"/>
                <w:sz w:val="18"/>
                <w:szCs w:val="18"/>
              </w:rPr>
              <w:t>年度申请使用测绘地理信息数据单位</w:t>
            </w:r>
            <w:r>
              <w:rPr>
                <w:rFonts w:ascii="宋体" w:hAnsi="宋体" w:cs="宋体"/>
                <w:kern w:val="0"/>
                <w:sz w:val="18"/>
                <w:szCs w:val="18"/>
              </w:rPr>
              <w:t>24</w:t>
            </w:r>
            <w:r>
              <w:rPr>
                <w:rFonts w:hint="eastAsia" w:ascii="宋体" w:hAnsi="宋体" w:cs="宋体"/>
                <w:kern w:val="0"/>
                <w:sz w:val="18"/>
                <w:szCs w:val="18"/>
              </w:rPr>
              <w:t>家中，抽取</w:t>
            </w:r>
            <w:r>
              <w:rPr>
                <w:rFonts w:ascii="宋体" w:hAnsi="宋体" w:cs="宋体"/>
                <w:kern w:val="0"/>
                <w:sz w:val="18"/>
                <w:szCs w:val="18"/>
              </w:rPr>
              <w:t>2</w:t>
            </w:r>
            <w:r>
              <w:rPr>
                <w:rFonts w:hint="eastAsia" w:ascii="宋体" w:hAnsi="宋体" w:cs="宋体"/>
                <w:kern w:val="0"/>
                <w:sz w:val="18"/>
                <w:szCs w:val="18"/>
              </w:rPr>
              <w:t>家检查</w:t>
            </w:r>
          </w:p>
        </w:tc>
        <w:tc>
          <w:tcPr>
            <w:tcW w:w="518" w:type="pct"/>
            <w:vAlign w:val="center"/>
          </w:tcPr>
          <w:p w14:paraId="7F97BDF6">
            <w:pPr>
              <w:widowControl/>
              <w:spacing w:line="240" w:lineRule="exact"/>
              <w:jc w:val="left"/>
              <w:rPr>
                <w:rFonts w:ascii="宋体" w:cs="宋体"/>
                <w:kern w:val="0"/>
                <w:sz w:val="18"/>
                <w:szCs w:val="18"/>
              </w:rPr>
            </w:pPr>
            <w:r>
              <w:rPr>
                <w:rFonts w:hint="eastAsia" w:ascii="宋体" w:hAnsi="宋体" w:cs="宋体"/>
                <w:kern w:val="0"/>
                <w:sz w:val="18"/>
                <w:szCs w:val="18"/>
              </w:rPr>
              <w:t>自然资源涉密和敏感数据安全保密管理、涉密地理信息成果保密检查</w:t>
            </w:r>
          </w:p>
        </w:tc>
        <w:tc>
          <w:tcPr>
            <w:tcW w:w="370" w:type="pct"/>
            <w:vAlign w:val="center"/>
          </w:tcPr>
          <w:p w14:paraId="3E9AEF40">
            <w:pPr>
              <w:spacing w:line="240" w:lineRule="exact"/>
              <w:jc w:val="center"/>
              <w:rPr>
                <w:rFonts w:ascii="宋体" w:cs="宋体"/>
                <w:kern w:val="0"/>
                <w:sz w:val="18"/>
                <w:szCs w:val="18"/>
              </w:rPr>
            </w:pPr>
            <w:r>
              <w:rPr>
                <w:rFonts w:ascii="宋体" w:hAnsi="宋体" w:cs="宋体"/>
                <w:kern w:val="0"/>
                <w:sz w:val="18"/>
                <w:szCs w:val="18"/>
              </w:rPr>
              <w:t>3-12</w:t>
            </w:r>
            <w:r>
              <w:rPr>
                <w:rFonts w:hint="eastAsia" w:ascii="宋体" w:hAnsi="宋体" w:cs="宋体"/>
                <w:kern w:val="0"/>
                <w:sz w:val="18"/>
                <w:szCs w:val="18"/>
              </w:rPr>
              <w:t>月</w:t>
            </w:r>
          </w:p>
        </w:tc>
        <w:tc>
          <w:tcPr>
            <w:tcW w:w="278" w:type="pct"/>
            <w:vAlign w:val="center"/>
          </w:tcPr>
          <w:p w14:paraId="487A981B">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现场检查</w:t>
            </w:r>
          </w:p>
        </w:tc>
        <w:tc>
          <w:tcPr>
            <w:tcW w:w="246" w:type="pct"/>
            <w:vAlign w:val="center"/>
          </w:tcPr>
          <w:p w14:paraId="4C50156D">
            <w:pPr>
              <w:spacing w:line="240" w:lineRule="exact"/>
              <w:jc w:val="center"/>
              <w:rPr>
                <w:rFonts w:ascii="宋体" w:cs="宋体"/>
                <w:kern w:val="0"/>
                <w:sz w:val="18"/>
                <w:szCs w:val="18"/>
              </w:rPr>
            </w:pPr>
            <w:r>
              <w:rPr>
                <w:rFonts w:ascii="宋体" w:hAnsi="宋体" w:cs="宋体"/>
                <w:kern w:val="0"/>
                <w:sz w:val="18"/>
                <w:szCs w:val="18"/>
              </w:rPr>
              <w:t>1</w:t>
            </w:r>
            <w:r>
              <w:rPr>
                <w:rFonts w:hint="eastAsia" w:ascii="宋体" w:hAnsi="宋体" w:cs="宋体"/>
                <w:spacing w:val="-6"/>
                <w:sz w:val="18"/>
                <w:szCs w:val="18"/>
              </w:rPr>
              <w:t>次</w:t>
            </w:r>
          </w:p>
        </w:tc>
        <w:tc>
          <w:tcPr>
            <w:tcW w:w="212" w:type="pct"/>
            <w:vAlign w:val="center"/>
          </w:tcPr>
          <w:p w14:paraId="2C25EEA1">
            <w:pPr>
              <w:spacing w:line="240" w:lineRule="exact"/>
              <w:jc w:val="center"/>
              <w:rPr>
                <w:rFonts w:ascii="宋体" w:cs="宋体"/>
                <w:kern w:val="0"/>
                <w:sz w:val="18"/>
                <w:szCs w:val="18"/>
              </w:rPr>
            </w:pPr>
            <w:r>
              <w:rPr>
                <w:rFonts w:hint="eastAsia" w:ascii="宋体" w:hAnsi="宋体" w:cs="宋体"/>
                <w:kern w:val="0"/>
                <w:sz w:val="18"/>
                <w:szCs w:val="18"/>
              </w:rPr>
              <w:t>测绘地理信息管理股</w:t>
            </w:r>
          </w:p>
        </w:tc>
        <w:tc>
          <w:tcPr>
            <w:tcW w:w="289" w:type="pct"/>
            <w:vAlign w:val="center"/>
          </w:tcPr>
          <w:p w14:paraId="05CF1B12">
            <w:pPr>
              <w:spacing w:line="240" w:lineRule="exact"/>
              <w:jc w:val="center"/>
              <w:rPr>
                <w:rFonts w:ascii="宋体" w:cs="宋体"/>
                <w:kern w:val="0"/>
                <w:sz w:val="18"/>
                <w:szCs w:val="18"/>
              </w:rPr>
            </w:pPr>
            <w:r>
              <w:rPr>
                <w:rFonts w:hint="eastAsia" w:ascii="宋体" w:hAnsi="宋体" w:cs="宋体"/>
                <w:kern w:val="0"/>
                <w:sz w:val="18"/>
                <w:szCs w:val="18"/>
              </w:rPr>
              <w:t>否</w:t>
            </w:r>
          </w:p>
        </w:tc>
        <w:tc>
          <w:tcPr>
            <w:tcW w:w="189" w:type="pct"/>
            <w:vAlign w:val="center"/>
          </w:tcPr>
          <w:p w14:paraId="49899B0B">
            <w:pPr>
              <w:autoSpaceDE w:val="0"/>
              <w:autoSpaceDN w:val="0"/>
              <w:adjustRightInd w:val="0"/>
              <w:spacing w:line="240" w:lineRule="exact"/>
              <w:jc w:val="center"/>
              <w:rPr>
                <w:rFonts w:hint="eastAsia" w:ascii="宋体" w:eastAsia="宋体" w:cs="宋体"/>
                <w:color w:val="000000"/>
                <w:kern w:val="0"/>
                <w:sz w:val="18"/>
                <w:szCs w:val="18"/>
                <w:lang w:eastAsia="zh-CN"/>
              </w:rPr>
            </w:pPr>
            <w:r>
              <w:rPr>
                <w:rFonts w:hint="eastAsia" w:ascii="宋体" w:cs="宋体"/>
                <w:color w:val="000000" w:themeColor="text1"/>
                <w:kern w:val="0"/>
                <w:sz w:val="18"/>
                <w:szCs w:val="18"/>
                <w:highlight w:val="none"/>
                <w:lang w:eastAsia="zh-CN"/>
                <w14:textFill>
                  <w14:solidFill>
                    <w14:schemeClr w14:val="tx1"/>
                  </w14:solidFill>
                </w14:textFill>
              </w:rPr>
              <w:t>“</w:t>
            </w:r>
            <w:r>
              <w:rPr>
                <w:rFonts w:hint="eastAsia" w:ascii="宋体" w:cs="宋体"/>
                <w:color w:val="000000" w:themeColor="text1"/>
                <w:kern w:val="0"/>
                <w:sz w:val="18"/>
                <w:szCs w:val="18"/>
                <w:highlight w:val="none"/>
                <w14:textFill>
                  <w14:solidFill>
                    <w14:schemeClr w14:val="tx1"/>
                  </w14:solidFill>
                </w14:textFill>
              </w:rPr>
              <w:t>双随机、一公开</w:t>
            </w:r>
            <w:r>
              <w:rPr>
                <w:rFonts w:hint="eastAsia" w:ascii="宋体" w:cs="宋体"/>
                <w:color w:val="000000" w:themeColor="text1"/>
                <w:kern w:val="0"/>
                <w:sz w:val="18"/>
                <w:szCs w:val="18"/>
                <w:highlight w:val="none"/>
                <w:lang w:eastAsia="zh-CN"/>
                <w14:textFill>
                  <w14:solidFill>
                    <w14:schemeClr w14:val="tx1"/>
                  </w14:solidFill>
                </w14:textFill>
              </w:rPr>
              <w:t>”</w:t>
            </w:r>
          </w:p>
        </w:tc>
      </w:tr>
      <w:tr w14:paraId="23CFF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4" w:hRule="atLeast"/>
          <w:jc w:val="center"/>
        </w:trPr>
        <w:tc>
          <w:tcPr>
            <w:tcW w:w="210" w:type="pct"/>
            <w:vAlign w:val="center"/>
          </w:tcPr>
          <w:p w14:paraId="6BB27FB7">
            <w:pPr>
              <w:jc w:val="center"/>
              <w:rPr>
                <w:sz w:val="18"/>
                <w:szCs w:val="18"/>
              </w:rPr>
            </w:pPr>
            <w:r>
              <w:rPr>
                <w:sz w:val="18"/>
                <w:szCs w:val="18"/>
              </w:rPr>
              <w:t>2</w:t>
            </w:r>
          </w:p>
        </w:tc>
        <w:tc>
          <w:tcPr>
            <w:tcW w:w="275" w:type="pct"/>
            <w:vAlign w:val="center"/>
          </w:tcPr>
          <w:p w14:paraId="137548A4">
            <w:pPr>
              <w:jc w:val="center"/>
              <w:rPr>
                <w:sz w:val="18"/>
                <w:szCs w:val="18"/>
              </w:rPr>
            </w:pPr>
            <w:r>
              <w:rPr>
                <w:rFonts w:hint="eastAsia"/>
                <w:sz w:val="18"/>
                <w:szCs w:val="18"/>
              </w:rPr>
              <w:t>对</w:t>
            </w:r>
            <w:r>
              <w:rPr>
                <w:rFonts w:hint="eastAsia"/>
                <w:color w:val="000000"/>
                <w:kern w:val="0"/>
                <w:sz w:val="18"/>
                <w:szCs w:val="18"/>
              </w:rPr>
              <w:t>测绘资质和测绘地理信息成果质量的行政检查</w:t>
            </w:r>
          </w:p>
        </w:tc>
        <w:tc>
          <w:tcPr>
            <w:tcW w:w="1849" w:type="pct"/>
            <w:vAlign w:val="center"/>
          </w:tcPr>
          <w:p w14:paraId="530E4131">
            <w:pPr>
              <w:ind w:firstLine="180" w:firstLineChars="100"/>
              <w:jc w:val="left"/>
              <w:rPr>
                <w:rFonts w:hint="default" w:ascii="宋体" w:eastAsia="宋体" w:cs="宋体"/>
                <w:color w:val="FF0000"/>
                <w:sz w:val="18"/>
                <w:szCs w:val="18"/>
                <w:lang w:val="en-US" w:eastAsia="zh-CN"/>
              </w:rPr>
            </w:pPr>
            <w:r>
              <w:rPr>
                <w:rFonts w:ascii="宋体" w:hAnsi="宋体" w:cs="宋体"/>
                <w:sz w:val="18"/>
                <w:szCs w:val="18"/>
              </w:rPr>
              <w:t>1.</w:t>
            </w:r>
            <w:r>
              <w:rPr>
                <w:rFonts w:hint="eastAsia" w:ascii="宋体" w:hAnsi="宋体" w:cs="宋体"/>
                <w:sz w:val="18"/>
                <w:szCs w:val="18"/>
              </w:rPr>
              <w:t>《中华人民共和国测绘法》第四条</w:t>
            </w:r>
            <w:r>
              <w:rPr>
                <w:rFonts w:hint="eastAsia" w:ascii="宋体" w:hAnsi="宋体" w:cs="宋体"/>
                <w:color w:val="000000" w:themeColor="text1"/>
                <w:sz w:val="18"/>
                <w:szCs w:val="18"/>
                <w:lang w:eastAsia="zh-CN"/>
                <w14:textFill>
                  <w14:solidFill>
                    <w14:schemeClr w14:val="tx1"/>
                  </w14:solidFill>
                </w14:textFill>
              </w:rPr>
              <w:t>第二款</w:t>
            </w:r>
            <w:r>
              <w:rPr>
                <w:rFonts w:hint="eastAsia" w:ascii="宋体" w:hAnsi="宋体" w:cs="宋体"/>
                <w:color w:val="000000" w:themeColor="text1"/>
                <w:sz w:val="18"/>
                <w:szCs w:val="18"/>
                <w14:textFill>
                  <w14:solidFill>
                    <w14:schemeClr w14:val="tx1"/>
                  </w14:solidFill>
                </w14:textFill>
              </w:rPr>
              <w:t>：</w:t>
            </w:r>
            <w:r>
              <w:rPr>
                <w:rFonts w:hint="eastAsia" w:ascii="宋体" w:hAnsi="宋体" w:cs="宋体"/>
                <w:sz w:val="18"/>
                <w:szCs w:val="18"/>
              </w:rPr>
              <w:t>县级以上地方人民政府测绘地理信息主管部门负责本行政区域测绘工作的统一监督管理。县级以上地方人民政府其他有关部门按照本级人民政府规定的职责分工，负责本部门有关的测绘工作。</w:t>
            </w:r>
          </w:p>
          <w:p w14:paraId="31F3CD65">
            <w:pPr>
              <w:ind w:firstLine="180" w:firstLineChars="100"/>
              <w:jc w:val="left"/>
              <w:rPr>
                <w:rFonts w:ascii="宋体" w:cs="宋体"/>
                <w:sz w:val="18"/>
                <w:szCs w:val="18"/>
              </w:rPr>
            </w:pPr>
            <w:r>
              <w:rPr>
                <w:rFonts w:hint="eastAsia" w:ascii="宋体" w:hAnsi="宋体" w:cs="宋体"/>
                <w:sz w:val="18"/>
                <w:szCs w:val="18"/>
                <w:lang w:val="en-US" w:eastAsia="zh-CN"/>
              </w:rPr>
              <w:t>2</w:t>
            </w:r>
            <w:r>
              <w:rPr>
                <w:rFonts w:ascii="宋体" w:hAnsi="宋体" w:cs="宋体"/>
                <w:sz w:val="18"/>
                <w:szCs w:val="18"/>
              </w:rPr>
              <w:t>.</w:t>
            </w:r>
            <w:r>
              <w:rPr>
                <w:rFonts w:hint="eastAsia" w:ascii="宋体" w:hAnsi="宋体" w:cs="宋体"/>
                <w:sz w:val="18"/>
                <w:szCs w:val="18"/>
              </w:rPr>
              <w:t>《测绘地理信息质量管理办法》（国测国发〔</w:t>
            </w:r>
            <w:r>
              <w:rPr>
                <w:rFonts w:ascii="宋体" w:hAnsi="宋体" w:cs="宋体"/>
                <w:sz w:val="18"/>
                <w:szCs w:val="18"/>
              </w:rPr>
              <w:t>2015</w:t>
            </w:r>
            <w:r>
              <w:rPr>
                <w:rFonts w:hint="eastAsia" w:ascii="宋体" w:hAnsi="宋体" w:cs="宋体"/>
                <w:sz w:val="18"/>
                <w:szCs w:val="18"/>
              </w:rPr>
              <w:t>〕</w:t>
            </w:r>
            <w:r>
              <w:rPr>
                <w:rFonts w:ascii="宋体" w:hAnsi="宋体" w:cs="宋体"/>
                <w:sz w:val="18"/>
                <w:szCs w:val="18"/>
              </w:rPr>
              <w:t>17</w:t>
            </w:r>
            <w:r>
              <w:rPr>
                <w:rFonts w:hint="eastAsia" w:ascii="宋体" w:hAnsi="宋体" w:cs="宋体"/>
                <w:sz w:val="18"/>
                <w:szCs w:val="18"/>
              </w:rPr>
              <w:t>号）第七条：国家测绘地理信息局按年度制定国家测绘地理信息质量监督检查计划。县级以上地方人民政府测绘地理信息行政主管部门依据上一级质量监督检查计划并结合本地情况，安排本级监督检查工作，报上一级测绘地理信息行政主管部门备案。同一测绘地理信息项目或同一批次成果，上级监督检查的，下级不得另行重复检查。</w:t>
            </w:r>
          </w:p>
          <w:p w14:paraId="6C800D5A">
            <w:pPr>
              <w:ind w:firstLine="180" w:firstLineChars="100"/>
              <w:jc w:val="left"/>
              <w:rPr>
                <w:rFonts w:ascii="宋体" w:cs="宋体"/>
                <w:sz w:val="18"/>
                <w:szCs w:val="18"/>
              </w:rPr>
            </w:pPr>
            <w:r>
              <w:rPr>
                <w:rFonts w:hint="eastAsia" w:ascii="宋体" w:hAnsi="宋体" w:cs="宋体"/>
                <w:sz w:val="18"/>
                <w:szCs w:val="18"/>
                <w:lang w:val="en-US" w:eastAsia="zh-CN"/>
              </w:rPr>
              <w:t>3</w:t>
            </w:r>
            <w:r>
              <w:rPr>
                <w:rFonts w:ascii="宋体" w:hAnsi="宋体" w:cs="宋体"/>
                <w:sz w:val="18"/>
                <w:szCs w:val="18"/>
              </w:rPr>
              <w:t>.</w:t>
            </w:r>
            <w:r>
              <w:rPr>
                <w:rFonts w:hint="eastAsia" w:ascii="宋体" w:hAnsi="宋体" w:cs="宋体"/>
                <w:sz w:val="18"/>
                <w:szCs w:val="18"/>
              </w:rPr>
              <w:t>《测绘成果质量监督抽查管理办法》（国测国发〔</w:t>
            </w:r>
            <w:r>
              <w:rPr>
                <w:rFonts w:ascii="宋体" w:hAnsi="宋体" w:cs="宋体"/>
                <w:sz w:val="18"/>
                <w:szCs w:val="18"/>
              </w:rPr>
              <w:t>2010</w:t>
            </w:r>
            <w:r>
              <w:rPr>
                <w:rFonts w:hint="eastAsia" w:ascii="宋体" w:hAnsi="宋体" w:cs="宋体"/>
                <w:sz w:val="18"/>
                <w:szCs w:val="18"/>
              </w:rPr>
              <w:t>〕</w:t>
            </w:r>
            <w:r>
              <w:rPr>
                <w:rFonts w:ascii="宋体" w:hAnsi="宋体" w:cs="宋体"/>
                <w:sz w:val="18"/>
                <w:szCs w:val="18"/>
              </w:rPr>
              <w:t>9</w:t>
            </w:r>
            <w:r>
              <w:rPr>
                <w:rFonts w:hint="eastAsia" w:ascii="宋体" w:hAnsi="宋体" w:cs="宋体"/>
                <w:sz w:val="18"/>
                <w:szCs w:val="18"/>
              </w:rPr>
              <w:t>号）第三条：国家测绘局负责组织实施全国质量监督抽查工作。县级以上地方人民政府测绘行政主管部门负责组织实施本行政区域内质量监督抽查工作。</w:t>
            </w:r>
          </w:p>
          <w:p w14:paraId="3FB2C5FC">
            <w:pPr>
              <w:ind w:firstLine="180" w:firstLineChars="100"/>
              <w:rPr>
                <w:rFonts w:ascii="宋体" w:cs="宋体"/>
                <w:kern w:val="0"/>
                <w:sz w:val="22"/>
                <w:szCs w:val="22"/>
              </w:rPr>
            </w:pPr>
            <w:r>
              <w:rPr>
                <w:rFonts w:hint="eastAsia" w:ascii="宋体" w:hAnsi="宋体" w:cs="宋体"/>
                <w:sz w:val="18"/>
                <w:szCs w:val="18"/>
                <w:lang w:val="en-US" w:eastAsia="zh-CN"/>
              </w:rPr>
              <w:t>4</w:t>
            </w:r>
            <w:r>
              <w:rPr>
                <w:rFonts w:ascii="宋体" w:hAnsi="宋体" w:cs="宋体"/>
                <w:sz w:val="18"/>
                <w:szCs w:val="18"/>
              </w:rPr>
              <w:t>.</w:t>
            </w:r>
            <w:r>
              <w:rPr>
                <w:rFonts w:hint="eastAsia" w:ascii="宋体" w:hAnsi="宋体" w:cs="宋体"/>
                <w:sz w:val="18"/>
                <w:szCs w:val="18"/>
              </w:rPr>
              <w:t>《湖南省测绘地理信息条例》第三十条：县级以上人民政府自然资源主管部门应当组织开展测绘成果质量检查，每年按比例随机抽检测绘地理信息项目质量，并向社会公布监督检查结</w:t>
            </w:r>
            <w:r>
              <w:rPr>
                <w:rFonts w:hint="eastAsia" w:ascii="宋体" w:hAnsi="宋体" w:cs="宋体"/>
                <w:color w:val="000000" w:themeColor="text1"/>
                <w:sz w:val="18"/>
                <w:szCs w:val="18"/>
                <w14:textFill>
                  <w14:solidFill>
                    <w14:schemeClr w14:val="tx1"/>
                  </w14:solidFill>
                </w14:textFill>
              </w:rPr>
              <w:t>果</w:t>
            </w:r>
            <w:r>
              <w:rPr>
                <w:rFonts w:hint="eastAsia" w:ascii="宋体" w:hAnsi="宋体" w:cs="宋体"/>
                <w:color w:val="FF0000"/>
                <w:sz w:val="18"/>
                <w:szCs w:val="18"/>
                <w:lang w:val="en-US" w:eastAsia="zh-CN"/>
              </w:rPr>
              <w:t>.....</w:t>
            </w:r>
            <w:r>
              <w:rPr>
                <w:rFonts w:hint="eastAsia" w:ascii="宋体" w:hAnsi="宋体" w:cs="宋体"/>
                <w:sz w:val="18"/>
                <w:szCs w:val="18"/>
              </w:rPr>
              <w:t>。</w:t>
            </w:r>
          </w:p>
        </w:tc>
        <w:tc>
          <w:tcPr>
            <w:tcW w:w="557" w:type="pct"/>
            <w:vAlign w:val="center"/>
          </w:tcPr>
          <w:p w14:paraId="11AD47DA">
            <w:pPr>
              <w:spacing w:line="240" w:lineRule="exact"/>
              <w:ind w:firstLine="180" w:firstLineChars="100"/>
              <w:jc w:val="left"/>
              <w:rPr>
                <w:rFonts w:ascii="宋体" w:cs="宋体"/>
                <w:kern w:val="0"/>
                <w:sz w:val="18"/>
                <w:szCs w:val="18"/>
              </w:rPr>
            </w:pPr>
            <w:r>
              <w:rPr>
                <w:rFonts w:hint="eastAsia" w:ascii="宋体" w:hAnsi="宋体" w:cs="宋体"/>
                <w:kern w:val="0"/>
                <w:sz w:val="18"/>
                <w:szCs w:val="18"/>
              </w:rPr>
              <w:t>从县内注册的</w:t>
            </w:r>
            <w:r>
              <w:rPr>
                <w:rFonts w:ascii="宋体" w:hAnsi="宋体" w:cs="宋体"/>
                <w:kern w:val="0"/>
                <w:sz w:val="18"/>
                <w:szCs w:val="18"/>
              </w:rPr>
              <w:t>7</w:t>
            </w:r>
            <w:r>
              <w:rPr>
                <w:rFonts w:hint="eastAsia" w:ascii="宋体" w:hAnsi="宋体" w:cs="宋体"/>
                <w:kern w:val="0"/>
                <w:sz w:val="18"/>
                <w:szCs w:val="18"/>
              </w:rPr>
              <w:t>家乙级测绘单位（不具备大地测量、测绘航空摄影、地图编制、互联网地图服务任意一项专业资质）中，抽取</w:t>
            </w:r>
            <w:r>
              <w:rPr>
                <w:rFonts w:ascii="宋体" w:hAnsi="宋体" w:cs="宋体"/>
                <w:kern w:val="0"/>
                <w:sz w:val="18"/>
                <w:szCs w:val="18"/>
              </w:rPr>
              <w:t>2</w:t>
            </w:r>
            <w:r>
              <w:rPr>
                <w:rFonts w:hint="eastAsia" w:ascii="宋体" w:hAnsi="宋体" w:cs="宋体"/>
                <w:kern w:val="0"/>
                <w:sz w:val="18"/>
                <w:szCs w:val="18"/>
              </w:rPr>
              <w:t>家检查</w:t>
            </w:r>
          </w:p>
        </w:tc>
        <w:tc>
          <w:tcPr>
            <w:tcW w:w="518" w:type="pct"/>
            <w:vAlign w:val="center"/>
          </w:tcPr>
          <w:p w14:paraId="0E6688F9">
            <w:pPr>
              <w:widowControl/>
              <w:spacing w:line="240" w:lineRule="exact"/>
              <w:jc w:val="left"/>
              <w:rPr>
                <w:rFonts w:ascii="宋体" w:cs="宋体"/>
                <w:kern w:val="0"/>
                <w:sz w:val="18"/>
                <w:szCs w:val="18"/>
              </w:rPr>
            </w:pPr>
            <w:r>
              <w:rPr>
                <w:rFonts w:hint="eastAsia" w:ascii="宋体" w:hAnsi="宋体" w:cs="宋体"/>
                <w:kern w:val="0"/>
                <w:sz w:val="18"/>
                <w:szCs w:val="18"/>
              </w:rPr>
              <w:t>测绘资质和测绘地理信息成果质量情况</w:t>
            </w:r>
          </w:p>
        </w:tc>
        <w:tc>
          <w:tcPr>
            <w:tcW w:w="370" w:type="pct"/>
            <w:vAlign w:val="center"/>
          </w:tcPr>
          <w:p w14:paraId="5AE5917C">
            <w:pPr>
              <w:spacing w:line="240" w:lineRule="exact"/>
              <w:jc w:val="center"/>
              <w:rPr>
                <w:rFonts w:ascii="宋体" w:cs="宋体"/>
                <w:kern w:val="0"/>
                <w:sz w:val="18"/>
                <w:szCs w:val="18"/>
              </w:rPr>
            </w:pPr>
            <w:r>
              <w:rPr>
                <w:rFonts w:ascii="宋体" w:hAnsi="宋体" w:cs="宋体"/>
                <w:kern w:val="0"/>
                <w:sz w:val="18"/>
                <w:szCs w:val="18"/>
              </w:rPr>
              <w:t>3-12</w:t>
            </w:r>
            <w:r>
              <w:rPr>
                <w:rFonts w:hint="eastAsia" w:ascii="宋体" w:hAnsi="宋体" w:cs="宋体"/>
                <w:kern w:val="0"/>
                <w:sz w:val="18"/>
                <w:szCs w:val="18"/>
              </w:rPr>
              <w:t>月</w:t>
            </w:r>
          </w:p>
        </w:tc>
        <w:tc>
          <w:tcPr>
            <w:tcW w:w="278" w:type="pct"/>
            <w:vAlign w:val="center"/>
          </w:tcPr>
          <w:p w14:paraId="4D1D099D">
            <w:pPr>
              <w:widowControl/>
              <w:spacing w:line="240" w:lineRule="exact"/>
              <w:jc w:val="center"/>
              <w:rPr>
                <w:rFonts w:hint="eastAsia" w:ascii="宋体" w:eastAsia="宋体" w:cs="宋体"/>
                <w:kern w:val="0"/>
                <w:sz w:val="18"/>
                <w:szCs w:val="18"/>
                <w:lang w:eastAsia="zh-CN"/>
              </w:rPr>
            </w:pPr>
            <w:r>
              <w:rPr>
                <w:rFonts w:hint="eastAsia" w:ascii="宋体" w:hAnsi="宋体" w:cs="宋体"/>
                <w:color w:val="000000" w:themeColor="text1"/>
                <w:kern w:val="0"/>
                <w:sz w:val="18"/>
                <w:szCs w:val="18"/>
                <w14:textFill>
                  <w14:solidFill>
                    <w14:schemeClr w14:val="tx1"/>
                  </w14:solidFill>
                </w14:textFill>
              </w:rPr>
              <w:t>现场</w:t>
            </w:r>
            <w:r>
              <w:rPr>
                <w:rFonts w:ascii="宋体" w:hAnsi="宋体" w:cs="宋体"/>
                <w:color w:val="000000" w:themeColor="text1"/>
                <w:kern w:val="0"/>
                <w:sz w:val="18"/>
                <w:szCs w:val="18"/>
                <w14:textFill>
                  <w14:solidFill>
                    <w14:schemeClr w14:val="tx1"/>
                  </w14:solidFill>
                </w14:textFill>
              </w:rPr>
              <w:t xml:space="preserve">  </w:t>
            </w:r>
            <w:r>
              <w:rPr>
                <w:rFonts w:hint="eastAsia" w:ascii="宋体" w:hAnsi="宋体" w:cs="宋体"/>
                <w:color w:val="000000" w:themeColor="text1"/>
                <w:kern w:val="0"/>
                <w:sz w:val="18"/>
                <w:szCs w:val="18"/>
                <w:lang w:eastAsia="zh-CN"/>
                <w14:textFill>
                  <w14:solidFill>
                    <w14:schemeClr w14:val="tx1"/>
                  </w14:solidFill>
                </w14:textFill>
              </w:rPr>
              <w:t>检查</w:t>
            </w:r>
          </w:p>
        </w:tc>
        <w:tc>
          <w:tcPr>
            <w:tcW w:w="246" w:type="pct"/>
            <w:vAlign w:val="center"/>
          </w:tcPr>
          <w:p w14:paraId="4EC89B7F">
            <w:pPr>
              <w:spacing w:line="240" w:lineRule="exact"/>
              <w:jc w:val="center"/>
              <w:rPr>
                <w:rFonts w:ascii="宋体" w:cs="宋体"/>
                <w:kern w:val="0"/>
                <w:sz w:val="18"/>
                <w:szCs w:val="18"/>
              </w:rPr>
            </w:pPr>
            <w:r>
              <w:rPr>
                <w:rFonts w:ascii="宋体" w:hAnsi="宋体" w:cs="宋体"/>
                <w:kern w:val="0"/>
                <w:sz w:val="18"/>
                <w:szCs w:val="18"/>
              </w:rPr>
              <w:t>1</w:t>
            </w:r>
            <w:r>
              <w:rPr>
                <w:rFonts w:hint="eastAsia" w:ascii="宋体" w:hAnsi="宋体" w:cs="宋体"/>
                <w:spacing w:val="-6"/>
                <w:sz w:val="18"/>
                <w:szCs w:val="18"/>
              </w:rPr>
              <w:t>次</w:t>
            </w:r>
          </w:p>
        </w:tc>
        <w:tc>
          <w:tcPr>
            <w:tcW w:w="212" w:type="pct"/>
            <w:vAlign w:val="center"/>
          </w:tcPr>
          <w:p w14:paraId="553BBA15">
            <w:pPr>
              <w:spacing w:line="240" w:lineRule="exact"/>
              <w:jc w:val="center"/>
              <w:rPr>
                <w:rFonts w:ascii="宋体" w:cs="宋体"/>
                <w:kern w:val="0"/>
                <w:sz w:val="18"/>
                <w:szCs w:val="18"/>
              </w:rPr>
            </w:pPr>
            <w:r>
              <w:rPr>
                <w:rFonts w:hint="eastAsia" w:ascii="宋体" w:hAnsi="宋体" w:cs="宋体"/>
                <w:kern w:val="0"/>
                <w:sz w:val="18"/>
                <w:szCs w:val="18"/>
              </w:rPr>
              <w:t>测绘地理信息管理股</w:t>
            </w:r>
          </w:p>
        </w:tc>
        <w:tc>
          <w:tcPr>
            <w:tcW w:w="289" w:type="pct"/>
            <w:vAlign w:val="center"/>
          </w:tcPr>
          <w:p w14:paraId="543A673C">
            <w:pPr>
              <w:spacing w:line="240" w:lineRule="exact"/>
              <w:jc w:val="center"/>
              <w:rPr>
                <w:rFonts w:ascii="宋体" w:cs="宋体"/>
                <w:kern w:val="0"/>
                <w:sz w:val="18"/>
                <w:szCs w:val="18"/>
              </w:rPr>
            </w:pPr>
            <w:r>
              <w:rPr>
                <w:rFonts w:hint="eastAsia" w:ascii="宋体" w:hAnsi="宋体" w:cs="宋体"/>
                <w:kern w:val="0"/>
                <w:sz w:val="18"/>
                <w:szCs w:val="18"/>
              </w:rPr>
              <w:t>否</w:t>
            </w:r>
          </w:p>
        </w:tc>
        <w:tc>
          <w:tcPr>
            <w:tcW w:w="189" w:type="pct"/>
            <w:vAlign w:val="center"/>
          </w:tcPr>
          <w:p w14:paraId="514AA37B">
            <w:pPr>
              <w:autoSpaceDE w:val="0"/>
              <w:autoSpaceDN w:val="0"/>
              <w:adjustRightInd w:val="0"/>
              <w:spacing w:line="240" w:lineRule="exact"/>
              <w:jc w:val="center"/>
              <w:rPr>
                <w:rFonts w:ascii="宋体" w:cs="宋体"/>
                <w:color w:val="000000"/>
                <w:kern w:val="0"/>
                <w:sz w:val="18"/>
                <w:szCs w:val="18"/>
              </w:rPr>
            </w:pPr>
          </w:p>
        </w:tc>
      </w:tr>
      <w:tr w14:paraId="6B6DB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4" w:hRule="atLeast"/>
          <w:jc w:val="center"/>
        </w:trPr>
        <w:tc>
          <w:tcPr>
            <w:tcW w:w="210" w:type="pct"/>
            <w:vAlign w:val="center"/>
          </w:tcPr>
          <w:p w14:paraId="3CBF16CA">
            <w:pPr>
              <w:jc w:val="center"/>
              <w:rPr>
                <w:sz w:val="18"/>
                <w:szCs w:val="18"/>
              </w:rPr>
            </w:pPr>
            <w:r>
              <w:rPr>
                <w:sz w:val="18"/>
                <w:szCs w:val="18"/>
              </w:rPr>
              <w:t>3</w:t>
            </w:r>
          </w:p>
        </w:tc>
        <w:tc>
          <w:tcPr>
            <w:tcW w:w="275" w:type="pct"/>
            <w:vAlign w:val="center"/>
          </w:tcPr>
          <w:p w14:paraId="6BDA498C">
            <w:pPr>
              <w:jc w:val="left"/>
              <w:rPr>
                <w:sz w:val="18"/>
                <w:szCs w:val="18"/>
              </w:rPr>
            </w:pPr>
            <w:r>
              <w:rPr>
                <w:rFonts w:hint="eastAsia"/>
                <w:sz w:val="18"/>
                <w:szCs w:val="18"/>
              </w:rPr>
              <w:t>矿山超深越界专项检测</w:t>
            </w:r>
            <w:r>
              <w:rPr>
                <w:sz w:val="18"/>
                <w:szCs w:val="18"/>
              </w:rPr>
              <w:t xml:space="preserve"> </w:t>
            </w:r>
          </w:p>
        </w:tc>
        <w:tc>
          <w:tcPr>
            <w:tcW w:w="1849" w:type="pct"/>
            <w:vAlign w:val="center"/>
          </w:tcPr>
          <w:p w14:paraId="0A00627B">
            <w:pPr>
              <w:spacing w:line="240" w:lineRule="exact"/>
              <w:ind w:firstLine="180" w:firstLineChars="100"/>
              <w:jc w:val="left"/>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《中华人民共和国矿产资源法》</w:t>
            </w:r>
            <w:r>
              <w:rPr>
                <w:rFonts w:hint="eastAsia"/>
                <w:color w:val="000000" w:themeColor="text1"/>
                <w:sz w:val="18"/>
                <w:szCs w:val="18"/>
                <w:highlight w:val="none"/>
                <w:lang w:val="en-US" w:eastAsia="zh-CN"/>
                <w14:textFill>
                  <w14:solidFill>
                    <w14:schemeClr w14:val="tx1"/>
                  </w14:solidFill>
                </w14:textFill>
              </w:rPr>
              <w:t>第六十四条第一款　违反本法规定，未取得采矿权开采矿产资源的，由县级以上人民政府自然资源主管部门责令停止违法行为，没收直接用于违法开采的工具、设备以及违法采出的矿产品，并处违法采出的矿产品市场价值三倍以上五倍以下罚款；没有采出矿产品或者违法采出的矿产品市场价值不足十万元的，并处十万元以上一百万元以下罚款；拒不停止违法行为的，可以责令停业整顿。</w:t>
            </w:r>
          </w:p>
          <w:p w14:paraId="33B1EC5C">
            <w:pPr>
              <w:spacing w:line="240" w:lineRule="exact"/>
              <w:ind w:firstLine="180" w:firstLineChars="100"/>
              <w:jc w:val="left"/>
              <w:rPr>
                <w:rFonts w:hint="eastAsia"/>
                <w:color w:val="000000" w:themeColor="text1"/>
                <w:sz w:val="18"/>
                <w:szCs w:val="18"/>
                <w:highlight w:val="none"/>
                <w:lang w:val="en-US"/>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第二款 超出采矿权登记的开采区域开采矿产资源的，依照前款规定处罚；拒不停止违法行为，情节严重的，原矿业权出让部门可以吊销其采矿许可证。</w:t>
            </w:r>
          </w:p>
          <w:p w14:paraId="2A52C901">
            <w:pPr>
              <w:spacing w:line="240" w:lineRule="exact"/>
              <w:ind w:firstLine="180" w:firstLineChars="100"/>
              <w:jc w:val="left"/>
              <w:rPr>
                <w:rFonts w:hint="eastAsia"/>
                <w:color w:val="000000" w:themeColor="text1"/>
                <w:sz w:val="18"/>
                <w:szCs w:val="18"/>
                <w:lang w:val="en-US" w:eastAsia="zh-CN"/>
                <w14:textFill>
                  <w14:solidFill>
                    <w14:schemeClr w14:val="tx1"/>
                  </w14:solidFill>
                </w14:textFill>
              </w:rPr>
            </w:pPr>
            <w:r>
              <w:rPr>
                <w:rFonts w:hint="eastAsia"/>
                <w:color w:val="000000" w:themeColor="text1"/>
                <w:sz w:val="18"/>
                <w:szCs w:val="18"/>
                <w:lang w:eastAsia="zh-CN"/>
                <w14:textFill>
                  <w14:solidFill>
                    <w14:schemeClr w14:val="tx1"/>
                  </w14:solidFill>
                </w14:textFill>
              </w:rPr>
              <w:t>《湖南省自然资源厅关于开展全省矿产资源执法“双零”目标行动的通知》（湘自资发[2023]18号）（</w:t>
            </w:r>
            <w:r>
              <w:rPr>
                <w:rFonts w:hint="eastAsia"/>
                <w:color w:val="000000" w:themeColor="text1"/>
                <w:sz w:val="18"/>
                <w:szCs w:val="18"/>
                <w:lang w:val="en-US" w:eastAsia="zh-CN"/>
                <w14:textFill>
                  <w14:solidFill>
                    <w14:schemeClr w14:val="tx1"/>
                  </w14:solidFill>
                </w14:textFill>
              </w:rPr>
              <w:t>2023年5月6日印发） 第三项：强化工作举措，（二）抓好日常监管，严控问题新增。3.用好用足技术手段。二是要聘请技术单位对辖区内的露天开采矿山每季度一次、地下开采矿山每半年一次开展实地测量...。</w:t>
            </w:r>
          </w:p>
          <w:p w14:paraId="5D1036DB">
            <w:pPr>
              <w:spacing w:line="240" w:lineRule="exact"/>
              <w:ind w:firstLine="180" w:firstLineChars="100"/>
              <w:jc w:val="left"/>
              <w:rPr>
                <w:rFonts w:hint="default"/>
                <w:color w:val="FF0000"/>
                <w:sz w:val="18"/>
                <w:szCs w:val="18"/>
                <w:lang w:val="en-US" w:eastAsia="zh-CN"/>
              </w:rPr>
            </w:pPr>
            <w:r>
              <w:rPr>
                <w:rFonts w:hint="default"/>
                <w:color w:val="000000" w:themeColor="text1"/>
                <w:sz w:val="18"/>
                <w:szCs w:val="18"/>
                <w:lang w:val="en-US" w:eastAsia="zh-CN"/>
                <w14:textFill>
                  <w14:solidFill>
                    <w14:schemeClr w14:val="tx1"/>
                  </w14:solidFill>
                </w14:textFill>
              </w:rPr>
              <w:t>《湘潭市自然资源和规划局关于开展2025年度全市矿山超深越界监督检查工作的通知》</w:t>
            </w:r>
            <w:r>
              <w:rPr>
                <w:rFonts w:hint="eastAsia"/>
                <w:color w:val="000000" w:themeColor="text1"/>
                <w:sz w:val="18"/>
                <w:szCs w:val="18"/>
                <w:lang w:val="en-US" w:eastAsia="zh-CN"/>
                <w14:textFill>
                  <w14:solidFill>
                    <w14:schemeClr w14:val="tx1"/>
                  </w14:solidFill>
                </w14:textFill>
              </w:rPr>
              <w:t>（2025年2月24日印发）</w:t>
            </w:r>
          </w:p>
        </w:tc>
        <w:tc>
          <w:tcPr>
            <w:tcW w:w="557" w:type="pct"/>
            <w:vAlign w:val="center"/>
          </w:tcPr>
          <w:p w14:paraId="7326C8FC">
            <w:pPr>
              <w:spacing w:line="240" w:lineRule="exact"/>
              <w:ind w:firstLine="180" w:firstLineChars="100"/>
              <w:jc w:val="left"/>
              <w:rPr>
                <w:rFonts w:ascii="宋体" w:cs="宋体"/>
                <w:kern w:val="0"/>
                <w:sz w:val="18"/>
                <w:szCs w:val="18"/>
              </w:rPr>
            </w:pPr>
            <w:r>
              <w:rPr>
                <w:rFonts w:hint="eastAsia" w:ascii="宋体" w:hAnsi="宋体" w:cs="宋体"/>
                <w:kern w:val="0"/>
                <w:sz w:val="18"/>
                <w:szCs w:val="18"/>
              </w:rPr>
              <w:t>全县持证有效期内矿山（长期停产除外）</w:t>
            </w:r>
            <w:r>
              <w:rPr>
                <w:rFonts w:ascii="宋体" w:hAnsi="宋体" w:cs="宋体"/>
                <w:kern w:val="0"/>
                <w:sz w:val="18"/>
                <w:szCs w:val="18"/>
              </w:rPr>
              <w:t>7</w:t>
            </w:r>
            <w:r>
              <w:rPr>
                <w:rFonts w:hint="eastAsia" w:ascii="宋体" w:hAnsi="宋体" w:cs="宋体"/>
                <w:kern w:val="0"/>
                <w:sz w:val="18"/>
                <w:szCs w:val="18"/>
              </w:rPr>
              <w:t>家</w:t>
            </w:r>
          </w:p>
        </w:tc>
        <w:tc>
          <w:tcPr>
            <w:tcW w:w="518" w:type="pct"/>
            <w:vAlign w:val="center"/>
          </w:tcPr>
          <w:p w14:paraId="636B68D6">
            <w:pPr>
              <w:jc w:val="left"/>
              <w:rPr>
                <w:sz w:val="18"/>
                <w:szCs w:val="18"/>
              </w:rPr>
            </w:pPr>
            <w:r>
              <w:rPr>
                <w:rFonts w:hint="eastAsia"/>
                <w:sz w:val="18"/>
                <w:szCs w:val="18"/>
              </w:rPr>
              <w:t>超深越界检测</w:t>
            </w:r>
          </w:p>
        </w:tc>
        <w:tc>
          <w:tcPr>
            <w:tcW w:w="370" w:type="pct"/>
            <w:vAlign w:val="center"/>
          </w:tcPr>
          <w:p w14:paraId="79166C8B">
            <w:pPr>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highlight w:val="none"/>
                <w:lang w:val="en-US" w:eastAsia="zh-CN"/>
                <w14:textFill>
                  <w14:solidFill>
                    <w14:schemeClr w14:val="tx1"/>
                  </w14:solidFill>
                </w14:textFill>
              </w:rPr>
              <w:t>3月下旬、6月下旬、9月下旬、12月下旬</w:t>
            </w:r>
          </w:p>
        </w:tc>
        <w:tc>
          <w:tcPr>
            <w:tcW w:w="278" w:type="pct"/>
            <w:vAlign w:val="center"/>
          </w:tcPr>
          <w:p w14:paraId="15DC688C">
            <w:pPr>
              <w:widowControl/>
              <w:spacing w:line="240" w:lineRule="exact"/>
              <w:jc w:val="left"/>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现场</w:t>
            </w:r>
            <w:r>
              <w:rPr>
                <w:rFonts w:hint="eastAsia" w:ascii="宋体" w:hAnsi="宋体" w:cs="宋体"/>
                <w:color w:val="000000" w:themeColor="text1"/>
                <w:kern w:val="0"/>
                <w:sz w:val="18"/>
                <w:szCs w:val="18"/>
                <w:lang w:eastAsia="zh-CN"/>
                <w14:textFill>
                  <w14:solidFill>
                    <w14:schemeClr w14:val="tx1"/>
                  </w14:solidFill>
                </w14:textFill>
              </w:rPr>
              <w:t>检查和非</w:t>
            </w:r>
            <w:r>
              <w:rPr>
                <w:rFonts w:hint="eastAsia" w:ascii="宋体" w:hAnsi="宋体" w:cs="宋体"/>
                <w:color w:val="000000" w:themeColor="text1"/>
                <w:kern w:val="0"/>
                <w:sz w:val="18"/>
                <w:szCs w:val="18"/>
                <w14:textFill>
                  <w14:solidFill>
                    <w14:schemeClr w14:val="tx1"/>
                  </w14:solidFill>
                </w14:textFill>
              </w:rPr>
              <w:t>现场</w:t>
            </w:r>
            <w:r>
              <w:rPr>
                <w:rFonts w:hint="eastAsia" w:ascii="宋体" w:hAnsi="宋体" w:cs="宋体"/>
                <w:color w:val="000000" w:themeColor="text1"/>
                <w:kern w:val="0"/>
                <w:sz w:val="18"/>
                <w:szCs w:val="18"/>
                <w:lang w:eastAsia="zh-CN"/>
                <w14:textFill>
                  <w14:solidFill>
                    <w14:schemeClr w14:val="tx1"/>
                  </w14:solidFill>
                </w14:textFill>
              </w:rPr>
              <w:t>检查相结合</w:t>
            </w:r>
          </w:p>
        </w:tc>
        <w:tc>
          <w:tcPr>
            <w:tcW w:w="246" w:type="pct"/>
            <w:vAlign w:val="center"/>
          </w:tcPr>
          <w:p w14:paraId="6F66D548">
            <w:pPr>
              <w:spacing w:line="240" w:lineRule="exact"/>
              <w:jc w:val="center"/>
              <w:rPr>
                <w:rFonts w:hint="eastAsia" w:ascii="宋体" w:eastAsia="宋体" w:cs="宋体"/>
                <w:color w:val="000000" w:themeColor="text1"/>
                <w:kern w:val="0"/>
                <w:sz w:val="18"/>
                <w:szCs w:val="18"/>
                <w:lang w:eastAsia="zh-CN"/>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4</w:t>
            </w:r>
            <w:r>
              <w:rPr>
                <w:rFonts w:hint="eastAsia" w:ascii="宋体" w:hAnsi="宋体" w:cs="宋体"/>
                <w:color w:val="000000" w:themeColor="text1"/>
                <w:spacing w:val="-6"/>
                <w:sz w:val="18"/>
                <w:szCs w:val="18"/>
                <w14:textFill>
                  <w14:solidFill>
                    <w14:schemeClr w14:val="tx1"/>
                  </w14:solidFill>
                </w14:textFill>
              </w:rPr>
              <w:t>次</w:t>
            </w:r>
          </w:p>
        </w:tc>
        <w:tc>
          <w:tcPr>
            <w:tcW w:w="212" w:type="pct"/>
            <w:vAlign w:val="center"/>
          </w:tcPr>
          <w:p w14:paraId="70A313CE">
            <w:pPr>
              <w:spacing w:line="240" w:lineRule="exact"/>
              <w:jc w:val="center"/>
              <w:rPr>
                <w:rFonts w:ascii="宋体" w:cs="宋体"/>
                <w:kern w:val="0"/>
                <w:sz w:val="18"/>
                <w:szCs w:val="18"/>
              </w:rPr>
            </w:pPr>
            <w:r>
              <w:rPr>
                <w:rFonts w:hint="eastAsia" w:ascii="宋体" w:hAnsi="宋体" w:cs="宋体"/>
                <w:kern w:val="0"/>
                <w:sz w:val="18"/>
                <w:szCs w:val="18"/>
              </w:rPr>
              <w:t>矿产资源开发保护股</w:t>
            </w:r>
          </w:p>
        </w:tc>
        <w:tc>
          <w:tcPr>
            <w:tcW w:w="289" w:type="pct"/>
            <w:vAlign w:val="center"/>
          </w:tcPr>
          <w:p w14:paraId="3F8CA4BA">
            <w:pPr>
              <w:spacing w:line="240" w:lineRule="exact"/>
              <w:jc w:val="center"/>
              <w:rPr>
                <w:rFonts w:ascii="宋体" w:cs="宋体"/>
                <w:kern w:val="0"/>
                <w:sz w:val="18"/>
                <w:szCs w:val="18"/>
              </w:rPr>
            </w:pPr>
            <w:r>
              <w:rPr>
                <w:rFonts w:hint="eastAsia" w:ascii="宋体" w:hAnsi="宋体" w:cs="宋体"/>
                <w:kern w:val="0"/>
                <w:sz w:val="18"/>
                <w:szCs w:val="18"/>
              </w:rPr>
              <w:t>否</w:t>
            </w:r>
          </w:p>
        </w:tc>
        <w:tc>
          <w:tcPr>
            <w:tcW w:w="189" w:type="pct"/>
            <w:vAlign w:val="center"/>
          </w:tcPr>
          <w:p w14:paraId="4CFA9DAB">
            <w:pPr>
              <w:autoSpaceDE w:val="0"/>
              <w:autoSpaceDN w:val="0"/>
              <w:adjustRightInd w:val="0"/>
              <w:spacing w:line="240" w:lineRule="exact"/>
              <w:jc w:val="center"/>
              <w:rPr>
                <w:rFonts w:hint="eastAsia" w:ascii="宋体" w:eastAsia="宋体" w:cs="宋体"/>
                <w:color w:val="000000"/>
                <w:kern w:val="0"/>
                <w:sz w:val="18"/>
                <w:szCs w:val="18"/>
                <w:lang w:eastAsia="zh-CN"/>
              </w:rPr>
            </w:pPr>
            <w:r>
              <w:rPr>
                <w:rFonts w:hint="eastAsia" w:ascii="宋体" w:hAnsi="宋体" w:cs="宋体"/>
                <w:color w:val="000000"/>
                <w:kern w:val="0"/>
                <w:sz w:val="18"/>
                <w:szCs w:val="18"/>
                <w:lang w:eastAsia="zh-CN"/>
              </w:rPr>
              <w:t>“</w:t>
            </w:r>
            <w:r>
              <w:rPr>
                <w:rFonts w:hint="eastAsia" w:ascii="宋体" w:hAnsi="宋体" w:cs="宋体"/>
                <w:color w:val="000000"/>
                <w:kern w:val="0"/>
                <w:sz w:val="18"/>
                <w:szCs w:val="18"/>
              </w:rPr>
              <w:t>双随机</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rPr>
              <w:t>一公开</w:t>
            </w:r>
            <w:r>
              <w:rPr>
                <w:rFonts w:hint="eastAsia" w:ascii="宋体" w:hAnsi="宋体" w:cs="宋体"/>
                <w:color w:val="000000"/>
                <w:kern w:val="0"/>
                <w:sz w:val="18"/>
                <w:szCs w:val="18"/>
                <w:lang w:eastAsia="zh-CN"/>
              </w:rPr>
              <w:t>”</w:t>
            </w:r>
          </w:p>
        </w:tc>
      </w:tr>
      <w:tr w14:paraId="6C354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4" w:hRule="atLeast"/>
          <w:jc w:val="center"/>
        </w:trPr>
        <w:tc>
          <w:tcPr>
            <w:tcW w:w="210" w:type="pct"/>
            <w:vAlign w:val="center"/>
          </w:tcPr>
          <w:p w14:paraId="280D793A">
            <w:pPr>
              <w:jc w:val="center"/>
              <w:rPr>
                <w:sz w:val="18"/>
                <w:szCs w:val="18"/>
              </w:rPr>
            </w:pPr>
            <w:r>
              <w:rPr>
                <w:sz w:val="18"/>
                <w:szCs w:val="18"/>
              </w:rPr>
              <w:t>4</w:t>
            </w:r>
          </w:p>
        </w:tc>
        <w:tc>
          <w:tcPr>
            <w:tcW w:w="275" w:type="pct"/>
            <w:vAlign w:val="center"/>
          </w:tcPr>
          <w:p w14:paraId="13FBC9D8">
            <w:pPr>
              <w:jc w:val="center"/>
              <w:rPr>
                <w:sz w:val="18"/>
                <w:szCs w:val="18"/>
              </w:rPr>
            </w:pPr>
            <w:r>
              <w:rPr>
                <w:rFonts w:hint="eastAsia"/>
                <w:sz w:val="18"/>
                <w:szCs w:val="18"/>
              </w:rPr>
              <w:t>对矿山企业实施开发利用方案的情况进行监督管理</w:t>
            </w:r>
          </w:p>
        </w:tc>
        <w:tc>
          <w:tcPr>
            <w:tcW w:w="1849" w:type="pct"/>
            <w:vAlign w:val="center"/>
          </w:tcPr>
          <w:p w14:paraId="3C0FCC89">
            <w:pPr>
              <w:spacing w:line="240" w:lineRule="exact"/>
              <w:ind w:firstLine="180" w:firstLineChars="100"/>
              <w:jc w:val="left"/>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中华人民共和国矿产资源法》第六十八条</w:t>
            </w:r>
            <w:r>
              <w:rPr>
                <w:rFonts w:hint="default"/>
                <w:color w:val="000000" w:themeColor="text1"/>
                <w:sz w:val="18"/>
                <w:szCs w:val="18"/>
                <w:highlight w:val="none"/>
                <w:lang w:val="en-US" w:eastAsia="zh-CN"/>
                <w14:textFill>
                  <w14:solidFill>
                    <w14:schemeClr w14:val="tx1"/>
                  </w14:solidFill>
                </w14:textFill>
              </w:rPr>
              <w:t>　违反本法规定，有下列情形之一，造成矿产资源破坏的，由县级以上人民政府自然资源主管部门责令改正，处十万元以上五十万元以下罚款；拒不改正的，可以责令停业整顿；情节严重的，原矿业权出让部门可以吊销其勘查许可证、采矿许可证：（一）未按照经批准的勘查方案、开采方案进行矿产资源勘查、开采作业；（二）采取不合理的开采顺序、开采方法开采矿产资源；（三）矿产资源开采回采率、选矿回收率和综合利用率未达到有关国家标准的要求。违反本法规定，未按照保护性开采要求开采特定战略性矿产资源的，依照前款规定处罚；法律、行政法规另有规定的，依照其规定。</w:t>
            </w:r>
          </w:p>
          <w:p w14:paraId="16D8B134">
            <w:pPr>
              <w:spacing w:line="240" w:lineRule="exact"/>
              <w:ind w:firstLine="180" w:firstLineChars="100"/>
              <w:jc w:val="left"/>
              <w:rPr>
                <w:rFonts w:hint="eastAsia"/>
                <w:color w:val="000000" w:themeColor="text1"/>
                <w:sz w:val="18"/>
                <w:szCs w:val="18"/>
                <w:highlight w:val="none"/>
                <w14:textFill>
                  <w14:solidFill>
                    <w14:schemeClr w14:val="tx1"/>
                  </w14:solidFill>
                </w14:textFill>
              </w:rPr>
            </w:pPr>
          </w:p>
        </w:tc>
        <w:tc>
          <w:tcPr>
            <w:tcW w:w="557" w:type="pct"/>
            <w:vAlign w:val="center"/>
          </w:tcPr>
          <w:p w14:paraId="1A822F30">
            <w:pPr>
              <w:spacing w:line="240" w:lineRule="exact"/>
              <w:ind w:firstLine="180" w:firstLineChars="100"/>
              <w:jc w:val="center"/>
              <w:rPr>
                <w:rFonts w:ascii="宋体" w:cs="宋体"/>
                <w:kern w:val="0"/>
                <w:sz w:val="18"/>
                <w:szCs w:val="18"/>
              </w:rPr>
            </w:pPr>
            <w:r>
              <w:rPr>
                <w:rFonts w:hint="eastAsia" w:ascii="宋体" w:hAnsi="宋体" w:cs="宋体"/>
                <w:kern w:val="0"/>
                <w:sz w:val="18"/>
                <w:szCs w:val="18"/>
              </w:rPr>
              <w:t>全县持证有效期内生产矿山</w:t>
            </w:r>
            <w:r>
              <w:rPr>
                <w:rFonts w:ascii="宋体" w:hAnsi="宋体" w:cs="宋体"/>
                <w:kern w:val="0"/>
                <w:sz w:val="18"/>
                <w:szCs w:val="18"/>
              </w:rPr>
              <w:t>7</w:t>
            </w:r>
            <w:r>
              <w:rPr>
                <w:rFonts w:hint="eastAsia" w:ascii="宋体" w:hAnsi="宋体" w:cs="宋体"/>
                <w:kern w:val="0"/>
                <w:sz w:val="18"/>
                <w:szCs w:val="18"/>
              </w:rPr>
              <w:t>家</w:t>
            </w:r>
          </w:p>
        </w:tc>
        <w:tc>
          <w:tcPr>
            <w:tcW w:w="518" w:type="pct"/>
            <w:vAlign w:val="center"/>
          </w:tcPr>
          <w:p w14:paraId="1A3C5D03">
            <w:pPr>
              <w:jc w:val="left"/>
              <w:rPr>
                <w:kern w:val="0"/>
                <w:sz w:val="18"/>
                <w:szCs w:val="18"/>
              </w:rPr>
            </w:pPr>
            <w:r>
              <w:rPr>
                <w:rFonts w:hint="eastAsia"/>
                <w:sz w:val="18"/>
                <w:szCs w:val="18"/>
              </w:rPr>
              <w:t>开发利用方案实施情况</w:t>
            </w:r>
          </w:p>
        </w:tc>
        <w:tc>
          <w:tcPr>
            <w:tcW w:w="370" w:type="pct"/>
            <w:vAlign w:val="center"/>
          </w:tcPr>
          <w:p w14:paraId="7C03A568">
            <w:pPr>
              <w:spacing w:line="240" w:lineRule="exact"/>
              <w:jc w:val="center"/>
              <w:rPr>
                <w:rFonts w:ascii="宋体" w:cs="宋体"/>
                <w:kern w:val="0"/>
                <w:sz w:val="18"/>
                <w:szCs w:val="18"/>
              </w:rPr>
            </w:pPr>
            <w:r>
              <w:rPr>
                <w:rFonts w:ascii="宋体" w:hAnsi="宋体" w:cs="宋体"/>
                <w:kern w:val="0"/>
                <w:sz w:val="18"/>
                <w:szCs w:val="18"/>
              </w:rPr>
              <w:t>4-9</w:t>
            </w:r>
            <w:r>
              <w:rPr>
                <w:rFonts w:hint="eastAsia" w:ascii="宋体" w:hAnsi="宋体" w:cs="宋体"/>
                <w:kern w:val="0"/>
                <w:sz w:val="18"/>
                <w:szCs w:val="18"/>
              </w:rPr>
              <w:t>月</w:t>
            </w:r>
          </w:p>
        </w:tc>
        <w:tc>
          <w:tcPr>
            <w:tcW w:w="278" w:type="pct"/>
            <w:vAlign w:val="center"/>
          </w:tcPr>
          <w:p w14:paraId="472597AC">
            <w:pPr>
              <w:widowControl/>
              <w:spacing w:line="240" w:lineRule="exact"/>
              <w:jc w:val="center"/>
              <w:rPr>
                <w:rFonts w:asci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现场</w:t>
            </w:r>
            <w:r>
              <w:rPr>
                <w:rFonts w:hint="eastAsia" w:ascii="宋体" w:hAnsi="宋体" w:cs="宋体"/>
                <w:color w:val="000000" w:themeColor="text1"/>
                <w:kern w:val="0"/>
                <w:sz w:val="18"/>
                <w:szCs w:val="18"/>
                <w:lang w:eastAsia="zh-CN"/>
                <w14:textFill>
                  <w14:solidFill>
                    <w14:schemeClr w14:val="tx1"/>
                  </w14:solidFill>
                </w14:textFill>
              </w:rPr>
              <w:t>检查和非</w:t>
            </w:r>
            <w:r>
              <w:rPr>
                <w:rFonts w:hint="eastAsia" w:ascii="宋体" w:hAnsi="宋体" w:cs="宋体"/>
                <w:color w:val="000000" w:themeColor="text1"/>
                <w:kern w:val="0"/>
                <w:sz w:val="18"/>
                <w:szCs w:val="18"/>
                <w14:textFill>
                  <w14:solidFill>
                    <w14:schemeClr w14:val="tx1"/>
                  </w14:solidFill>
                </w14:textFill>
              </w:rPr>
              <w:t>现场</w:t>
            </w:r>
            <w:r>
              <w:rPr>
                <w:rFonts w:hint="eastAsia" w:ascii="宋体" w:hAnsi="宋体" w:cs="宋体"/>
                <w:color w:val="000000" w:themeColor="text1"/>
                <w:kern w:val="0"/>
                <w:sz w:val="18"/>
                <w:szCs w:val="18"/>
                <w:lang w:eastAsia="zh-CN"/>
                <w14:textFill>
                  <w14:solidFill>
                    <w14:schemeClr w14:val="tx1"/>
                  </w14:solidFill>
                </w14:textFill>
              </w:rPr>
              <w:t>检查相结合</w:t>
            </w:r>
          </w:p>
        </w:tc>
        <w:tc>
          <w:tcPr>
            <w:tcW w:w="246" w:type="pct"/>
            <w:vAlign w:val="center"/>
          </w:tcPr>
          <w:p w14:paraId="438B7697">
            <w:pPr>
              <w:spacing w:line="240" w:lineRule="exact"/>
              <w:jc w:val="center"/>
              <w:rPr>
                <w:rFonts w:ascii="宋体" w:cs="宋体"/>
                <w:kern w:val="0"/>
                <w:sz w:val="18"/>
                <w:szCs w:val="18"/>
              </w:rPr>
            </w:pPr>
            <w:r>
              <w:rPr>
                <w:rFonts w:ascii="宋体" w:hAnsi="宋体" w:cs="宋体"/>
                <w:kern w:val="0"/>
                <w:sz w:val="18"/>
                <w:szCs w:val="18"/>
              </w:rPr>
              <w:t>1</w:t>
            </w:r>
            <w:r>
              <w:rPr>
                <w:rFonts w:hint="eastAsia" w:ascii="宋体" w:hAnsi="宋体" w:cs="宋体"/>
                <w:kern w:val="0"/>
                <w:sz w:val="18"/>
                <w:szCs w:val="18"/>
              </w:rPr>
              <w:t>次</w:t>
            </w:r>
          </w:p>
        </w:tc>
        <w:tc>
          <w:tcPr>
            <w:tcW w:w="212" w:type="pct"/>
            <w:vAlign w:val="center"/>
          </w:tcPr>
          <w:p w14:paraId="2D063097">
            <w:pPr>
              <w:spacing w:line="240" w:lineRule="exact"/>
              <w:jc w:val="center"/>
              <w:rPr>
                <w:rFonts w:ascii="宋体" w:cs="宋体"/>
                <w:kern w:val="0"/>
                <w:sz w:val="18"/>
                <w:szCs w:val="18"/>
              </w:rPr>
            </w:pPr>
            <w:r>
              <w:rPr>
                <w:rFonts w:hint="eastAsia" w:ascii="宋体" w:hAnsi="宋体" w:cs="宋体"/>
                <w:kern w:val="0"/>
                <w:sz w:val="18"/>
                <w:szCs w:val="18"/>
              </w:rPr>
              <w:t>矿产资源开发保护股</w:t>
            </w:r>
          </w:p>
        </w:tc>
        <w:tc>
          <w:tcPr>
            <w:tcW w:w="289" w:type="pct"/>
            <w:vAlign w:val="center"/>
          </w:tcPr>
          <w:p w14:paraId="4FD50953">
            <w:pPr>
              <w:spacing w:line="240" w:lineRule="exact"/>
              <w:jc w:val="center"/>
              <w:rPr>
                <w:rFonts w:ascii="宋体" w:cs="宋体"/>
                <w:kern w:val="0"/>
                <w:sz w:val="18"/>
                <w:szCs w:val="18"/>
              </w:rPr>
            </w:pPr>
            <w:r>
              <w:rPr>
                <w:rFonts w:hint="eastAsia" w:ascii="宋体" w:hAnsi="宋体" w:cs="宋体"/>
                <w:kern w:val="0"/>
                <w:sz w:val="18"/>
                <w:szCs w:val="18"/>
              </w:rPr>
              <w:t>否</w:t>
            </w:r>
          </w:p>
        </w:tc>
        <w:tc>
          <w:tcPr>
            <w:tcW w:w="189" w:type="pct"/>
            <w:vAlign w:val="center"/>
          </w:tcPr>
          <w:p w14:paraId="1C9B2E15">
            <w:pPr>
              <w:autoSpaceDE w:val="0"/>
              <w:autoSpaceDN w:val="0"/>
              <w:adjustRightInd w:val="0"/>
              <w:spacing w:line="240" w:lineRule="exact"/>
              <w:jc w:val="center"/>
              <w:rPr>
                <w:rFonts w:ascii="宋体" w:cs="宋体"/>
                <w:color w:val="000000"/>
                <w:kern w:val="0"/>
                <w:sz w:val="18"/>
                <w:szCs w:val="18"/>
              </w:rPr>
            </w:pPr>
          </w:p>
        </w:tc>
      </w:tr>
      <w:tr w14:paraId="2BED9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jc w:val="center"/>
        </w:trPr>
        <w:tc>
          <w:tcPr>
            <w:tcW w:w="210" w:type="pct"/>
            <w:vMerge w:val="restart"/>
            <w:vAlign w:val="center"/>
          </w:tcPr>
          <w:p w14:paraId="45FEC835">
            <w:pPr>
              <w:jc w:val="center"/>
              <w:rPr>
                <w:sz w:val="18"/>
                <w:szCs w:val="18"/>
              </w:rPr>
            </w:pPr>
            <w:r>
              <w:rPr>
                <w:sz w:val="18"/>
                <w:szCs w:val="18"/>
              </w:rPr>
              <w:t>5</w:t>
            </w:r>
          </w:p>
        </w:tc>
        <w:tc>
          <w:tcPr>
            <w:tcW w:w="275" w:type="pct"/>
            <w:vMerge w:val="restart"/>
            <w:vAlign w:val="center"/>
          </w:tcPr>
          <w:p w14:paraId="0F1E72D1">
            <w:pPr>
              <w:spacing w:line="240" w:lineRule="exact"/>
              <w:jc w:val="left"/>
              <w:rPr>
                <w:sz w:val="18"/>
                <w:szCs w:val="18"/>
              </w:rPr>
            </w:pPr>
            <w:r>
              <w:rPr>
                <w:rFonts w:hint="eastAsia"/>
                <w:sz w:val="18"/>
                <w:szCs w:val="18"/>
              </w:rPr>
              <w:t>对土地复垦情况的行政检查</w:t>
            </w:r>
          </w:p>
        </w:tc>
        <w:tc>
          <w:tcPr>
            <w:tcW w:w="1849" w:type="pct"/>
            <w:vAlign w:val="center"/>
          </w:tcPr>
          <w:p w14:paraId="44BE6DC8">
            <w:pPr>
              <w:spacing w:line="240" w:lineRule="exact"/>
              <w:ind w:firstLine="180" w:firstLineChars="100"/>
              <w:jc w:val="left"/>
              <w:rPr>
                <w:sz w:val="18"/>
                <w:szCs w:val="18"/>
              </w:rPr>
            </w:pPr>
            <w:r>
              <w:rPr>
                <w:sz w:val="18"/>
                <w:szCs w:val="18"/>
              </w:rPr>
              <w:t>1.</w:t>
            </w:r>
            <w:r>
              <w:rPr>
                <w:rFonts w:hint="eastAsia"/>
                <w:sz w:val="18"/>
                <w:szCs w:val="18"/>
              </w:rPr>
              <w:t>《土地复垦条例》</w:t>
            </w:r>
            <w:r>
              <w:rPr>
                <w:sz w:val="18"/>
                <w:szCs w:val="18"/>
              </w:rPr>
              <w:t>(</w:t>
            </w:r>
            <w:r>
              <w:rPr>
                <w:rFonts w:hint="eastAsia"/>
                <w:sz w:val="18"/>
                <w:szCs w:val="18"/>
              </w:rPr>
              <w:t>国务院令第</w:t>
            </w:r>
            <w:r>
              <w:rPr>
                <w:sz w:val="18"/>
                <w:szCs w:val="18"/>
              </w:rPr>
              <w:t>592</w:t>
            </w:r>
            <w:r>
              <w:rPr>
                <w:rFonts w:hint="eastAsia"/>
                <w:sz w:val="18"/>
                <w:szCs w:val="18"/>
              </w:rPr>
              <w:t>号</w:t>
            </w:r>
            <w:r>
              <w:rPr>
                <w:sz w:val="18"/>
                <w:szCs w:val="18"/>
              </w:rPr>
              <w:t>)</w:t>
            </w:r>
            <w:r>
              <w:rPr>
                <w:rFonts w:hint="eastAsia"/>
                <w:sz w:val="18"/>
                <w:szCs w:val="18"/>
              </w:rPr>
              <w:t>第八条</w:t>
            </w:r>
            <w:r>
              <w:rPr>
                <w:sz w:val="18"/>
                <w:szCs w:val="18"/>
              </w:rPr>
              <w:t>:</w:t>
            </w:r>
            <w:r>
              <w:rPr>
                <w:rFonts w:hint="eastAsia"/>
                <w:sz w:val="18"/>
                <w:szCs w:val="18"/>
              </w:rPr>
              <w:t>县级以上人民政府国土资源主管部门应当依据职责加强对土地复垦情况的监督检查。被检查的单位或者个人应当如实反映情况，提供必要的资料。任何单位和个人不得扰乱、阻挠土地复层工作，破坏土地复垦工程、设施和设备。</w:t>
            </w:r>
          </w:p>
        </w:tc>
        <w:tc>
          <w:tcPr>
            <w:tcW w:w="557" w:type="pct"/>
            <w:vAlign w:val="center"/>
          </w:tcPr>
          <w:p w14:paraId="297A273C">
            <w:pPr>
              <w:spacing w:line="240" w:lineRule="exact"/>
              <w:ind w:firstLine="180" w:firstLineChars="100"/>
              <w:jc w:val="left"/>
              <w:rPr>
                <w:sz w:val="18"/>
                <w:szCs w:val="18"/>
              </w:rPr>
            </w:pPr>
            <w:r>
              <w:rPr>
                <w:rFonts w:hint="eastAsia"/>
                <w:sz w:val="18"/>
                <w:szCs w:val="18"/>
              </w:rPr>
              <w:t>临时用地单位、矿业权人</w:t>
            </w:r>
          </w:p>
        </w:tc>
        <w:tc>
          <w:tcPr>
            <w:tcW w:w="518" w:type="pct"/>
            <w:vAlign w:val="center"/>
          </w:tcPr>
          <w:p w14:paraId="0E5C1999">
            <w:pPr>
              <w:spacing w:line="240" w:lineRule="exact"/>
              <w:ind w:firstLine="180" w:firstLineChars="100"/>
              <w:jc w:val="left"/>
              <w:rPr>
                <w:sz w:val="18"/>
                <w:szCs w:val="18"/>
              </w:rPr>
            </w:pPr>
            <w:r>
              <w:rPr>
                <w:rFonts w:hint="eastAsia"/>
                <w:sz w:val="18"/>
                <w:szCs w:val="18"/>
              </w:rPr>
              <w:t>临时用地、矿业用地等复垦情况</w:t>
            </w:r>
          </w:p>
        </w:tc>
        <w:tc>
          <w:tcPr>
            <w:tcW w:w="370" w:type="pct"/>
            <w:vAlign w:val="center"/>
          </w:tcPr>
          <w:p w14:paraId="56DF3E2E">
            <w:pPr>
              <w:spacing w:line="240" w:lineRule="exact"/>
              <w:ind w:firstLine="180" w:firstLineChars="100"/>
              <w:jc w:val="left"/>
              <w:rPr>
                <w:sz w:val="18"/>
                <w:szCs w:val="18"/>
              </w:rPr>
            </w:pPr>
            <w:r>
              <w:rPr>
                <w:sz w:val="18"/>
                <w:szCs w:val="18"/>
              </w:rPr>
              <w:t>4-12</w:t>
            </w:r>
            <w:r>
              <w:rPr>
                <w:rFonts w:hint="eastAsia"/>
                <w:sz w:val="18"/>
                <w:szCs w:val="18"/>
              </w:rPr>
              <w:t>月</w:t>
            </w:r>
          </w:p>
        </w:tc>
        <w:tc>
          <w:tcPr>
            <w:tcW w:w="278" w:type="pct"/>
            <w:vAlign w:val="center"/>
          </w:tcPr>
          <w:p w14:paraId="017EDC4B">
            <w:pPr>
              <w:spacing w:line="240" w:lineRule="exact"/>
              <w:jc w:val="left"/>
              <w:rPr>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现场</w:t>
            </w:r>
            <w:r>
              <w:rPr>
                <w:rFonts w:hint="eastAsia" w:ascii="宋体" w:hAnsi="宋体" w:cs="宋体"/>
                <w:color w:val="000000" w:themeColor="text1"/>
                <w:kern w:val="0"/>
                <w:sz w:val="18"/>
                <w:szCs w:val="18"/>
                <w:lang w:eastAsia="zh-CN"/>
                <w14:textFill>
                  <w14:solidFill>
                    <w14:schemeClr w14:val="tx1"/>
                  </w14:solidFill>
                </w14:textFill>
              </w:rPr>
              <w:t>检查和非</w:t>
            </w:r>
            <w:r>
              <w:rPr>
                <w:rFonts w:hint="eastAsia" w:ascii="宋体" w:hAnsi="宋体" w:cs="宋体"/>
                <w:color w:val="000000" w:themeColor="text1"/>
                <w:kern w:val="0"/>
                <w:sz w:val="18"/>
                <w:szCs w:val="18"/>
                <w14:textFill>
                  <w14:solidFill>
                    <w14:schemeClr w14:val="tx1"/>
                  </w14:solidFill>
                </w14:textFill>
              </w:rPr>
              <w:t>现场</w:t>
            </w:r>
            <w:r>
              <w:rPr>
                <w:rFonts w:hint="eastAsia" w:ascii="宋体" w:hAnsi="宋体" w:cs="宋体"/>
                <w:color w:val="000000" w:themeColor="text1"/>
                <w:kern w:val="0"/>
                <w:sz w:val="18"/>
                <w:szCs w:val="18"/>
                <w:lang w:eastAsia="zh-CN"/>
                <w14:textFill>
                  <w14:solidFill>
                    <w14:schemeClr w14:val="tx1"/>
                  </w14:solidFill>
                </w14:textFill>
              </w:rPr>
              <w:t>检查相结合</w:t>
            </w:r>
          </w:p>
        </w:tc>
        <w:tc>
          <w:tcPr>
            <w:tcW w:w="246" w:type="pct"/>
            <w:vAlign w:val="center"/>
          </w:tcPr>
          <w:p w14:paraId="617D0F18">
            <w:pPr>
              <w:spacing w:line="240" w:lineRule="exact"/>
              <w:ind w:firstLine="180" w:firstLineChars="100"/>
              <w:jc w:val="left"/>
              <w:rPr>
                <w:sz w:val="18"/>
                <w:szCs w:val="18"/>
              </w:rPr>
            </w:pPr>
            <w:r>
              <w:rPr>
                <w:sz w:val="18"/>
                <w:szCs w:val="18"/>
              </w:rPr>
              <w:t>1</w:t>
            </w:r>
            <w:r>
              <w:rPr>
                <w:rFonts w:hint="eastAsia"/>
                <w:sz w:val="18"/>
                <w:szCs w:val="18"/>
              </w:rPr>
              <w:t>次</w:t>
            </w:r>
          </w:p>
        </w:tc>
        <w:tc>
          <w:tcPr>
            <w:tcW w:w="212" w:type="pct"/>
            <w:vAlign w:val="center"/>
          </w:tcPr>
          <w:p w14:paraId="31B2FB0D">
            <w:pPr>
              <w:spacing w:line="240" w:lineRule="exact"/>
              <w:jc w:val="left"/>
              <w:rPr>
                <w:sz w:val="18"/>
                <w:szCs w:val="18"/>
              </w:rPr>
            </w:pPr>
            <w:r>
              <w:rPr>
                <w:rFonts w:hint="eastAsia"/>
                <w:sz w:val="18"/>
                <w:szCs w:val="18"/>
              </w:rPr>
              <w:t>生态修复股</w:t>
            </w:r>
          </w:p>
        </w:tc>
        <w:tc>
          <w:tcPr>
            <w:tcW w:w="289" w:type="pct"/>
            <w:vAlign w:val="center"/>
          </w:tcPr>
          <w:p w14:paraId="047DC9FC">
            <w:pPr>
              <w:spacing w:line="240" w:lineRule="exact"/>
              <w:ind w:firstLine="180" w:firstLineChars="100"/>
              <w:jc w:val="left"/>
              <w:rPr>
                <w:sz w:val="18"/>
                <w:szCs w:val="18"/>
              </w:rPr>
            </w:pPr>
            <w:r>
              <w:rPr>
                <w:rFonts w:hint="eastAsia"/>
                <w:sz w:val="18"/>
                <w:szCs w:val="18"/>
              </w:rPr>
              <w:t>否</w:t>
            </w:r>
          </w:p>
        </w:tc>
        <w:tc>
          <w:tcPr>
            <w:tcW w:w="189" w:type="pct"/>
            <w:vAlign w:val="center"/>
          </w:tcPr>
          <w:p w14:paraId="7FCC9B90">
            <w:pPr>
              <w:autoSpaceDE w:val="0"/>
              <w:autoSpaceDN w:val="0"/>
              <w:adjustRightInd w:val="0"/>
              <w:spacing w:line="240" w:lineRule="exact"/>
              <w:jc w:val="center"/>
              <w:rPr>
                <w:rFonts w:ascii="宋体" w:cs="宋体"/>
                <w:color w:val="000000"/>
                <w:kern w:val="0"/>
                <w:sz w:val="18"/>
                <w:szCs w:val="18"/>
              </w:rPr>
            </w:pPr>
          </w:p>
        </w:tc>
      </w:tr>
      <w:tr w14:paraId="55979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jc w:val="center"/>
        </w:trPr>
        <w:tc>
          <w:tcPr>
            <w:tcW w:w="210" w:type="pct"/>
            <w:vMerge w:val="continue"/>
            <w:vAlign w:val="center"/>
          </w:tcPr>
          <w:p w14:paraId="5DF93D75">
            <w:pPr>
              <w:jc w:val="center"/>
              <w:rPr>
                <w:sz w:val="18"/>
                <w:szCs w:val="18"/>
              </w:rPr>
            </w:pPr>
          </w:p>
        </w:tc>
        <w:tc>
          <w:tcPr>
            <w:tcW w:w="275" w:type="pct"/>
            <w:vMerge w:val="continue"/>
            <w:vAlign w:val="center"/>
          </w:tcPr>
          <w:p w14:paraId="06DCAAD3">
            <w:pPr>
              <w:jc w:val="center"/>
              <w:rPr>
                <w:sz w:val="18"/>
                <w:szCs w:val="18"/>
              </w:rPr>
            </w:pPr>
          </w:p>
        </w:tc>
        <w:tc>
          <w:tcPr>
            <w:tcW w:w="1849" w:type="pct"/>
            <w:vAlign w:val="center"/>
          </w:tcPr>
          <w:p w14:paraId="2E852D6C">
            <w:pPr>
              <w:spacing w:line="240" w:lineRule="exact"/>
              <w:ind w:firstLine="180" w:firstLineChars="100"/>
              <w:jc w:val="left"/>
              <w:rPr>
                <w:sz w:val="18"/>
                <w:szCs w:val="18"/>
              </w:rPr>
            </w:pPr>
            <w:r>
              <w:rPr>
                <w:sz w:val="18"/>
                <w:szCs w:val="18"/>
              </w:rPr>
              <w:t>2.</w:t>
            </w:r>
            <w:r>
              <w:rPr>
                <w:rFonts w:hint="eastAsia"/>
                <w:sz w:val="18"/>
                <w:szCs w:val="18"/>
              </w:rPr>
              <w:t>《土地复垦条例实施办法》</w:t>
            </w:r>
            <w:r>
              <w:rPr>
                <w:sz w:val="18"/>
                <w:szCs w:val="18"/>
              </w:rPr>
              <w:t>(</w:t>
            </w:r>
            <w:r>
              <w:rPr>
                <w:rFonts w:hint="eastAsia"/>
                <w:sz w:val="18"/>
                <w:szCs w:val="18"/>
              </w:rPr>
              <w:t>国土资源部令第</w:t>
            </w:r>
            <w:r>
              <w:rPr>
                <w:sz w:val="18"/>
                <w:szCs w:val="18"/>
              </w:rPr>
              <w:t>56</w:t>
            </w:r>
            <w:r>
              <w:rPr>
                <w:rFonts w:hint="eastAsia"/>
                <w:sz w:val="18"/>
                <w:szCs w:val="18"/>
              </w:rPr>
              <w:t>号</w:t>
            </w:r>
            <w:r>
              <w:rPr>
                <w:sz w:val="18"/>
                <w:szCs w:val="18"/>
              </w:rPr>
              <w:t>)</w:t>
            </w:r>
            <w:r>
              <w:rPr>
                <w:rFonts w:hint="eastAsia"/>
                <w:sz w:val="18"/>
                <w:szCs w:val="18"/>
              </w:rPr>
              <w:t>第四十四条</w:t>
            </w:r>
            <w:r>
              <w:rPr>
                <w:sz w:val="18"/>
                <w:szCs w:val="18"/>
              </w:rPr>
              <w:t>:</w:t>
            </w:r>
            <w:r>
              <w:rPr>
                <w:rFonts w:hint="eastAsia"/>
                <w:sz w:val="18"/>
                <w:szCs w:val="18"/>
              </w:rPr>
              <w:t>县级以上自然资源主管部门应当采取年度检查、专项核查、例行稽查、在线监管等形式，对本行政区域内的土地复垦活动进行监督检查，并可以采取下列措施</w:t>
            </w:r>
            <w:r>
              <w:rPr>
                <w:sz w:val="18"/>
                <w:szCs w:val="18"/>
              </w:rPr>
              <w:t>:(</w:t>
            </w:r>
            <w:r>
              <w:rPr>
                <w:rFonts w:hint="eastAsia"/>
                <w:sz w:val="18"/>
                <w:szCs w:val="18"/>
              </w:rPr>
              <w:t>一</w:t>
            </w:r>
            <w:r>
              <w:rPr>
                <w:sz w:val="18"/>
                <w:szCs w:val="18"/>
              </w:rPr>
              <w:t>)</w:t>
            </w:r>
            <w:r>
              <w:rPr>
                <w:rFonts w:hint="eastAsia"/>
                <w:sz w:val="18"/>
                <w:szCs w:val="18"/>
              </w:rPr>
              <w:t>要求被检查当事人如实反映情况和提供相关的文件、资料和电子数据</w:t>
            </w:r>
            <w:r>
              <w:rPr>
                <w:sz w:val="18"/>
                <w:szCs w:val="18"/>
              </w:rPr>
              <w:t>;(</w:t>
            </w:r>
            <w:r>
              <w:rPr>
                <w:rFonts w:hint="eastAsia"/>
                <w:sz w:val="18"/>
                <w:szCs w:val="18"/>
              </w:rPr>
              <w:t>二</w:t>
            </w:r>
            <w:r>
              <w:rPr>
                <w:sz w:val="18"/>
                <w:szCs w:val="18"/>
              </w:rPr>
              <w:t>)</w:t>
            </w:r>
            <w:r>
              <w:rPr>
                <w:rFonts w:hint="eastAsia"/>
                <w:sz w:val="18"/>
                <w:szCs w:val="18"/>
              </w:rPr>
              <w:t>要求被检查当事人就土地复垦有关问题做出说明</w:t>
            </w:r>
            <w:r>
              <w:rPr>
                <w:sz w:val="18"/>
                <w:szCs w:val="18"/>
              </w:rPr>
              <w:t>;(</w:t>
            </w:r>
            <w:r>
              <w:rPr>
                <w:rFonts w:hint="eastAsia"/>
                <w:sz w:val="18"/>
                <w:szCs w:val="18"/>
              </w:rPr>
              <w:t>三</w:t>
            </w:r>
            <w:r>
              <w:rPr>
                <w:sz w:val="18"/>
                <w:szCs w:val="18"/>
              </w:rPr>
              <w:t>)</w:t>
            </w:r>
            <w:r>
              <w:rPr>
                <w:rFonts w:hint="eastAsia"/>
                <w:sz w:val="18"/>
                <w:szCs w:val="18"/>
              </w:rPr>
              <w:t>进入士地复垦现场进行勘查</w:t>
            </w:r>
            <w:r>
              <w:rPr>
                <w:sz w:val="18"/>
                <w:szCs w:val="18"/>
              </w:rPr>
              <w:t>:(</w:t>
            </w:r>
            <w:r>
              <w:rPr>
                <w:rFonts w:hint="eastAsia"/>
                <w:sz w:val="18"/>
                <w:szCs w:val="18"/>
              </w:rPr>
              <w:t>四</w:t>
            </w:r>
            <w:r>
              <w:rPr>
                <w:sz w:val="18"/>
                <w:szCs w:val="18"/>
              </w:rPr>
              <w:t>)</w:t>
            </w:r>
            <w:r>
              <w:rPr>
                <w:rFonts w:hint="eastAsia"/>
                <w:sz w:val="18"/>
                <w:szCs w:val="18"/>
              </w:rPr>
              <w:t>责令被检查当事人停止违反条例的行为。</w:t>
            </w:r>
          </w:p>
        </w:tc>
        <w:tc>
          <w:tcPr>
            <w:tcW w:w="557" w:type="pct"/>
            <w:vAlign w:val="center"/>
          </w:tcPr>
          <w:p w14:paraId="5DBEF13D">
            <w:pPr>
              <w:spacing w:line="240" w:lineRule="exact"/>
              <w:ind w:firstLine="180" w:firstLineChars="100"/>
              <w:jc w:val="left"/>
              <w:rPr>
                <w:sz w:val="18"/>
                <w:szCs w:val="18"/>
              </w:rPr>
            </w:pPr>
            <w:r>
              <w:rPr>
                <w:rFonts w:hint="eastAsia"/>
                <w:sz w:val="18"/>
                <w:szCs w:val="18"/>
              </w:rPr>
              <w:t>临时用地单位、矿业权人</w:t>
            </w:r>
          </w:p>
        </w:tc>
        <w:tc>
          <w:tcPr>
            <w:tcW w:w="518" w:type="pct"/>
            <w:vAlign w:val="center"/>
          </w:tcPr>
          <w:p w14:paraId="70CE52B4">
            <w:pPr>
              <w:spacing w:line="240" w:lineRule="exact"/>
              <w:ind w:firstLine="180" w:firstLineChars="100"/>
              <w:jc w:val="left"/>
              <w:rPr>
                <w:sz w:val="18"/>
                <w:szCs w:val="18"/>
              </w:rPr>
            </w:pPr>
            <w:r>
              <w:rPr>
                <w:rFonts w:hint="eastAsia"/>
                <w:sz w:val="18"/>
                <w:szCs w:val="18"/>
              </w:rPr>
              <w:t>临时用地、矿业用地等复垦情况</w:t>
            </w:r>
          </w:p>
        </w:tc>
        <w:tc>
          <w:tcPr>
            <w:tcW w:w="370" w:type="pct"/>
            <w:vAlign w:val="center"/>
          </w:tcPr>
          <w:p w14:paraId="0EF5FC32">
            <w:pPr>
              <w:spacing w:line="240" w:lineRule="exact"/>
              <w:ind w:firstLine="180" w:firstLineChars="100"/>
              <w:jc w:val="left"/>
              <w:rPr>
                <w:sz w:val="18"/>
                <w:szCs w:val="18"/>
              </w:rPr>
            </w:pPr>
            <w:r>
              <w:rPr>
                <w:sz w:val="18"/>
                <w:szCs w:val="18"/>
              </w:rPr>
              <w:t>4-12</w:t>
            </w:r>
            <w:r>
              <w:rPr>
                <w:rFonts w:hint="eastAsia"/>
                <w:sz w:val="18"/>
                <w:szCs w:val="18"/>
              </w:rPr>
              <w:t>月</w:t>
            </w:r>
          </w:p>
        </w:tc>
        <w:tc>
          <w:tcPr>
            <w:tcW w:w="278" w:type="pct"/>
            <w:vAlign w:val="center"/>
          </w:tcPr>
          <w:p w14:paraId="6377AF25">
            <w:pPr>
              <w:spacing w:line="240" w:lineRule="exact"/>
              <w:jc w:val="left"/>
              <w:rPr>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现场</w:t>
            </w:r>
            <w:r>
              <w:rPr>
                <w:rFonts w:hint="eastAsia" w:ascii="宋体" w:hAnsi="宋体" w:cs="宋体"/>
                <w:color w:val="000000" w:themeColor="text1"/>
                <w:kern w:val="0"/>
                <w:sz w:val="18"/>
                <w:szCs w:val="18"/>
                <w:lang w:eastAsia="zh-CN"/>
                <w14:textFill>
                  <w14:solidFill>
                    <w14:schemeClr w14:val="tx1"/>
                  </w14:solidFill>
                </w14:textFill>
              </w:rPr>
              <w:t>检查和非</w:t>
            </w:r>
            <w:r>
              <w:rPr>
                <w:rFonts w:hint="eastAsia" w:ascii="宋体" w:hAnsi="宋体" w:cs="宋体"/>
                <w:color w:val="000000" w:themeColor="text1"/>
                <w:kern w:val="0"/>
                <w:sz w:val="18"/>
                <w:szCs w:val="18"/>
                <w14:textFill>
                  <w14:solidFill>
                    <w14:schemeClr w14:val="tx1"/>
                  </w14:solidFill>
                </w14:textFill>
              </w:rPr>
              <w:t>现场</w:t>
            </w:r>
            <w:r>
              <w:rPr>
                <w:rFonts w:hint="eastAsia" w:ascii="宋体" w:hAnsi="宋体" w:cs="宋体"/>
                <w:color w:val="000000" w:themeColor="text1"/>
                <w:kern w:val="0"/>
                <w:sz w:val="18"/>
                <w:szCs w:val="18"/>
                <w:lang w:eastAsia="zh-CN"/>
                <w14:textFill>
                  <w14:solidFill>
                    <w14:schemeClr w14:val="tx1"/>
                  </w14:solidFill>
                </w14:textFill>
              </w:rPr>
              <w:t>检查相结合</w:t>
            </w:r>
          </w:p>
        </w:tc>
        <w:tc>
          <w:tcPr>
            <w:tcW w:w="246" w:type="pct"/>
            <w:vAlign w:val="center"/>
          </w:tcPr>
          <w:p w14:paraId="4E1D68AB">
            <w:pPr>
              <w:spacing w:line="240" w:lineRule="exact"/>
              <w:ind w:firstLine="180" w:firstLineChars="100"/>
              <w:jc w:val="left"/>
              <w:rPr>
                <w:sz w:val="18"/>
                <w:szCs w:val="18"/>
              </w:rPr>
            </w:pPr>
            <w:r>
              <w:rPr>
                <w:sz w:val="18"/>
                <w:szCs w:val="18"/>
              </w:rPr>
              <w:t>1</w:t>
            </w:r>
            <w:r>
              <w:rPr>
                <w:rFonts w:hint="eastAsia"/>
                <w:sz w:val="18"/>
                <w:szCs w:val="18"/>
              </w:rPr>
              <w:t>次</w:t>
            </w:r>
          </w:p>
        </w:tc>
        <w:tc>
          <w:tcPr>
            <w:tcW w:w="212" w:type="pct"/>
            <w:vAlign w:val="center"/>
          </w:tcPr>
          <w:p w14:paraId="53C0E67A">
            <w:pPr>
              <w:spacing w:line="240" w:lineRule="exact"/>
              <w:jc w:val="left"/>
              <w:rPr>
                <w:sz w:val="18"/>
                <w:szCs w:val="18"/>
              </w:rPr>
            </w:pPr>
            <w:r>
              <w:rPr>
                <w:rFonts w:hint="eastAsia"/>
                <w:sz w:val="18"/>
                <w:szCs w:val="18"/>
              </w:rPr>
              <w:t>用途管制股</w:t>
            </w:r>
          </w:p>
        </w:tc>
        <w:tc>
          <w:tcPr>
            <w:tcW w:w="289" w:type="pct"/>
            <w:vAlign w:val="center"/>
          </w:tcPr>
          <w:p w14:paraId="40B6BAB4">
            <w:pPr>
              <w:spacing w:line="240" w:lineRule="exact"/>
              <w:ind w:firstLine="180" w:firstLineChars="100"/>
              <w:jc w:val="left"/>
              <w:rPr>
                <w:sz w:val="18"/>
                <w:szCs w:val="18"/>
              </w:rPr>
            </w:pPr>
            <w:r>
              <w:rPr>
                <w:rFonts w:hint="eastAsia"/>
                <w:sz w:val="18"/>
                <w:szCs w:val="18"/>
              </w:rPr>
              <w:t>否</w:t>
            </w:r>
          </w:p>
        </w:tc>
        <w:tc>
          <w:tcPr>
            <w:tcW w:w="189" w:type="pct"/>
            <w:vAlign w:val="center"/>
          </w:tcPr>
          <w:p w14:paraId="774EB8D2">
            <w:pPr>
              <w:autoSpaceDE w:val="0"/>
              <w:autoSpaceDN w:val="0"/>
              <w:adjustRightInd w:val="0"/>
              <w:spacing w:line="240" w:lineRule="exact"/>
              <w:jc w:val="center"/>
              <w:rPr>
                <w:rFonts w:ascii="宋体" w:cs="宋体"/>
                <w:color w:val="000000"/>
                <w:kern w:val="0"/>
                <w:sz w:val="18"/>
                <w:szCs w:val="18"/>
              </w:rPr>
            </w:pPr>
          </w:p>
        </w:tc>
      </w:tr>
      <w:tr w14:paraId="4C94F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0" w:hRule="atLeast"/>
          <w:jc w:val="center"/>
        </w:trPr>
        <w:tc>
          <w:tcPr>
            <w:tcW w:w="638" w:type="dxa"/>
            <w:vAlign w:val="center"/>
          </w:tcPr>
          <w:p w14:paraId="2BCE4743">
            <w:pPr>
              <w:jc w:val="center"/>
              <w:rPr>
                <w:sz w:val="18"/>
                <w:szCs w:val="18"/>
              </w:rPr>
            </w:pPr>
            <w:r>
              <w:rPr>
                <w:rFonts w:hint="eastAsia"/>
                <w:sz w:val="18"/>
                <w:szCs w:val="18"/>
                <w:lang w:val="en-US" w:eastAsia="zh-CN"/>
              </w:rPr>
              <w:t>6</w:t>
            </w:r>
          </w:p>
        </w:tc>
        <w:tc>
          <w:tcPr>
            <w:tcW w:w="836" w:type="dxa"/>
            <w:vAlign w:val="center"/>
          </w:tcPr>
          <w:p w14:paraId="72AB4D95">
            <w:pPr>
              <w:spacing w:line="240" w:lineRule="exact"/>
              <w:jc w:val="left"/>
              <w:rPr>
                <w:sz w:val="18"/>
                <w:szCs w:val="18"/>
              </w:rPr>
            </w:pPr>
            <w:r>
              <w:rPr>
                <w:rFonts w:hint="eastAsia"/>
                <w:sz w:val="18"/>
                <w:szCs w:val="18"/>
              </w:rPr>
              <w:t>对城乡规划编制单位的行政检查</w:t>
            </w:r>
          </w:p>
        </w:tc>
        <w:tc>
          <w:tcPr>
            <w:tcW w:w="5625" w:type="dxa"/>
            <w:vAlign w:val="center"/>
          </w:tcPr>
          <w:p w14:paraId="49CE8235">
            <w:pPr>
              <w:spacing w:line="240" w:lineRule="exact"/>
              <w:ind w:firstLine="180" w:firstLineChars="100"/>
              <w:jc w:val="left"/>
              <w:rPr>
                <w:sz w:val="18"/>
                <w:szCs w:val="18"/>
              </w:rPr>
            </w:pPr>
            <w:r>
              <w:rPr>
                <w:rFonts w:hint="eastAsia"/>
                <w:sz w:val="18"/>
                <w:szCs w:val="18"/>
              </w:rPr>
              <w:t>《城乡规划编制单位资质管理办法》</w:t>
            </w:r>
            <w:r>
              <w:rPr>
                <w:sz w:val="18"/>
                <w:szCs w:val="18"/>
              </w:rPr>
              <w:t>(</w:t>
            </w:r>
            <w:r>
              <w:rPr>
                <w:rFonts w:hint="eastAsia"/>
                <w:sz w:val="18"/>
                <w:szCs w:val="18"/>
              </w:rPr>
              <w:t>自然资源部令第</w:t>
            </w:r>
            <w:r>
              <w:rPr>
                <w:sz w:val="18"/>
                <w:szCs w:val="18"/>
              </w:rPr>
              <w:t>11</w:t>
            </w:r>
            <w:r>
              <w:rPr>
                <w:rFonts w:hint="eastAsia"/>
                <w:sz w:val="18"/>
                <w:szCs w:val="18"/>
              </w:rPr>
              <w:t>号</w:t>
            </w:r>
            <w:r>
              <w:rPr>
                <w:sz w:val="18"/>
                <w:szCs w:val="18"/>
              </w:rPr>
              <w:t>)</w:t>
            </w:r>
          </w:p>
          <w:p w14:paraId="5162B7F7">
            <w:pPr>
              <w:spacing w:line="240" w:lineRule="exact"/>
              <w:ind w:firstLine="180" w:firstLineChars="100"/>
              <w:jc w:val="left"/>
              <w:rPr>
                <w:sz w:val="18"/>
                <w:szCs w:val="18"/>
              </w:rPr>
            </w:pPr>
            <w:r>
              <w:rPr>
                <w:rFonts w:hint="eastAsia"/>
                <w:sz w:val="18"/>
                <w:szCs w:val="18"/>
              </w:rPr>
              <w:t>第二十一条：县级以上人民政府自然资源主管部门依法对规划编制单位进行检查，应当有</w:t>
            </w:r>
            <w:r>
              <w:rPr>
                <w:sz w:val="18"/>
                <w:szCs w:val="18"/>
              </w:rPr>
              <w:t>2</w:t>
            </w:r>
            <w:r>
              <w:rPr>
                <w:rFonts w:hint="eastAsia"/>
                <w:sz w:val="18"/>
                <w:szCs w:val="18"/>
              </w:rPr>
              <w:t>名以上监督检查人员参加，有权采取下列措施：</w:t>
            </w:r>
          </w:p>
          <w:p w14:paraId="0C3BF13F">
            <w:pPr>
              <w:spacing w:line="240" w:lineRule="exact"/>
              <w:ind w:firstLine="180" w:firstLineChars="100"/>
              <w:jc w:val="left"/>
              <w:rPr>
                <w:sz w:val="18"/>
                <w:szCs w:val="18"/>
              </w:rPr>
            </w:pPr>
            <w:r>
              <w:rPr>
                <w:sz w:val="18"/>
                <w:szCs w:val="18"/>
              </w:rPr>
              <w:t>(</w:t>
            </w:r>
            <w:r>
              <w:rPr>
                <w:rFonts w:hint="eastAsia"/>
                <w:sz w:val="18"/>
                <w:szCs w:val="18"/>
              </w:rPr>
              <w:t>一</w:t>
            </w:r>
            <w:r>
              <w:rPr>
                <w:sz w:val="18"/>
                <w:szCs w:val="18"/>
              </w:rPr>
              <w:t>)</w:t>
            </w:r>
            <w:r>
              <w:rPr>
                <w:rFonts w:hint="eastAsia"/>
                <w:sz w:val="18"/>
                <w:szCs w:val="18"/>
              </w:rPr>
              <w:t>要求被检查单位提供资质证书，有关人员的职称证书</w:t>
            </w:r>
            <w:r>
              <w:rPr>
                <w:rFonts w:hint="eastAsia"/>
                <w:sz w:val="18"/>
                <w:szCs w:val="18"/>
                <w:lang w:eastAsia="zh-CN"/>
              </w:rPr>
              <w:t>、</w:t>
            </w:r>
            <w:r>
              <w:rPr>
                <w:rFonts w:hint="eastAsia"/>
                <w:sz w:val="18"/>
                <w:szCs w:val="18"/>
              </w:rPr>
              <w:t>注册证书、学历证书、社会保险证明等，有关国土空间规划编制</w:t>
            </w:r>
            <w:r>
              <w:rPr>
                <w:sz w:val="18"/>
                <w:szCs w:val="18"/>
              </w:rPr>
              <w:t xml:space="preserve"> </w:t>
            </w:r>
            <w:r>
              <w:rPr>
                <w:rFonts w:hint="eastAsia"/>
                <w:sz w:val="18"/>
                <w:szCs w:val="18"/>
              </w:rPr>
              <w:t>成果以及有关技术管理、质量管理、保密管理、档案管理、财务</w:t>
            </w:r>
            <w:r>
              <w:rPr>
                <w:sz w:val="18"/>
                <w:szCs w:val="18"/>
              </w:rPr>
              <w:t xml:space="preserve"> </w:t>
            </w:r>
            <w:r>
              <w:rPr>
                <w:rFonts w:hint="eastAsia"/>
                <w:sz w:val="18"/>
                <w:szCs w:val="18"/>
              </w:rPr>
              <w:t>管理、安全管理等企业内部管理制度文件；</w:t>
            </w:r>
            <w:r>
              <w:rPr>
                <w:sz w:val="18"/>
                <w:szCs w:val="18"/>
              </w:rPr>
              <w:t>(</w:t>
            </w:r>
            <w:r>
              <w:rPr>
                <w:rFonts w:hint="eastAsia"/>
                <w:sz w:val="18"/>
                <w:szCs w:val="18"/>
              </w:rPr>
              <w:t>二</w:t>
            </w:r>
            <w:r>
              <w:rPr>
                <w:sz w:val="18"/>
                <w:szCs w:val="18"/>
              </w:rPr>
              <w:t>)</w:t>
            </w:r>
            <w:r>
              <w:rPr>
                <w:rFonts w:hint="eastAsia"/>
                <w:sz w:val="18"/>
                <w:szCs w:val="18"/>
              </w:rPr>
              <w:t>进入被检查单位进行检查，查阅相关资料；</w:t>
            </w:r>
            <w:r>
              <w:rPr>
                <w:sz w:val="18"/>
                <w:szCs w:val="18"/>
              </w:rPr>
              <w:t>(</w:t>
            </w:r>
            <w:r>
              <w:rPr>
                <w:rFonts w:hint="eastAsia"/>
                <w:sz w:val="18"/>
                <w:szCs w:val="18"/>
              </w:rPr>
              <w:t>三</w:t>
            </w:r>
            <w:r>
              <w:rPr>
                <w:sz w:val="18"/>
                <w:szCs w:val="18"/>
              </w:rPr>
              <w:t>)</w:t>
            </w:r>
            <w:r>
              <w:rPr>
                <w:rFonts w:hint="eastAsia"/>
                <w:sz w:val="18"/>
                <w:szCs w:val="18"/>
              </w:rPr>
              <w:t>纠正违反有关法律、法规和本办法以及有关规范、标准的行为。</w:t>
            </w:r>
          </w:p>
        </w:tc>
        <w:tc>
          <w:tcPr>
            <w:tcW w:w="1694" w:type="dxa"/>
            <w:vAlign w:val="center"/>
          </w:tcPr>
          <w:p w14:paraId="6FDD938E">
            <w:pPr>
              <w:spacing w:line="240" w:lineRule="exact"/>
              <w:ind w:firstLine="180" w:firstLineChars="100"/>
              <w:jc w:val="left"/>
              <w:rPr>
                <w:rFonts w:hint="eastAsia"/>
                <w:sz w:val="18"/>
                <w:szCs w:val="18"/>
              </w:rPr>
            </w:pPr>
            <w:r>
              <w:rPr>
                <w:rFonts w:hint="eastAsia" w:ascii="宋体" w:hAnsi="宋体" w:cs="宋体"/>
                <w:kern w:val="0"/>
                <w:sz w:val="18"/>
                <w:szCs w:val="18"/>
              </w:rPr>
              <w:t>从</w:t>
            </w:r>
            <w:r>
              <w:rPr>
                <w:rFonts w:hint="eastAsia" w:ascii="宋体" w:hAnsi="宋体" w:cs="宋体"/>
                <w:kern w:val="0"/>
                <w:sz w:val="18"/>
                <w:szCs w:val="18"/>
                <w:lang w:eastAsia="zh-CN"/>
              </w:rPr>
              <w:t>国土空间规划、城乡规划编制</w:t>
            </w:r>
            <w:r>
              <w:rPr>
                <w:rFonts w:hint="eastAsia" w:ascii="宋体" w:hAnsi="宋体" w:cs="宋体"/>
                <w:kern w:val="0"/>
                <w:sz w:val="18"/>
                <w:szCs w:val="18"/>
              </w:rPr>
              <w:t>单位中，抽取</w:t>
            </w:r>
            <w:r>
              <w:rPr>
                <w:rFonts w:hint="eastAsia" w:ascii="宋体" w:hAnsi="宋体" w:cs="宋体"/>
                <w:kern w:val="0"/>
                <w:sz w:val="18"/>
                <w:szCs w:val="18"/>
                <w:lang w:val="en-US" w:eastAsia="zh-CN"/>
              </w:rPr>
              <w:t>1</w:t>
            </w:r>
            <w:r>
              <w:rPr>
                <w:rFonts w:hint="eastAsia" w:ascii="宋体" w:hAnsi="宋体" w:cs="宋体"/>
                <w:kern w:val="0"/>
                <w:sz w:val="18"/>
                <w:szCs w:val="18"/>
              </w:rPr>
              <w:t>家检查</w:t>
            </w:r>
          </w:p>
        </w:tc>
        <w:tc>
          <w:tcPr>
            <w:tcW w:w="1576" w:type="dxa"/>
            <w:vAlign w:val="center"/>
          </w:tcPr>
          <w:p w14:paraId="56187312">
            <w:pPr>
              <w:spacing w:line="240" w:lineRule="exact"/>
              <w:ind w:firstLine="180" w:firstLineChars="100"/>
              <w:jc w:val="left"/>
              <w:rPr>
                <w:rFonts w:hint="eastAsia"/>
                <w:sz w:val="18"/>
                <w:szCs w:val="18"/>
              </w:rPr>
            </w:pPr>
            <w:r>
              <w:rPr>
                <w:rFonts w:hint="eastAsia" w:ascii="宋体" w:hAnsi="宋体" w:cs="宋体"/>
                <w:kern w:val="0"/>
                <w:sz w:val="18"/>
                <w:szCs w:val="18"/>
              </w:rPr>
              <w:t>资质条件匹配情况；编制的规划项目合法合规情况；违约或被投诉举报情况</w:t>
            </w:r>
          </w:p>
        </w:tc>
        <w:tc>
          <w:tcPr>
            <w:tcW w:w="1126" w:type="dxa"/>
            <w:vAlign w:val="center"/>
          </w:tcPr>
          <w:p w14:paraId="524745F1">
            <w:pPr>
              <w:spacing w:line="240" w:lineRule="exact"/>
              <w:ind w:firstLine="180" w:firstLineChars="100"/>
              <w:jc w:val="left"/>
              <w:rPr>
                <w:sz w:val="18"/>
                <w:szCs w:val="18"/>
              </w:rPr>
            </w:pPr>
            <w:r>
              <w:rPr>
                <w:rFonts w:hint="eastAsia"/>
                <w:sz w:val="18"/>
                <w:szCs w:val="18"/>
                <w:lang w:val="en-US" w:eastAsia="zh-CN"/>
              </w:rPr>
              <w:t>5-12月</w:t>
            </w:r>
          </w:p>
        </w:tc>
        <w:tc>
          <w:tcPr>
            <w:tcW w:w="846" w:type="dxa"/>
            <w:vAlign w:val="center"/>
          </w:tcPr>
          <w:p w14:paraId="64801C0B">
            <w:pPr>
              <w:spacing w:line="240" w:lineRule="exact"/>
              <w:jc w:val="center"/>
              <w:rPr>
                <w:rFonts w:hint="eastAsia"/>
                <w:color w:val="000000" w:themeColor="text1"/>
                <w:sz w:val="18"/>
                <w:szCs w:val="18"/>
                <w:lang w:eastAsia="zh-CN"/>
                <w14:textFill>
                  <w14:solidFill>
                    <w14:schemeClr w14:val="tx1"/>
                  </w14:solidFill>
                </w14:textFill>
              </w:rPr>
            </w:pPr>
            <w:r>
              <w:rPr>
                <w:rFonts w:hint="eastAsia"/>
                <w:color w:val="000000" w:themeColor="text1"/>
                <w:sz w:val="18"/>
                <w:szCs w:val="18"/>
                <w:lang w:eastAsia="zh-CN"/>
                <w14:textFill>
                  <w14:solidFill>
                    <w14:schemeClr w14:val="tx1"/>
                  </w14:solidFill>
                </w14:textFill>
              </w:rPr>
              <w:t>现场</w:t>
            </w:r>
          </w:p>
          <w:p w14:paraId="161425B3">
            <w:pPr>
              <w:spacing w:line="240" w:lineRule="exact"/>
              <w:jc w:val="center"/>
              <w:rPr>
                <w:rFonts w:hint="eastAsia" w:ascii="宋体" w:hAnsi="宋体" w:cs="宋体"/>
                <w:color w:val="000000" w:themeColor="text1"/>
                <w:kern w:val="0"/>
                <w:sz w:val="18"/>
                <w:szCs w:val="18"/>
                <w14:textFill>
                  <w14:solidFill>
                    <w14:schemeClr w14:val="tx1"/>
                  </w14:solidFill>
                </w14:textFill>
              </w:rPr>
            </w:pPr>
            <w:r>
              <w:rPr>
                <w:rFonts w:hint="eastAsia"/>
                <w:color w:val="000000" w:themeColor="text1"/>
                <w:sz w:val="18"/>
                <w:szCs w:val="18"/>
                <w:lang w:eastAsia="zh-CN"/>
                <w14:textFill>
                  <w14:solidFill>
                    <w14:schemeClr w14:val="tx1"/>
                  </w14:solidFill>
                </w14:textFill>
              </w:rPr>
              <w:t>检查</w:t>
            </w:r>
          </w:p>
        </w:tc>
        <w:tc>
          <w:tcPr>
            <w:tcW w:w="748" w:type="dxa"/>
            <w:vAlign w:val="center"/>
          </w:tcPr>
          <w:p w14:paraId="75B33E95">
            <w:pPr>
              <w:spacing w:line="240" w:lineRule="exact"/>
              <w:ind w:firstLine="180" w:firstLineChars="100"/>
              <w:jc w:val="left"/>
              <w:rPr>
                <w:sz w:val="18"/>
                <w:szCs w:val="18"/>
              </w:rPr>
            </w:pPr>
            <w:r>
              <w:rPr>
                <w:rFonts w:hint="eastAsia"/>
                <w:sz w:val="18"/>
                <w:szCs w:val="18"/>
                <w:lang w:val="en-US" w:eastAsia="zh-CN"/>
              </w:rPr>
              <w:t>1次</w:t>
            </w:r>
          </w:p>
        </w:tc>
        <w:tc>
          <w:tcPr>
            <w:tcW w:w="645" w:type="dxa"/>
            <w:vAlign w:val="center"/>
          </w:tcPr>
          <w:p w14:paraId="5CAF0638">
            <w:pPr>
              <w:spacing w:line="240" w:lineRule="exact"/>
              <w:jc w:val="left"/>
              <w:rPr>
                <w:rFonts w:hint="eastAsia"/>
                <w:sz w:val="18"/>
                <w:szCs w:val="18"/>
              </w:rPr>
            </w:pPr>
            <w:r>
              <w:rPr>
                <w:rFonts w:hint="eastAsia"/>
                <w:sz w:val="18"/>
                <w:szCs w:val="18"/>
                <w:lang w:eastAsia="zh-CN"/>
              </w:rPr>
              <w:t>国土空间规划股</w:t>
            </w:r>
          </w:p>
        </w:tc>
        <w:tc>
          <w:tcPr>
            <w:tcW w:w="879" w:type="dxa"/>
            <w:vAlign w:val="center"/>
          </w:tcPr>
          <w:p w14:paraId="5D281AA4">
            <w:pPr>
              <w:spacing w:line="240" w:lineRule="exact"/>
              <w:ind w:firstLine="180" w:firstLineChars="100"/>
              <w:jc w:val="left"/>
              <w:rPr>
                <w:rFonts w:hint="eastAsia"/>
                <w:sz w:val="18"/>
                <w:szCs w:val="18"/>
              </w:rPr>
            </w:pPr>
            <w:r>
              <w:rPr>
                <w:rFonts w:hint="eastAsia"/>
                <w:sz w:val="18"/>
                <w:szCs w:val="18"/>
                <w:lang w:eastAsia="zh-CN"/>
              </w:rPr>
              <w:t>否</w:t>
            </w:r>
          </w:p>
        </w:tc>
        <w:tc>
          <w:tcPr>
            <w:tcW w:w="576" w:type="dxa"/>
            <w:vAlign w:val="center"/>
          </w:tcPr>
          <w:p w14:paraId="63F0D7E8">
            <w:pPr>
              <w:autoSpaceDE w:val="0"/>
              <w:autoSpaceDN w:val="0"/>
              <w:adjustRightInd w:val="0"/>
              <w:spacing w:line="240" w:lineRule="exact"/>
              <w:jc w:val="center"/>
              <w:rPr>
                <w:rFonts w:ascii="宋体" w:cs="宋体"/>
                <w:color w:val="000000"/>
                <w:kern w:val="0"/>
                <w:sz w:val="18"/>
                <w:szCs w:val="18"/>
              </w:rPr>
            </w:pPr>
          </w:p>
        </w:tc>
      </w:tr>
    </w:tbl>
    <w:p w14:paraId="63C4A9A6"/>
    <w:p w14:paraId="6DC4B2C2"/>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595F"/>
    <w:rsid w:val="00121C21"/>
    <w:rsid w:val="00172A27"/>
    <w:rsid w:val="00233122"/>
    <w:rsid w:val="002B1FC1"/>
    <w:rsid w:val="002E1E08"/>
    <w:rsid w:val="00646C23"/>
    <w:rsid w:val="00AB0451"/>
    <w:rsid w:val="00AD184C"/>
    <w:rsid w:val="00C139DB"/>
    <w:rsid w:val="00D706D6"/>
    <w:rsid w:val="013A3514"/>
    <w:rsid w:val="073A38EF"/>
    <w:rsid w:val="07FE35C4"/>
    <w:rsid w:val="0F2838AB"/>
    <w:rsid w:val="1A4D323A"/>
    <w:rsid w:val="21F237B7"/>
    <w:rsid w:val="22494ABA"/>
    <w:rsid w:val="258A6B94"/>
    <w:rsid w:val="279B779D"/>
    <w:rsid w:val="285918BF"/>
    <w:rsid w:val="2A974AF0"/>
    <w:rsid w:val="2BE2209C"/>
    <w:rsid w:val="2F9FC571"/>
    <w:rsid w:val="2FEF649F"/>
    <w:rsid w:val="317B7028"/>
    <w:rsid w:val="374455F9"/>
    <w:rsid w:val="3DE8490C"/>
    <w:rsid w:val="3FCFDC1E"/>
    <w:rsid w:val="48D41581"/>
    <w:rsid w:val="4B5244EB"/>
    <w:rsid w:val="4FF71EB3"/>
    <w:rsid w:val="519B2A4A"/>
    <w:rsid w:val="51C74AE4"/>
    <w:rsid w:val="53F85CD1"/>
    <w:rsid w:val="57F3EB00"/>
    <w:rsid w:val="5FED7C5F"/>
    <w:rsid w:val="6696008E"/>
    <w:rsid w:val="66DA7860"/>
    <w:rsid w:val="6B3FFF6B"/>
    <w:rsid w:val="6C246693"/>
    <w:rsid w:val="6D7E0C95"/>
    <w:rsid w:val="6E914B27"/>
    <w:rsid w:val="6F4A20F2"/>
    <w:rsid w:val="6F7751FA"/>
    <w:rsid w:val="71BE777B"/>
    <w:rsid w:val="787E76C0"/>
    <w:rsid w:val="78BF8051"/>
    <w:rsid w:val="7ACD03CA"/>
    <w:rsid w:val="7AFBEEDF"/>
    <w:rsid w:val="7C6FD35A"/>
    <w:rsid w:val="7DEFE4F7"/>
    <w:rsid w:val="7FDF5561"/>
    <w:rsid w:val="7FDF9EA3"/>
    <w:rsid w:val="7FE54241"/>
    <w:rsid w:val="7FED52D0"/>
    <w:rsid w:val="7FEE0ECA"/>
    <w:rsid w:val="7FFDCE50"/>
    <w:rsid w:val="7FFEFE87"/>
    <w:rsid w:val="7FFFDB44"/>
    <w:rsid w:val="A177BA37"/>
    <w:rsid w:val="A4766456"/>
    <w:rsid w:val="ABFFC3B6"/>
    <w:rsid w:val="BA68DA6D"/>
    <w:rsid w:val="CFB75D25"/>
    <w:rsid w:val="D7FF28EA"/>
    <w:rsid w:val="DD973A68"/>
    <w:rsid w:val="F7633604"/>
    <w:rsid w:val="F7C5F393"/>
    <w:rsid w:val="F7DAA4B4"/>
    <w:rsid w:val="F7DC0985"/>
    <w:rsid w:val="FC0984EB"/>
    <w:rsid w:val="FEDDC1A0"/>
    <w:rsid w:val="FEDFA4D6"/>
    <w:rsid w:val="FF3FB0DF"/>
    <w:rsid w:val="FF4EF9C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rFonts w:ascii="Calibri" w:hAnsi="Calibri"/>
      <w:sz w:val="18"/>
      <w:szCs w:val="18"/>
    </w:rPr>
  </w:style>
  <w:style w:type="paragraph" w:styleId="3">
    <w:name w:val="header"/>
    <w:basedOn w:val="1"/>
    <w:link w:val="9"/>
    <w:semiHidden/>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4">
    <w:name w:val="Normal (Web)"/>
    <w:basedOn w:val="1"/>
    <w:qFormat/>
    <w:uiPriority w:val="99"/>
    <w:pPr>
      <w:spacing w:before="100" w:beforeAutospacing="1" w:after="100" w:afterAutospacing="1"/>
      <w:jc w:val="left"/>
    </w:pPr>
    <w:rPr>
      <w:kern w:val="0"/>
      <w:sz w:val="24"/>
    </w:rPr>
  </w:style>
  <w:style w:type="character" w:styleId="7">
    <w:name w:val="Strong"/>
    <w:basedOn w:val="6"/>
    <w:qFormat/>
    <w:locked/>
    <w:uiPriority w:val="0"/>
    <w:rPr>
      <w:b/>
    </w:rPr>
  </w:style>
  <w:style w:type="character" w:customStyle="1" w:styleId="8">
    <w:name w:val="Footer Char"/>
    <w:basedOn w:val="6"/>
    <w:link w:val="2"/>
    <w:semiHidden/>
    <w:qFormat/>
    <w:locked/>
    <w:uiPriority w:val="99"/>
    <w:rPr>
      <w:rFonts w:cs="Times New Roman"/>
      <w:sz w:val="18"/>
      <w:szCs w:val="18"/>
    </w:rPr>
  </w:style>
  <w:style w:type="character" w:customStyle="1" w:styleId="9">
    <w:name w:val="Header Char"/>
    <w:basedOn w:val="6"/>
    <w:link w:val="3"/>
    <w:semiHidden/>
    <w:qFormat/>
    <w:locked/>
    <w:uiPriority w:val="99"/>
    <w:rPr>
      <w:rFonts w:cs="Times New Roman"/>
      <w:sz w:val="18"/>
      <w:szCs w:val="18"/>
    </w:rPr>
  </w:style>
  <w:style w:type="table" w:customStyle="1" w:styleId="10">
    <w:name w:val="Table Grid_0"/>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Default"/>
    <w:qFormat/>
    <w:uiPriority w:val="99"/>
    <w:pPr>
      <w:widowControl w:val="0"/>
      <w:autoSpaceDE w:val="0"/>
      <w:autoSpaceDN w:val="0"/>
      <w:adjustRightInd w:val="0"/>
    </w:pPr>
    <w:rPr>
      <w:rFonts w:ascii="仿宋_GB2312" w:hAnsi="Calibri" w:eastAsia="仿宋_GB2312" w:cs="仿宋_GB2312"/>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5</Pages>
  <Words>2790</Words>
  <Characters>2873</Characters>
  <Lines>0</Lines>
  <Paragraphs>0</Paragraphs>
  <TotalTime>11</TotalTime>
  <ScaleCrop>false</ScaleCrop>
  <LinksUpToDate>false</LinksUpToDate>
  <CharactersWithSpaces>2903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2025-03-17T08:28:00Z</dcterms:created>
  <dc:creator>me</dc:creator>
  <cp:lastModifiedBy>WPS_1687622167</cp:lastModifiedBy>
  <cp:lastPrinted>2025-04-28T01:41:00Z</cp:lastPrinted>
  <dcterms:modified xsi:type="dcterms:W3CDTF">2025-08-14T08:12:34Z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eyJoZGlkIjoiNzAyYzQwZWI2ZGE5Y2ZlNzdlNmRkMmMwZjY3NmI1ZGMiLCJ1c2VySWQiOiIxNTA5OTQzNDk4In0=</vt:lpwstr>
  </property>
  <property fmtid="{D5CDD505-2E9C-101B-9397-08002B2CF9AE}" pid="3" name="KSOProductBuildVer">
    <vt:lpwstr>2052-12.1.0.21915</vt:lpwstr>
  </property>
  <property fmtid="{D5CDD505-2E9C-101B-9397-08002B2CF9AE}" pid="4" name="ICV">
    <vt:lpwstr>18FC08D34B084265924F3BF5CA9CE34E_13</vt:lpwstr>
  </property>
</Properties>
</file>